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12" w:space="1"/>
        </w:pBd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/>
          <w:kern w:val="0"/>
          <w:sz w:val="44"/>
        </w:rPr>
      </w:pPr>
      <w:r>
        <w:rPr>
          <w:rFonts w:hint="eastAsia" w:ascii="方正小标宋简体" w:eastAsia="方正小标宋简体"/>
          <w:kern w:val="0"/>
          <w:sz w:val="44"/>
        </w:rPr>
        <w:t>泉州市洛江区文化体育和旅游局（函）</w:t>
      </w:r>
    </w:p>
    <w:p>
      <w:pPr>
        <w:autoSpaceDE w:val="0"/>
        <w:autoSpaceDN w:val="0"/>
        <w:adjustRightInd w:val="0"/>
        <w:snapToGrid w:val="0"/>
        <w:spacing w:beforeLines="50" w:afterLines="50"/>
        <w:jc w:val="right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  <w:lang w:eastAsia="zh-CN"/>
        </w:rPr>
        <w:t>泉洛政文体旅</w:t>
      </w:r>
      <w:r>
        <w:rPr>
          <w:rFonts w:hint="eastAsia" w:ascii="仿宋_GB2312" w:eastAsia="仿宋_GB2312"/>
          <w:kern w:val="0"/>
          <w:sz w:val="32"/>
        </w:rPr>
        <w:t>函〔</w:t>
      </w:r>
      <w:r>
        <w:rPr>
          <w:rFonts w:ascii="仿宋_GB2312" w:eastAsia="仿宋_GB2312"/>
          <w:kern w:val="0"/>
          <w:sz w:val="32"/>
        </w:rPr>
        <w:t>202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</w:rPr>
        <w:t>〕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35</w:t>
      </w:r>
      <w:r>
        <w:rPr>
          <w:rFonts w:hint="eastAsia" w:ascii="仿宋_GB2312" w:eastAsia="仿宋_GB2312"/>
          <w:kern w:val="0"/>
          <w:sz w:val="32"/>
        </w:rPr>
        <w:t>号</w:t>
      </w:r>
    </w:p>
    <w:p>
      <w:pPr>
        <w:autoSpaceDE w:val="0"/>
        <w:autoSpaceDN w:val="0"/>
        <w:adjustRightInd w:val="0"/>
        <w:snapToGrid w:val="0"/>
        <w:spacing w:beforeLines="50" w:afterLines="50"/>
        <w:jc w:val="left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</w:rPr>
        <w:t xml:space="preserve">        </w:t>
      </w:r>
    </w:p>
    <w:p>
      <w:pPr>
        <w:autoSpaceDE w:val="0"/>
        <w:autoSpaceDN w:val="0"/>
        <w:adjustRightInd w:val="0"/>
        <w:spacing w:line="640" w:lineRule="exact"/>
        <w:jc w:val="center"/>
        <w:rPr>
          <w:rFonts w:asci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关于洛江区</w:t>
      </w:r>
      <w:r>
        <w:rPr>
          <w:rFonts w:hint="eastAsia" w:asci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六届人大</w:t>
      </w:r>
      <w:r>
        <w:rPr>
          <w:rFonts w:hint="eastAsia" w:ascii="方正小标宋简体" w:eastAsia="方正小标宋简体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小标宋简体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次会议</w:t>
      </w:r>
    </w:p>
    <w:p>
      <w:pPr>
        <w:autoSpaceDE w:val="0"/>
        <w:autoSpaceDN w:val="0"/>
        <w:adjustRightInd w:val="0"/>
        <w:spacing w:line="64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第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6052</w:t>
      </w:r>
      <w:r>
        <w:rPr>
          <w:rFonts w:hint="eastAsia" w:ascii="方正小标宋简体" w:eastAsia="方正小标宋简体"/>
          <w:kern w:val="0"/>
          <w:sz w:val="44"/>
          <w:szCs w:val="44"/>
        </w:rPr>
        <w:t>号建议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二次</w:t>
      </w:r>
      <w:r>
        <w:rPr>
          <w:rFonts w:hint="eastAsia" w:ascii="方正小标宋简体" w:eastAsia="方正小标宋简体"/>
          <w:kern w:val="0"/>
          <w:sz w:val="44"/>
          <w:szCs w:val="44"/>
        </w:rPr>
        <w:t>答复的函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谢志斌代表：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关于您提出的《关于推进我区旅游业健康发展的几点建议》</w:t>
      </w:r>
      <w:r>
        <w:rPr>
          <w:rFonts w:hint="eastAsia" w:ascii="仿宋_GB2312" w:eastAsia="仿宋_GB2312"/>
          <w:sz w:val="32"/>
          <w:szCs w:val="32"/>
        </w:rPr>
        <w:t>经过半年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多的办理，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现结合有关情况，将意见反馈如下：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今年来，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我区积极贯彻落实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“深学争优、敢为争先、实干争效”行动总体部署，以开展“文旅+”专项行动为抓手，强化文旅项目招商，优化文旅公共服务，促进文旅消费升级。2023年上半年洛江区接待国内旅游人数138.68万，同比增长50.0%，实现国内旅游收入12.24亿元，同比增长58.5%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C0C0C"/>
          <w:kern w:val="0"/>
          <w:sz w:val="32"/>
          <w:szCs w:val="32"/>
          <w:lang w:val="en-US" w:eastAsia="zh-CN"/>
        </w:rPr>
        <w:t>（一）文旅</w:t>
      </w:r>
      <w:r>
        <w:rPr>
          <w:rFonts w:hint="default" w:ascii="楷体_GB2312" w:hAnsi="楷体_GB2312" w:eastAsia="楷体_GB2312" w:cs="楷体_GB2312"/>
          <w:b/>
          <w:color w:val="0C0C0C"/>
          <w:kern w:val="0"/>
          <w:sz w:val="32"/>
          <w:szCs w:val="32"/>
          <w:lang w:eastAsia="zh-CN"/>
        </w:rPr>
        <w:t>招商引资</w:t>
      </w:r>
      <w:r>
        <w:rPr>
          <w:rFonts w:hint="eastAsia" w:ascii="楷体_GB2312" w:hAnsi="楷体_GB2312" w:eastAsia="楷体_GB2312" w:cs="楷体_GB2312"/>
          <w:b/>
          <w:color w:val="0C0C0C"/>
          <w:kern w:val="0"/>
          <w:sz w:val="32"/>
          <w:szCs w:val="32"/>
          <w:lang w:eastAsia="zh-CN"/>
        </w:rPr>
        <w:t>稳步推进。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定期召开文旅招商协调会,摸排文旅项目招商情况。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赴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四川、云南开展洛江文旅招商推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介会，为引进重大文旅企业来洛投资兴业创造条件。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对接杭州赛石园林集团、华侨城文化集团、中交集团等国内知名旅游龙头企业，召开多场次投资洽谈会，形成项目投资共识和投资意向。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上半年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，全区累计签订文旅项目合同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个，累计投资额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76.13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亿元，分别完成年度投资计划的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56%，50.8%。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C0C0C"/>
          <w:kern w:val="0"/>
          <w:sz w:val="32"/>
          <w:szCs w:val="32"/>
          <w:lang w:eastAsia="zh-CN"/>
        </w:rPr>
        <w:t>（二）文旅产业基础日益完善。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加强文旅设施建设，不断优化“吃、住、行、游、购、娱”等旅游要素。改造提升建设洛江区非遗馆、虹山土楼文化馆2个新型公共文化空间，积极推进文化“嵌入式”服务。召开文化产业提升专题会，强化文化产业绩效指标跟踪督导。推动新入库9家规上文化企业，各类文化市场主体不断发展壮大。规上娱乐业上半年营业收入1938.8万元，同比增长82.42%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旅游基础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设施建设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积极推动希尔顿欢朋酒店、玉叶山森林公园文旅开发、陆歌休闲农业旅游、乡韵鹿境休闲旅游度假区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乡村旅游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/>
          <w:color w:val="FF0000"/>
          <w:lang w:eastAsia="zh-CN"/>
        </w:rPr>
      </w:pPr>
      <w:r>
        <w:rPr>
          <w:rFonts w:hint="eastAsia" w:ascii="楷体_GB2312" w:hAnsi="楷体_GB2312" w:eastAsia="楷体_GB2312" w:cs="楷体_GB2312"/>
          <w:b/>
          <w:color w:val="0C0C0C"/>
          <w:kern w:val="0"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/>
          <w:color w:val="0C0C0C"/>
          <w:kern w:val="0"/>
          <w:sz w:val="32"/>
          <w:szCs w:val="32"/>
          <w:lang w:val="en-US" w:eastAsia="zh-CN" w:bidi="ar-SA"/>
        </w:rPr>
        <w:t>品牌创建工作</w:t>
      </w:r>
      <w:r>
        <w:rPr>
          <w:rFonts w:hint="eastAsia" w:ascii="楷体_GB2312" w:hAnsi="楷体_GB2312" w:eastAsia="楷体_GB2312" w:cs="楷体_GB2312"/>
          <w:b/>
          <w:color w:val="0C0C0C"/>
          <w:kern w:val="0"/>
          <w:sz w:val="32"/>
          <w:szCs w:val="32"/>
          <w:lang w:val="en-US" w:eastAsia="zh-CN"/>
        </w:rPr>
        <w:t>逐步推动</w:t>
      </w:r>
      <w:r>
        <w:rPr>
          <w:rFonts w:hint="eastAsia" w:ascii="楷体_GB2312" w:hAnsi="楷体_GB2312" w:eastAsia="楷体_GB2312" w:cs="楷体_GB2312"/>
          <w:b/>
          <w:color w:val="0C0C0C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指导仙公山景区按照4A景区标准进行提升，目前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zh-CN" w:eastAsia="zh-CN"/>
        </w:rPr>
        <w:t>仙公山景区三座大殿修缮项目已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进场施工；景区游客中心回购工作已于6月28日完成收购事宜书面协议签订。同时，已启动游客中心的加固及改造提升项目设计;景区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32"/>
          <w:sz w:val="32"/>
          <w:szCs w:val="32"/>
          <w:lang w:val="en-US" w:eastAsia="zh-CN"/>
        </w:rPr>
        <w:t>其他改造项目（石桌石椅安装、标识牌规范建设、LED彩屏安装等），有序推进中。指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跟踪服务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32"/>
          <w:sz w:val="32"/>
          <w:szCs w:val="32"/>
          <w:lang w:val="en-US" w:eastAsia="zh-CN"/>
        </w:rPr>
        <w:t>虹山乡住宿设施及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游客中心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提升工作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32"/>
          <w:sz w:val="32"/>
          <w:szCs w:val="32"/>
          <w:lang w:val="en-US" w:eastAsia="zh-CN"/>
        </w:rPr>
        <w:t>，积极申报“全域生态旅游小镇”。指导洪四村完善红色旅游产品，投入约1500万元用于樱花园等建设，积极申报“金牌旅游村”。继续推进培育桥南古街海丝文化主题街区，依托桥南古街古民居，投入100万元建设非遗展示馆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kern w:val="2"/>
          <w:position w:val="0"/>
          <w:sz w:val="32"/>
          <w:szCs w:val="32"/>
          <w:lang w:val="zh-CN" w:eastAsia="zh-CN" w:bidi="ar-SA"/>
        </w:rPr>
        <w:t>丰富</w:t>
      </w:r>
      <w:r>
        <w:rPr>
          <w:rFonts w:hint="eastAsia" w:ascii="仿宋_GB2312" w:hAnsi="仿宋_GB2312" w:eastAsia="仿宋_GB2312" w:cs="仿宋_GB2312"/>
          <w:b w:val="0"/>
          <w:bCs w:val="0"/>
          <w:snapToGrid/>
          <w:kern w:val="32"/>
          <w:sz w:val="32"/>
          <w:szCs w:val="32"/>
          <w:lang w:val="zh-CN" w:eastAsia="zh-CN"/>
        </w:rPr>
        <w:t>古街文化业态。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楷体_GB2312" w:hAnsi="楷体_GB2312" w:eastAsia="楷体_GB2312" w:cs="楷体_GB2312"/>
          <w:b/>
          <w:color w:val="0C0C0C"/>
          <w:kern w:val="0"/>
          <w:sz w:val="32"/>
          <w:szCs w:val="32"/>
          <w:lang w:val="en-US" w:eastAsia="zh-CN"/>
        </w:rPr>
        <w:t>（四）文旅</w:t>
      </w:r>
      <w:r>
        <w:rPr>
          <w:rFonts w:hint="default" w:ascii="楷体_GB2312" w:hAnsi="楷体_GB2312" w:eastAsia="楷体_GB2312" w:cs="楷体_GB2312"/>
          <w:b/>
          <w:color w:val="0C0C0C"/>
          <w:kern w:val="0"/>
          <w:sz w:val="32"/>
          <w:szCs w:val="32"/>
          <w:lang w:eastAsia="zh-CN"/>
        </w:rPr>
        <w:t>宣传营销</w:t>
      </w:r>
      <w:r>
        <w:rPr>
          <w:rFonts w:hint="eastAsia" w:ascii="楷体_GB2312" w:hAnsi="楷体_GB2312" w:eastAsia="楷体_GB2312" w:cs="楷体_GB2312"/>
          <w:b/>
          <w:color w:val="0C0C0C"/>
          <w:kern w:val="0"/>
          <w:sz w:val="32"/>
          <w:szCs w:val="32"/>
          <w:lang w:eastAsia="zh-CN"/>
        </w:rPr>
        <w:t>亮点纷呈。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实施洛阳桥古街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节日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文旅营销活动，推出洛阳桥智慧旅游体验活动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开展洛阳桥公益讲解活动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30余场,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洛阳桥入选全市首批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10个海洋文化重点影视拍摄取景点，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“世遗”效应进一步发挥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召开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陈三五娘传说文化研讨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会、拍摄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陈三五娘系列讲古视频，创作《俞大猷》舞蹈剧、《荔镜奇缘》陈三五娘南音剧，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举办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“洛水仙山 海丝情”洛阳桥常态化惠民演出、街头文化</w:t>
      </w:r>
      <w:r>
        <w:rPr>
          <w:rFonts w:hint="eastAsia" w:ascii="仿宋_GB2312" w:hAnsi="仿宋_GB2312" w:eastAsia="仿宋_GB2312" w:cs="仿宋_GB2312"/>
          <w:sz w:val="32"/>
          <w:szCs w:val="32"/>
        </w:rPr>
        <w:t>艺术展演、“三下乡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>场活动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“四名”文化内涵不断拓展。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“5·19中国旅游日”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文化和自然遗产日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”、“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7.25泉州世界遗产日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在洛阳桥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开展非遗伴手礼资源展销、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俞家棍展演、陈三五娘戏曲表演等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系列文旅活动，促进文旅融合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“悠游洛江”品牌知名度不断提升。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color w:val="0C0C0C"/>
          <w:kern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color w:val="0C0C0C"/>
          <w:kern w:val="0"/>
          <w:sz w:val="32"/>
          <w:szCs w:val="32"/>
          <w:lang w:val="en-US" w:eastAsia="zh-CN"/>
        </w:rPr>
        <w:t>五</w:t>
      </w:r>
      <w:r>
        <w:rPr>
          <w:rFonts w:hint="eastAsia" w:ascii="楷体" w:hAnsi="楷体" w:eastAsia="楷体" w:cs="楷体"/>
          <w:b/>
          <w:color w:val="0C0C0C"/>
          <w:kern w:val="0"/>
          <w:sz w:val="32"/>
          <w:szCs w:val="32"/>
          <w:lang w:eastAsia="zh-CN"/>
        </w:rPr>
        <w:t>）文旅</w:t>
      </w:r>
      <w:r>
        <w:rPr>
          <w:rFonts w:hint="eastAsia" w:ascii="楷体" w:hAnsi="楷体" w:eastAsia="楷体" w:cs="楷体"/>
          <w:b/>
          <w:color w:val="0C0C0C"/>
          <w:kern w:val="0"/>
          <w:sz w:val="32"/>
          <w:szCs w:val="32"/>
        </w:rPr>
        <w:t>市场</w:t>
      </w:r>
      <w:r>
        <w:rPr>
          <w:rFonts w:hint="eastAsia" w:ascii="楷体" w:hAnsi="楷体" w:eastAsia="楷体" w:cs="楷体"/>
          <w:b/>
          <w:color w:val="0C0C0C"/>
          <w:kern w:val="0"/>
          <w:sz w:val="32"/>
          <w:szCs w:val="32"/>
          <w:lang w:eastAsia="zh-CN"/>
        </w:rPr>
        <w:t>服务保障有序。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举办洛江区政企“文旅产业”专场座谈会，征求文旅企业意见建议，努力为文旅企业解难题办实事，增强文旅市场主体发展信心。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对接华侨大学旅游学院，签订战略合作（框架）协议，以马甲镇、罗溪镇、河市镇、虹山乡4个乡镇为试点，组建4个乡村旅游辅导员工作站，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对有乡村旅游发展需求的乡村以辅导员形式进行专业指导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。举办洛江区乡村旅游人才培训活动，提升乡村旅游创业青年经营管理水平。</w:t>
      </w:r>
    </w:p>
    <w:p>
      <w:pPr>
        <w:spacing w:line="600" w:lineRule="exact"/>
        <w:ind w:firstLine="640" w:firstLineChars="200"/>
        <w:rPr>
          <w:rFonts w:hint="default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感谢您对洛江文旅产业发展的关心关注！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主要领导：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吕培基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分管领导：林晓玲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经办人员：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林巧云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联系电话：226310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</w:t>
      </w:r>
      <w:r>
        <w:rPr>
          <w:rFonts w:hint="eastAsia" w:ascii="仿宋_GB2312" w:eastAsia="仿宋_GB2312"/>
          <w:sz w:val="32"/>
          <w:szCs w:val="32"/>
        </w:rPr>
        <w:t xml:space="preserve">          </w:t>
      </w:r>
    </w:p>
    <w:p>
      <w:pPr>
        <w:spacing w:line="48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27" w:firstLineChars="196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27" w:firstLineChars="196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27" w:firstLineChars="196"/>
        <w:jc w:val="center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泉州市</w:t>
      </w:r>
      <w:r>
        <w:rPr>
          <w:rFonts w:hint="eastAsia" w:ascii="仿宋_GB2312" w:eastAsia="仿宋_GB2312"/>
          <w:color w:val="000000"/>
          <w:sz w:val="32"/>
          <w:szCs w:val="32"/>
          <w:lang w:val="zh-CN"/>
        </w:rPr>
        <w:t>洛江区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文化体育和旅游</w:t>
      </w:r>
      <w:r>
        <w:rPr>
          <w:rFonts w:hint="eastAsia" w:ascii="仿宋_GB2312" w:eastAsia="仿宋_GB2312"/>
          <w:color w:val="000000"/>
          <w:sz w:val="32"/>
          <w:szCs w:val="32"/>
          <w:lang w:val="zh-CN"/>
        </w:rPr>
        <w:t>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27" w:firstLineChars="196"/>
        <w:jc w:val="center"/>
        <w:textAlignment w:val="auto"/>
        <w:outlineLvl w:val="9"/>
        <w:rPr>
          <w:rFonts w:hint="eastAsia" w:ascii="仿宋_GB2312" w:eastAsia="仿宋_GB2312"/>
          <w:kern w:val="0"/>
          <w:sz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              2023</w:t>
      </w:r>
      <w:r>
        <w:rPr>
          <w:rFonts w:hint="eastAsia" w:ascii="仿宋_GB2312" w:eastAsia="仿宋_GB2312"/>
          <w:color w:val="000000"/>
          <w:sz w:val="32"/>
          <w:szCs w:val="32"/>
          <w:lang w:val="zh-CN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000000"/>
          <w:sz w:val="32"/>
          <w:szCs w:val="32"/>
          <w:lang w:val="zh-CN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color w:val="000000"/>
          <w:sz w:val="32"/>
          <w:szCs w:val="32"/>
          <w:lang w:val="zh-CN"/>
        </w:rPr>
        <w:t>日</w:t>
      </w:r>
    </w:p>
    <w:p>
      <w:pPr>
        <w:autoSpaceDE w:val="0"/>
        <w:autoSpaceDN w:val="0"/>
        <w:adjustRightInd w:val="0"/>
        <w:spacing w:line="480" w:lineRule="exact"/>
        <w:jc w:val="both"/>
        <w:rPr>
          <w:rFonts w:hint="eastAsia" w:ascii="仿宋_GB2312" w:eastAsia="仿宋_GB2312"/>
          <w:kern w:val="0"/>
          <w:sz w:val="32"/>
        </w:rPr>
      </w:pPr>
    </w:p>
    <w:p>
      <w:pPr>
        <w:pStyle w:val="2"/>
        <w:rPr>
          <w:rFonts w:hint="eastAsia" w:ascii="仿宋_GB2312" w:eastAsia="仿宋_GB2312"/>
          <w:kern w:val="0"/>
          <w:sz w:val="32"/>
        </w:rPr>
      </w:pPr>
    </w:p>
    <w:p>
      <w:pPr>
        <w:rPr>
          <w:rFonts w:hint="eastAsia" w:ascii="仿宋_GB2312" w:eastAsia="仿宋_GB2312"/>
          <w:kern w:val="0"/>
          <w:sz w:val="32"/>
        </w:rPr>
      </w:pPr>
    </w:p>
    <w:p>
      <w:pPr>
        <w:pStyle w:val="2"/>
        <w:rPr>
          <w:rFonts w:hint="eastAsia" w:ascii="仿宋_GB2312" w:eastAsia="仿宋_GB2312"/>
          <w:kern w:val="0"/>
          <w:sz w:val="32"/>
        </w:rPr>
      </w:pPr>
    </w:p>
    <w:p>
      <w:pPr>
        <w:rPr>
          <w:rFonts w:hint="eastAsia" w:ascii="仿宋_GB2312" w:eastAsia="仿宋_GB2312"/>
          <w:kern w:val="0"/>
          <w:sz w:val="32"/>
        </w:rPr>
      </w:pPr>
    </w:p>
    <w:p>
      <w:pPr>
        <w:pStyle w:val="2"/>
        <w:rPr>
          <w:rFonts w:hint="eastAsia" w:ascii="仿宋_GB2312" w:eastAsia="仿宋_GB2312"/>
          <w:kern w:val="0"/>
          <w:sz w:val="32"/>
        </w:rPr>
      </w:pPr>
    </w:p>
    <w:p>
      <w:pPr>
        <w:rPr>
          <w:rFonts w:hint="eastAsia" w:ascii="仿宋_GB2312" w:eastAsia="仿宋_GB2312"/>
          <w:kern w:val="0"/>
          <w:sz w:val="32"/>
        </w:rPr>
      </w:pPr>
    </w:p>
    <w:p>
      <w:pPr>
        <w:pStyle w:val="2"/>
        <w:rPr>
          <w:rFonts w:hint="eastAsia" w:ascii="仿宋_GB2312" w:eastAsia="仿宋_GB2312"/>
          <w:kern w:val="0"/>
          <w:sz w:val="32"/>
        </w:rPr>
      </w:pPr>
    </w:p>
    <w:p>
      <w:pPr>
        <w:rPr>
          <w:rFonts w:hint="eastAsia" w:ascii="仿宋_GB2312" w:eastAsia="仿宋_GB2312"/>
          <w:kern w:val="0"/>
          <w:sz w:val="32"/>
        </w:rPr>
      </w:pPr>
    </w:p>
    <w:p>
      <w:pPr>
        <w:pStyle w:val="2"/>
        <w:rPr>
          <w:rFonts w:hint="eastAsia" w:ascii="仿宋_GB2312" w:eastAsia="仿宋_GB2312"/>
          <w:kern w:val="0"/>
          <w:sz w:val="32"/>
        </w:rPr>
      </w:pPr>
    </w:p>
    <w:p>
      <w:pPr>
        <w:rPr>
          <w:rFonts w:hint="eastAsia" w:ascii="仿宋_GB2312" w:eastAsia="仿宋_GB2312"/>
          <w:kern w:val="0"/>
          <w:sz w:val="32"/>
        </w:rPr>
      </w:pPr>
    </w:p>
    <w:p>
      <w:pPr>
        <w:pStyle w:val="2"/>
        <w:rPr>
          <w:rFonts w:hint="eastAsia" w:ascii="仿宋_GB2312" w:eastAsia="仿宋_GB2312"/>
          <w:kern w:val="0"/>
          <w:sz w:val="32"/>
        </w:rPr>
      </w:pPr>
    </w:p>
    <w:p>
      <w:pPr>
        <w:rPr>
          <w:rFonts w:hint="eastAsia" w:ascii="仿宋_GB2312" w:eastAsia="仿宋_GB2312"/>
          <w:kern w:val="0"/>
          <w:sz w:val="32"/>
        </w:rPr>
      </w:pPr>
    </w:p>
    <w:p>
      <w:pPr>
        <w:pStyle w:val="2"/>
        <w:rPr>
          <w:rFonts w:hint="eastAsia" w:ascii="仿宋_GB2312" w:eastAsia="仿宋_GB2312"/>
          <w:kern w:val="0"/>
          <w:sz w:val="32"/>
        </w:rPr>
      </w:pPr>
    </w:p>
    <w:p>
      <w:pPr>
        <w:rPr>
          <w:rFonts w:hint="eastAsia" w:ascii="仿宋_GB2312" w:eastAsia="仿宋_GB2312"/>
          <w:kern w:val="0"/>
          <w:sz w:val="32"/>
        </w:rPr>
      </w:pPr>
    </w:p>
    <w:p>
      <w:pPr>
        <w:pStyle w:val="2"/>
        <w:rPr>
          <w:rFonts w:hint="eastAsia" w:ascii="仿宋_GB2312" w:eastAsia="仿宋_GB2312"/>
          <w:kern w:val="0"/>
          <w:sz w:val="32"/>
        </w:rPr>
      </w:pPr>
    </w:p>
    <w:p>
      <w:pPr>
        <w:rPr>
          <w:rFonts w:hint="eastAsia" w:ascii="仿宋_GB2312" w:eastAsia="仿宋_GB2312"/>
          <w:kern w:val="0"/>
          <w:sz w:val="32"/>
        </w:rPr>
      </w:pPr>
    </w:p>
    <w:p>
      <w:pPr>
        <w:pStyle w:val="2"/>
        <w:rPr>
          <w:rFonts w:hint="eastAsia" w:ascii="仿宋_GB2312" w:eastAsia="仿宋_GB2312"/>
          <w:kern w:val="0"/>
          <w:sz w:val="32"/>
        </w:rPr>
      </w:pPr>
      <w:bookmarkStart w:id="0" w:name="_GoBack"/>
      <w:bookmarkEnd w:id="0"/>
    </w:p>
    <w:p>
      <w:pPr>
        <w:rPr>
          <w:rFonts w:hint="eastAsia" w:ascii="仿宋_GB2312" w:eastAsia="仿宋_GB2312"/>
          <w:kern w:val="0"/>
          <w:sz w:val="32"/>
        </w:rPr>
      </w:pPr>
    </w:p>
    <w:p>
      <w:pPr>
        <w:pStyle w:val="2"/>
        <w:rPr>
          <w:rFonts w:hint="eastAsia" w:ascii="仿宋_GB2312" w:eastAsia="仿宋_GB2312"/>
          <w:kern w:val="0"/>
          <w:sz w:val="32"/>
        </w:rPr>
      </w:pPr>
    </w:p>
    <w:p>
      <w:pPr>
        <w:rPr>
          <w:rFonts w:hint="eastAsia" w:ascii="仿宋_GB2312" w:eastAsia="仿宋_GB2312"/>
          <w:kern w:val="0"/>
          <w:sz w:val="32"/>
        </w:rPr>
      </w:pPr>
    </w:p>
    <w:p>
      <w:pPr>
        <w:rPr>
          <w:rFonts w:hint="eastAsia"/>
        </w:rPr>
      </w:pPr>
    </w:p>
    <w:p>
      <w:pPr>
        <w:pBdr>
          <w:top w:val="single" w:color="auto" w:sz="12" w:space="1"/>
        </w:pBdr>
        <w:tabs>
          <w:tab w:val="left" w:pos="720"/>
        </w:tabs>
        <w:ind w:firstLine="280" w:firstLineChars="1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抄送：</w:t>
      </w:r>
      <w:r>
        <w:rPr>
          <w:rFonts w:hint="eastAsia" w:ascii="仿宋_GB2312" w:eastAsia="仿宋_GB2312"/>
          <w:kern w:val="0"/>
          <w:sz w:val="28"/>
          <w:szCs w:val="28"/>
        </w:rPr>
        <w:t>区人大人事代表工委</w:t>
      </w:r>
      <w:r>
        <w:rPr>
          <w:rFonts w:hint="eastAsia" w:ascii="仿宋" w:hAnsi="仿宋" w:eastAsia="仿宋"/>
          <w:color w:val="000000"/>
          <w:sz w:val="28"/>
          <w:szCs w:val="28"/>
        </w:rPr>
        <w:t>、区政府督查室。</w:t>
      </w:r>
    </w:p>
    <w:p>
      <w:pPr>
        <w:pBdr>
          <w:top w:val="single" w:color="auto" w:sz="8" w:space="1"/>
          <w:bottom w:val="single" w:color="auto" w:sz="12" w:space="1"/>
        </w:pBd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 泉州市洛江区文化体育和旅游局办公室  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2023</w:t>
      </w:r>
      <w:r>
        <w:rPr>
          <w:rFonts w:hint="eastAsia" w:ascii="仿宋" w:hAnsi="仿宋" w:eastAsia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/>
          <w:color w:val="000000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1871" w:right="1304" w:bottom="1531" w:left="1304" w:header="851" w:footer="1247" w:gutter="0"/>
      <w:pgNumType w:fmt="numberInDash"/>
      <w:cols w:space="720" w:num="1"/>
      <w:docGrid w:type="linesAndChars" w:linePitch="610" w:charSpace="1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1142" w:wrap="around" w:vAnchor="text" w:hAnchor="margin" w:xAlign="outside" w:y="7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- 3 -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1262" w:wrap="around" w:vAnchor="text" w:hAnchor="margin" w:xAlign="outside" w:y="7"/>
      <w:ind w:firstLine="280" w:firstLineChars="100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N2VlYmMwNzQzYjU0ODlkZGNkMzJkYjJlM2IyYTMifQ=="/>
  </w:docVars>
  <w:rsids>
    <w:rsidRoot w:val="2D6869D0"/>
    <w:rsid w:val="0C506B43"/>
    <w:rsid w:val="0D0F1D40"/>
    <w:rsid w:val="2D6869D0"/>
    <w:rsid w:val="390C3A9C"/>
    <w:rsid w:val="56F61B51"/>
    <w:rsid w:val="5A1B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eastAsia="仿宋_GB2312" w:asciiTheme="minorAscii" w:hAnsiTheme="minorAscii"/>
      <w:color w:val="000000" w:themeColor="text1"/>
      <w:w w:val="150"/>
      <w:kern w:val="44"/>
      <w:position w:val="-6"/>
      <w:sz w:val="32"/>
      <w:szCs w:val="72"/>
      <w14:textFill>
        <w14:solidFill>
          <w14:schemeClr w14:val="tx1"/>
        </w14:solidFill>
      </w14:textFill>
    </w:rPr>
  </w:style>
  <w:style w:type="paragraph" w:styleId="3">
    <w:name w:val="Balloon Text"/>
    <w:basedOn w:val="1"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1522</Words>
  <Characters>1601</Characters>
  <Lines>0</Lines>
  <Paragraphs>0</Paragraphs>
  <TotalTime>0</TotalTime>
  <ScaleCrop>false</ScaleCrop>
  <LinksUpToDate>false</LinksUpToDate>
  <CharactersWithSpaces>1714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2023-09-04T08:11:00Z</dcterms:created>
  <dc:creator>木</dc:creator>
  <cp:lastModifiedBy>Administrator</cp:lastModifiedBy>
  <cp:lastPrinted>2023-09-13T04:39:28Z</cp:lastPrinted>
  <dcterms:modified xsi:type="dcterms:W3CDTF">2023-09-13T04:39:33Z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414BB357E0C8419CA6E3B33A9CB770C8_13</vt:lpwstr>
  </property>
</Properties>
</file>