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Bdr>
          <w:bottom w:val="single" w:color="auto" w:sz="12" w:space="1"/>
        </w:pBdr>
        <w:autoSpaceDE w:val="0"/>
        <w:autoSpaceDN w:val="0"/>
        <w:adjustRightInd w:val="0"/>
        <w:spacing w:line="700" w:lineRule="exact"/>
        <w:jc w:val="center"/>
        <w:rPr>
          <w:rFonts w:ascii="方正小标宋简体" w:eastAsia="方正小标宋简体"/>
          <w:kern w:val="0"/>
          <w:sz w:val="44"/>
        </w:rPr>
      </w:pPr>
      <w:r>
        <w:rPr>
          <w:rFonts w:hint="eastAsia" w:ascii="方正小标宋简体" w:eastAsia="方正小标宋简体"/>
          <w:kern w:val="0"/>
          <w:sz w:val="44"/>
        </w:rPr>
        <w:t>泉州市洛江区文化体育和旅游局（函）</w:t>
      </w:r>
    </w:p>
    <w:p>
      <w:pPr>
        <w:autoSpaceDE w:val="0"/>
        <w:autoSpaceDN w:val="0"/>
        <w:adjustRightInd w:val="0"/>
        <w:snapToGrid w:val="0"/>
        <w:spacing w:beforeLines="50" w:afterLines="50"/>
        <w:jc w:val="right"/>
        <w:rPr>
          <w:rFonts w:ascii="仿宋_GB2312" w:eastAsia="仿宋_GB2312"/>
          <w:kern w:val="0"/>
          <w:sz w:val="32"/>
        </w:rPr>
      </w:pPr>
      <w:r>
        <w:rPr>
          <w:rFonts w:hint="eastAsia" w:ascii="仿宋_GB2312" w:eastAsia="仿宋_GB2312"/>
          <w:kern w:val="0"/>
          <w:sz w:val="32"/>
          <w:lang w:eastAsia="zh-CN"/>
        </w:rPr>
        <w:t>泉洛政文体旅</w:t>
      </w:r>
      <w:r>
        <w:rPr>
          <w:rFonts w:hint="eastAsia" w:ascii="仿宋_GB2312" w:eastAsia="仿宋_GB2312"/>
          <w:kern w:val="0"/>
          <w:sz w:val="32"/>
        </w:rPr>
        <w:t>函〔</w:t>
      </w:r>
      <w:r>
        <w:rPr>
          <w:rFonts w:ascii="仿宋_GB2312" w:eastAsia="仿宋_GB2312"/>
          <w:kern w:val="0"/>
          <w:sz w:val="32"/>
        </w:rPr>
        <w:t>202</w:t>
      </w:r>
      <w:r>
        <w:rPr>
          <w:rFonts w:hint="eastAsia" w:ascii="仿宋_GB2312" w:eastAsia="仿宋_GB2312"/>
          <w:kern w:val="0"/>
          <w:sz w:val="32"/>
          <w:lang w:val="en-US" w:eastAsia="zh-CN"/>
        </w:rPr>
        <w:t>3</w:t>
      </w:r>
      <w:r>
        <w:rPr>
          <w:rFonts w:hint="eastAsia" w:ascii="仿宋_GB2312" w:eastAsia="仿宋_GB2312"/>
          <w:kern w:val="0"/>
          <w:sz w:val="32"/>
        </w:rPr>
        <w:t>〕</w:t>
      </w:r>
      <w:r>
        <w:rPr>
          <w:rFonts w:hint="eastAsia" w:ascii="仿宋_GB2312" w:eastAsia="仿宋_GB2312"/>
          <w:kern w:val="0"/>
          <w:sz w:val="32"/>
          <w:lang w:val="en-US" w:eastAsia="zh-CN"/>
        </w:rPr>
        <w:t>40</w:t>
      </w:r>
      <w:r>
        <w:rPr>
          <w:rFonts w:hint="eastAsia" w:ascii="仿宋_GB2312" w:eastAsia="仿宋_GB2312"/>
          <w:kern w:val="0"/>
          <w:sz w:val="32"/>
        </w:rPr>
        <w:t>号</w:t>
      </w:r>
    </w:p>
    <w:p>
      <w:pPr>
        <w:autoSpaceDE w:val="0"/>
        <w:autoSpaceDN w:val="0"/>
        <w:adjustRightInd w:val="0"/>
        <w:snapToGrid w:val="0"/>
        <w:spacing w:beforeLines="50" w:afterLines="50"/>
        <w:jc w:val="left"/>
        <w:rPr>
          <w:rFonts w:ascii="仿宋_GB2312" w:eastAsia="仿宋_GB2312"/>
          <w:kern w:val="0"/>
          <w:sz w:val="32"/>
        </w:rPr>
      </w:pPr>
      <w:r>
        <w:rPr>
          <w:rFonts w:hint="eastAsia" w:ascii="仿宋_GB2312" w:eastAsia="仿宋_GB2312"/>
          <w:kern w:val="0"/>
          <w:sz w:val="32"/>
        </w:rPr>
        <w:t xml:space="preserve">        </w:t>
      </w:r>
    </w:p>
    <w:p>
      <w:pPr>
        <w:autoSpaceDE w:val="0"/>
        <w:autoSpaceDN w:val="0"/>
        <w:adjustRightInd w:val="0"/>
        <w:spacing w:line="640" w:lineRule="exact"/>
        <w:jc w:val="center"/>
        <w:rPr>
          <w:rFonts w:ascii="方正小标宋简体" w:eastAsia="方正小标宋简体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方正小标宋简体" w:eastAsia="方正小标宋简体"/>
          <w:kern w:val="0"/>
          <w:sz w:val="44"/>
          <w:szCs w:val="44"/>
        </w:rPr>
        <w:t>关于洛江区</w:t>
      </w:r>
      <w:r>
        <w:rPr>
          <w:rFonts w:hint="eastAsia" w:ascii="方正小标宋简体" w:eastAsia="方正小标宋简体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六届人大</w:t>
      </w:r>
      <w:r>
        <w:rPr>
          <w:rFonts w:hint="eastAsia" w:ascii="方正小标宋简体" w:eastAsia="方正小标宋简体"/>
          <w:color w:val="000000" w:themeColor="text1"/>
          <w:kern w:val="0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eastAsia" w:ascii="方正小标宋简体" w:eastAsia="方正小标宋简体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次会议</w:t>
      </w:r>
    </w:p>
    <w:p>
      <w:pPr>
        <w:autoSpaceDE w:val="0"/>
        <w:autoSpaceDN w:val="0"/>
        <w:adjustRightInd w:val="0"/>
        <w:spacing w:line="640" w:lineRule="exact"/>
        <w:jc w:val="center"/>
        <w:rPr>
          <w:rFonts w:hint="eastAsia" w:ascii="方正小标宋简体" w:eastAsia="方正小标宋简体"/>
          <w:kern w:val="0"/>
          <w:sz w:val="44"/>
          <w:szCs w:val="44"/>
        </w:rPr>
      </w:pPr>
      <w:r>
        <w:rPr>
          <w:rFonts w:hint="eastAsia" w:ascii="方正小标宋简体" w:eastAsia="方正小标宋简体"/>
          <w:kern w:val="0"/>
          <w:sz w:val="44"/>
          <w:szCs w:val="44"/>
        </w:rPr>
        <w:t>第</w:t>
      </w:r>
      <w:r>
        <w:rPr>
          <w:rFonts w:hint="eastAsia" w:ascii="方正小标宋简体" w:eastAsia="方正小标宋简体"/>
          <w:kern w:val="0"/>
          <w:sz w:val="44"/>
          <w:szCs w:val="44"/>
          <w:lang w:val="en-US" w:eastAsia="zh-CN"/>
        </w:rPr>
        <w:t>6053</w:t>
      </w:r>
      <w:r>
        <w:rPr>
          <w:rFonts w:hint="eastAsia" w:ascii="方正小标宋简体" w:eastAsia="方正小标宋简体"/>
          <w:kern w:val="0"/>
          <w:sz w:val="44"/>
          <w:szCs w:val="44"/>
        </w:rPr>
        <w:t>号建议</w:t>
      </w:r>
      <w:r>
        <w:rPr>
          <w:rFonts w:hint="eastAsia" w:ascii="方正小标宋简体" w:eastAsia="方正小标宋简体"/>
          <w:kern w:val="0"/>
          <w:sz w:val="44"/>
          <w:szCs w:val="44"/>
          <w:lang w:eastAsia="zh-CN"/>
        </w:rPr>
        <w:t>二次</w:t>
      </w:r>
      <w:r>
        <w:rPr>
          <w:rFonts w:hint="eastAsia" w:ascii="方正小标宋简体" w:eastAsia="方正小标宋简体"/>
          <w:kern w:val="0"/>
          <w:sz w:val="44"/>
          <w:szCs w:val="44"/>
        </w:rPr>
        <w:t>答复的函</w:t>
      </w:r>
    </w:p>
    <w:bookmarkEnd w:id="0"/>
    <w:p>
      <w:pPr>
        <w:pStyle w:val="3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杜丕生代表：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640"/>
        <w:textAlignment w:val="auto"/>
        <w:rPr>
          <w:rFonts w:hint="eastAsia"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  <w:lang w:eastAsia="zh-CN"/>
        </w:rPr>
        <w:t>关于您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提出的</w:t>
      </w:r>
      <w:r>
        <w:rPr>
          <w:rFonts w:hint="eastAsia" w:ascii="仿宋_GB2312" w:hAnsi="宋体" w:eastAsia="仿宋_GB2312" w:cs="Times New Roman"/>
          <w:color w:val="000000"/>
          <w:sz w:val="32"/>
          <w:szCs w:val="32"/>
        </w:rPr>
        <w:t>《</w:t>
      </w:r>
      <w:r>
        <w:rPr>
          <w:rFonts w:hint="eastAsia" w:ascii="仿宋_GB2312" w:hAnsi="宋体" w:eastAsia="仿宋_GB2312" w:cs="Times New Roman"/>
          <w:color w:val="000000"/>
          <w:sz w:val="32"/>
          <w:szCs w:val="32"/>
          <w:lang w:val="en-US" w:eastAsia="zh-CN"/>
        </w:rPr>
        <w:t>关于加大统筹整合洛江文旅资源力度，大力推进洛江文旅融合快速发展的建议</w:t>
      </w:r>
      <w:r>
        <w:rPr>
          <w:rFonts w:hint="eastAsia" w:ascii="仿宋_GB2312" w:hAnsi="宋体" w:eastAsia="仿宋_GB2312" w:cs="Times New Roman"/>
          <w:color w:val="000000"/>
          <w:sz w:val="32"/>
          <w:szCs w:val="32"/>
        </w:rPr>
        <w:t>》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，现将</w:t>
      </w:r>
      <w:r>
        <w:rPr>
          <w:rFonts w:hint="eastAsia" w:ascii="仿宋_GB2312" w:hAnsi="宋体" w:eastAsia="仿宋_GB2312"/>
          <w:color w:val="000000"/>
          <w:sz w:val="32"/>
          <w:szCs w:val="32"/>
          <w:lang w:eastAsia="zh-CN"/>
        </w:rPr>
        <w:t>办理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意见</w:t>
      </w:r>
      <w:r>
        <w:rPr>
          <w:rFonts w:hint="eastAsia" w:ascii="仿宋_GB2312" w:hAnsi="宋体" w:eastAsia="仿宋_GB2312"/>
          <w:color w:val="000000"/>
          <w:sz w:val="32"/>
          <w:szCs w:val="32"/>
          <w:lang w:eastAsia="zh-CN"/>
        </w:rPr>
        <w:t>再次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反馈如下：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近年来，洛江区借助青山绿水的生态优势，整合“名山、名桥、名人、名传说”的人文资源，发挥“世遗”效应，以文旅融合为途径，借生态搭台、以文化赋能，发展全域旅游，唱响“悠游洛江”文旅品牌，推动文旅事业高质量发展。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eastAsia" w:eastAsia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  针对建议中提到的几点建议，我们主要做了以下工作：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一是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统筹谋划，加强顶层设计。</w:t>
      </w:r>
      <w:r>
        <w:rPr>
          <w:rFonts w:hint="eastAsia" w:ascii="仿宋_GB2312" w:hAnsi="仿宋_GB2312" w:eastAsia="仿宋_GB2312" w:cs="仿宋_GB2312"/>
          <w:sz w:val="32"/>
          <w:szCs w:val="32"/>
        </w:rPr>
        <w:t>今年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以</w:t>
      </w:r>
      <w:r>
        <w:rPr>
          <w:rFonts w:hint="eastAsia" w:ascii="仿宋_GB2312" w:hAnsi="仿宋_GB2312" w:eastAsia="仿宋_GB2312" w:cs="仿宋_GB2312"/>
          <w:sz w:val="32"/>
          <w:szCs w:val="32"/>
        </w:rPr>
        <w:t>来，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持续</w:t>
      </w:r>
      <w:r>
        <w:rPr>
          <w:rFonts w:hint="eastAsia" w:ascii="仿宋_GB2312" w:hAnsi="仿宋_GB2312" w:eastAsia="仿宋_GB2312" w:cs="仿宋_GB2312"/>
          <w:sz w:val="32"/>
          <w:szCs w:val="32"/>
        </w:rPr>
        <w:t>贯彻落实区委关于“深学争优、敢为争先、实干争效”行动总体部署，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以洛江区文旅经济发展领导小组为组织力量，</w:t>
      </w:r>
      <w:r>
        <w:rPr>
          <w:rFonts w:hint="eastAsia" w:ascii="仿宋_GB2312" w:hAnsi="仿宋_GB2312" w:eastAsia="仿宋_GB2312" w:cs="仿宋_GB2312"/>
          <w:sz w:val="32"/>
          <w:szCs w:val="32"/>
        </w:rPr>
        <w:t>以开展“文旅+”专项行动为抓手，强化文旅项目招商，优化文旅公共服务，促进文旅消费升级。2023年上半年洛江区接待国内旅游人数138.68万，同比增长50.0%，实现国内旅游收入12.24亿元，同比增长58.5%。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/>
          <w:color w:val="FF0000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二是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创新机制，推动业态发展。成立洛江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文旅发展有限公司，搭建区属国企业务实施平台，助力统筹整合洛江文旅资源，打造洛江文旅发展特色品牌。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指导仙公山景区按照4A景区标准进行提升，目前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zh-CN" w:eastAsia="zh-CN"/>
        </w:rPr>
        <w:t>仙公山景区三座大殿修缮项目已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/>
        </w:rPr>
        <w:t>进场施工；同时，启动游客中心的加固及改造提升项目设计及</w:t>
      </w:r>
      <w:r>
        <w:rPr>
          <w:rFonts w:hint="eastAsia" w:ascii="仿宋_GB2312" w:hAnsi="仿宋_GB2312" w:eastAsia="仿宋_GB2312" w:cs="仿宋_GB2312"/>
          <w:b w:val="0"/>
          <w:bCs w:val="0"/>
          <w:snapToGrid/>
          <w:kern w:val="32"/>
          <w:sz w:val="32"/>
          <w:szCs w:val="32"/>
          <w:lang w:val="en-US" w:eastAsia="zh-CN"/>
        </w:rPr>
        <w:t>其他改造项目（石桌石椅安装、标识牌规范建设、LED彩屏安装等）。继续推进培育桥南古街海丝文化主题街区，依托桥南古街古民居，投入100万元建设非遗展示馆，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w w:val="100"/>
          <w:kern w:val="2"/>
          <w:position w:val="0"/>
          <w:sz w:val="32"/>
          <w:szCs w:val="32"/>
          <w:lang w:val="zh-CN" w:eastAsia="zh-CN" w:bidi="ar-SA"/>
        </w:rPr>
        <w:t>丰富</w:t>
      </w:r>
      <w:r>
        <w:rPr>
          <w:rFonts w:hint="eastAsia" w:ascii="仿宋_GB2312" w:hAnsi="仿宋_GB2312" w:eastAsia="仿宋_GB2312" w:cs="仿宋_GB2312"/>
          <w:b w:val="0"/>
          <w:bCs w:val="0"/>
          <w:snapToGrid/>
          <w:kern w:val="32"/>
          <w:sz w:val="32"/>
          <w:szCs w:val="32"/>
          <w:lang w:val="zh-CN" w:eastAsia="zh-CN"/>
        </w:rPr>
        <w:t>古街文化业态。</w:t>
      </w:r>
      <w:r>
        <w:rPr>
          <w:rFonts w:hint="eastAsia" w:ascii="仿宋_GB2312" w:hAnsi="仿宋_GB2312" w:eastAsia="仿宋_GB2312" w:cs="仿宋_GB2312"/>
          <w:b w:val="0"/>
          <w:bCs w:val="0"/>
          <w:snapToGrid/>
          <w:kern w:val="32"/>
          <w:sz w:val="32"/>
          <w:szCs w:val="32"/>
          <w:lang w:val="en-US" w:eastAsia="zh-CN"/>
        </w:rPr>
        <w:t>指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导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跟踪服务</w:t>
      </w:r>
      <w:r>
        <w:rPr>
          <w:rFonts w:hint="eastAsia" w:ascii="仿宋_GB2312" w:hAnsi="仿宋_GB2312" w:eastAsia="仿宋_GB2312" w:cs="仿宋_GB2312"/>
          <w:b w:val="0"/>
          <w:bCs w:val="0"/>
          <w:snapToGrid/>
          <w:kern w:val="32"/>
          <w:sz w:val="32"/>
          <w:szCs w:val="32"/>
          <w:lang w:val="en-US" w:eastAsia="zh-CN"/>
        </w:rPr>
        <w:t>虹山乡住宿设施及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游客中心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提升工作</w:t>
      </w:r>
      <w:r>
        <w:rPr>
          <w:rFonts w:hint="eastAsia" w:ascii="仿宋_GB2312" w:hAnsi="仿宋_GB2312" w:eastAsia="仿宋_GB2312" w:cs="仿宋_GB2312"/>
          <w:b w:val="0"/>
          <w:bCs w:val="0"/>
          <w:snapToGrid/>
          <w:kern w:val="32"/>
          <w:sz w:val="32"/>
          <w:szCs w:val="32"/>
          <w:lang w:val="en-US" w:eastAsia="zh-CN"/>
        </w:rPr>
        <w:t>，积极申报“全域生态旅游小镇”。指导洪四村完善红色旅游产品，投入约1500万元用于樱花园等建设，积极申报“金牌旅游村”。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3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三是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强化宣传，打造精品线路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。联合中国移动在“五一”、端午、中国旅游日等节点发送宣传短信15万条。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开展洛阳桥公益讲解活动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30余场,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洛阳桥入选全市首批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10个海洋文化重点影视拍摄取景点。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召开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陈三五娘传说文化研讨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会、拍摄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陈三五娘系列讲古视频，创作《俞大猷》舞剧、《荔镜奇缘》陈三五娘南音剧，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举办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“洛水仙山 海丝情”洛阳桥常态化惠民演出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先后举办“玉免花灯邀明月·古街纳福迎‘双节’”洛阳桥春节古街文旅营销活动、庆祝三八国际妇女节113周年暨“‘红色巾帼’聚合力 乡村振兴谱新曲”活动、“凤回大唐”虹山花朝节暨第九届虹山油菜花福文化旅游节、文化和自然遗产日宣传展演、“洛”有你“江”更好“福建百姓大舞台”声乐人才专场展演、“世遗海丝情·泉台同心缘”文化交流等文旅活动。先后组织文旅企业参加闽西南协同发展区 (江浙)联合文旅宣传推广活动（宁波、无锡、义乌）、数字文创海丝泉州博览会、宁波文化和旅游博览会、厦门文博会6场推介活动，加强对外沟通交流。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在已编制的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10条精品线路的基础上，进一步挖掘整合，编制“乡村旅游”、“工业旅游”、“研学旅游”、“遗产旅游”主题旅游线路，提升线路品质，增强不同维度的可游览性。有效提升洛江区文旅品牌知名度与美誉度。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3" w:firstLineChars="200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培育人才，强化队伍建设。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对接华侨大学旅游学院，签订战略合作（框架）协议，以马甲镇、罗溪镇、河市镇、虹山乡4个乡镇为试点，组建4个乡村旅游辅导员工作站，对有乡村旅游发展需求的乡村以辅导员形式进行专业指导，乡村旅游辅导员将从文旅资源开发建设市场策划运营，一对一专业辅导结对村，助力创建省级金牌旅游村等，为乡村旅游发展及振兴注入活水。举办洛江区乡村旅游人才、讲解员培训活动2场，提升乡村旅游从业创业青年经营和管理专业水平。培育1名省级乡村文化和旅游带头人。落实“涌泉”人才计划洛江文旅优惠政策，推动辖区A级景区针对符合政策人才推出免门票政策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积极投入，落实招商引资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。挖掘全区文旅资源，深入实施文旅数字化战略，建设“悠游洛江”智慧旅游云平台。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定期召开文旅招商协调会,摸排文旅项目招商情况。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赴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四川、云南开展洛江文旅招商推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介会，为引进重大文旅企业来洛投资兴业创造条件。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主动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对接杭州赛石园林集团、华侨城文化集团、中交集团等国内知名旅游龙头企业，召开多场次投资洽谈会，形成项目投资共识和投资意向。截止目前，全区累计签订文旅项目合同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14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个，累计投资额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76.13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亿元。分别完成年度投资计划的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56%，50.8%。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加强文旅设施建设，不断优化“吃、住、行、游、购、娱”等旅游要素。改造提升建设洛江区非遗馆、虹山土楼文化馆2个新型公共文化空间，积极推进文化“嵌入式”服务。积极推动希尔顿欢朋酒店、玉叶山森林公园文旅开发、陆歌休闲农业旅游、乡韵鹿境休闲旅游度假区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乡村旅游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项目建设。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right="-420" w:rightChars="-200"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感谢您对洛江文旅事业的关心、关注和支持！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主要领导：吕培基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  分管领导：林晓玲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  经办人员：张联狮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联系电话：22631072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4480" w:firstLineChars="14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泉州市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zh-CN" w:eastAsia="zh-CN" w:bidi="ar-SA"/>
        </w:rPr>
        <w:t>洛江区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文化体育和旅游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zh-CN" w:eastAsia="zh-CN" w:bidi="ar-SA"/>
        </w:rPr>
        <w:t>局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                            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zh-CN" w:eastAsia="zh-CN" w:bidi="ar-SA"/>
        </w:rPr>
        <w:t>20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23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zh-CN" w:eastAsia="zh-CN" w:bidi="ar-SA"/>
        </w:rPr>
        <w:t>年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9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zh-CN" w:eastAsia="zh-CN" w:bidi="ar-SA"/>
        </w:rPr>
        <w:t>月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13日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</w:p>
    <w:p>
      <w:pPr>
        <w:pStyle w:val="2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</w:p>
    <w:p>
      <w:pPr>
        <w:rPr>
          <w:rFonts w:hint="eastAsia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8"/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</w:pPr>
    </w:p>
    <w:p>
      <w:pPr>
        <w:pStyle w:val="8"/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</w:pPr>
    </w:p>
    <w:p>
      <w:pPr>
        <w:pStyle w:val="8"/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</w:pPr>
    </w:p>
    <w:p>
      <w:pPr>
        <w:pStyle w:val="8"/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</w:pPr>
    </w:p>
    <w:p>
      <w:pPr>
        <w:pStyle w:val="8"/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</w:pPr>
    </w:p>
    <w:p>
      <w:pPr>
        <w:pBdr>
          <w:top w:val="single" w:color="auto" w:sz="12" w:space="1"/>
        </w:pBdr>
        <w:tabs>
          <w:tab w:val="left" w:pos="720"/>
        </w:tabs>
        <w:ind w:firstLine="280" w:firstLineChars="100"/>
        <w:rPr>
          <w:rFonts w:hint="eastAsia"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抄送：</w:t>
      </w:r>
      <w:r>
        <w:rPr>
          <w:rFonts w:hint="eastAsia" w:ascii="仿宋_GB2312" w:eastAsia="仿宋_GB2312"/>
          <w:kern w:val="0"/>
          <w:sz w:val="28"/>
          <w:szCs w:val="28"/>
        </w:rPr>
        <w:t>区人大人事代表工委</w:t>
      </w:r>
      <w:r>
        <w:rPr>
          <w:rFonts w:hint="eastAsia" w:ascii="仿宋" w:hAnsi="仿宋" w:eastAsia="仿宋"/>
          <w:color w:val="000000"/>
          <w:sz w:val="28"/>
          <w:szCs w:val="28"/>
        </w:rPr>
        <w:t>、区政府督查室。</w:t>
      </w:r>
    </w:p>
    <w:p>
      <w:pPr>
        <w:pBdr>
          <w:top w:val="single" w:color="auto" w:sz="8" w:space="1"/>
          <w:bottom w:val="single" w:color="auto" w:sz="12" w:space="1"/>
        </w:pBdr>
        <w:ind w:firstLine="280" w:firstLineChars="100"/>
      </w:pPr>
      <w:r>
        <w:rPr>
          <w:rFonts w:hint="eastAsia" w:ascii="仿宋" w:hAnsi="仿宋" w:eastAsia="仿宋"/>
          <w:color w:val="000000"/>
          <w:sz w:val="28"/>
          <w:szCs w:val="28"/>
        </w:rPr>
        <w:t xml:space="preserve">泉州市洛江区文化体育和旅游局办公室    </w:t>
      </w: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 xml:space="preserve">     2023</w:t>
      </w:r>
      <w:r>
        <w:rPr>
          <w:rFonts w:hint="eastAsia" w:ascii="仿宋" w:hAnsi="仿宋" w:eastAsia="仿宋"/>
          <w:color w:val="000000"/>
          <w:sz w:val="28"/>
          <w:szCs w:val="28"/>
        </w:rPr>
        <w:t>年</w:t>
      </w: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>9</w:t>
      </w:r>
      <w:r>
        <w:rPr>
          <w:rFonts w:hint="eastAsia" w:ascii="仿宋" w:hAnsi="仿宋" w:eastAsia="仿宋"/>
          <w:color w:val="000000"/>
          <w:sz w:val="28"/>
          <w:szCs w:val="28"/>
        </w:rPr>
        <w:t>月</w:t>
      </w: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>13</w:t>
      </w:r>
      <w:r>
        <w:rPr>
          <w:rFonts w:hint="eastAsia" w:ascii="仿宋" w:hAnsi="仿宋" w:eastAsia="仿宋"/>
          <w:color w:val="000000"/>
          <w:sz w:val="28"/>
          <w:szCs w:val="28"/>
        </w:rPr>
        <w:t>日印发</w:t>
      </w:r>
    </w:p>
    <w:sectPr>
      <w:pgSz w:w="11906" w:h="16838"/>
      <w:pgMar w:top="1871" w:right="1304" w:bottom="1531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altName w:val="宋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c2N2VlYmMwNzQzYjU0ODlkZGNkMzJkYjJlM2IyYTMifQ=="/>
  </w:docVars>
  <w:rsids>
    <w:rsidRoot w:val="0E147C0D"/>
    <w:rsid w:val="0E147C0D"/>
    <w:rsid w:val="168D0295"/>
    <w:rsid w:val="177D6D52"/>
    <w:rsid w:val="1BE36D0A"/>
    <w:rsid w:val="21A059F8"/>
    <w:rsid w:val="29CD3E1F"/>
    <w:rsid w:val="3925643A"/>
    <w:rsid w:val="3A7B61F4"/>
    <w:rsid w:val="3B2920AC"/>
    <w:rsid w:val="3D9D7D01"/>
    <w:rsid w:val="7FD13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jc w:val="center"/>
    </w:pPr>
    <w:rPr>
      <w:rFonts w:eastAsia="仿宋_GB2312" w:asciiTheme="minorAscii" w:hAnsiTheme="minorAscii"/>
      <w:color w:val="000000" w:themeColor="text1"/>
      <w:w w:val="150"/>
      <w:kern w:val="44"/>
      <w:position w:val="-6"/>
      <w:sz w:val="32"/>
      <w:szCs w:val="72"/>
      <w14:textFill>
        <w14:solidFill>
          <w14:schemeClr w14:val="tx1"/>
        </w14:solidFill>
      </w14:textFill>
    </w:rPr>
  </w:style>
  <w:style w:type="paragraph" w:styleId="3">
    <w:name w:val="Balloon Text"/>
    <w:basedOn w:val="1"/>
    <w:qFormat/>
    <w:uiPriority w:val="99"/>
    <w:rPr>
      <w:sz w:val="18"/>
      <w:szCs w:val="18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6">
    <w:name w:val="Table Grid"/>
    <w:basedOn w:val="5"/>
    <w:qFormat/>
    <w:uiPriority w:val="59"/>
    <w:rPr>
      <w:kern w:val="0"/>
      <w:sz w:val="20"/>
      <w:szCs w:val="20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Default"/>
    <w:qFormat/>
    <w:uiPriority w:val="99"/>
    <w:pPr>
      <w:widowControl w:val="0"/>
      <w:autoSpaceDE w:val="0"/>
      <w:autoSpaceDN w:val="0"/>
      <w:adjustRightInd w:val="0"/>
    </w:pPr>
    <w:rPr>
      <w:rFonts w:ascii="方正仿宋_GBK" w:hAnsi="方正仿宋_GBK" w:eastAsia="方正仿宋_GBK" w:cs="Times New Roman"/>
      <w:color w:val="000000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1926</Words>
  <Characters>1989</Characters>
  <Lines>0</Lines>
  <Paragraphs>0</Paragraphs>
  <TotalTime>5</TotalTime>
  <ScaleCrop>false</ScaleCrop>
  <LinksUpToDate>false</LinksUpToDate>
  <CharactersWithSpaces>2084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2023-03-21T01:40:00Z</dcterms:created>
  <dc:creator>马克</dc:creator>
  <cp:lastModifiedBy>Administrator</cp:lastModifiedBy>
  <dcterms:modified xsi:type="dcterms:W3CDTF">2023-09-13T03:36:14Z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6DB0C761031E4A8696B19D7FEFC1E72F_13</vt:lpwstr>
  </property>
</Properties>
</file>