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30"/>
          <w:highlight w:val="none"/>
        </w:rPr>
      </w:pPr>
      <w:r>
        <w:rPr>
          <w:rFonts w:hint="eastAsia" w:ascii="仿宋" w:hAnsi="仿宋" w:eastAsia="仿宋" w:cs="仿宋"/>
          <w:color w:val="auto"/>
          <w:sz w:val="30"/>
          <w:highlight w:val="none"/>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仿宋" w:hAnsi="仿宋" w:eastAsia="仿宋" w:cs="仿宋"/>
          <w:color w:val="auto"/>
          <w:sz w:val="30"/>
          <w:highlight w:val="none"/>
        </w:rPr>
        <w:instrText xml:space="preserve">ADDIN CNKISM.UserStyle</w:instrText>
      </w:r>
      <w:r>
        <w:rPr>
          <w:rFonts w:hint="eastAsia" w:ascii="仿宋" w:hAnsi="仿宋" w:eastAsia="仿宋" w:cs="仿宋"/>
          <w:color w:val="auto"/>
          <w:sz w:val="30"/>
          <w:highlight w:val="none"/>
        </w:rPr>
        <w:fldChar w:fldCharType="end"/>
      </w:r>
    </w:p>
    <w:p>
      <w:pPr>
        <w:spacing w:line="360" w:lineRule="auto"/>
        <w:jc w:val="center"/>
        <w:rPr>
          <w:rFonts w:hint="eastAsia" w:ascii="仿宋" w:hAnsi="仿宋" w:eastAsia="仿宋" w:cs="仿宋"/>
          <w:b/>
          <w:color w:val="auto"/>
          <w:kern w:val="0"/>
          <w:sz w:val="48"/>
          <w:szCs w:val="48"/>
          <w:highlight w:val="none"/>
        </w:rPr>
      </w:pPr>
      <w:r>
        <w:rPr>
          <w:rFonts w:hint="eastAsia" w:ascii="仿宋" w:hAnsi="仿宋" w:eastAsia="仿宋" w:cs="仿宋"/>
          <w:b/>
          <w:color w:val="auto"/>
          <w:kern w:val="0"/>
          <w:sz w:val="48"/>
          <w:szCs w:val="48"/>
          <w:highlight w:val="none"/>
          <w:lang w:eastAsia="zh-CN"/>
        </w:rPr>
        <w:t>泉州市</w:t>
      </w:r>
      <w:r>
        <w:rPr>
          <w:rFonts w:hint="eastAsia" w:ascii="仿宋" w:hAnsi="仿宋" w:eastAsia="仿宋" w:cs="仿宋"/>
          <w:b/>
          <w:color w:val="auto"/>
          <w:kern w:val="0"/>
          <w:sz w:val="48"/>
          <w:szCs w:val="48"/>
          <w:highlight w:val="none"/>
        </w:rPr>
        <w:t>洛江区2020年度</w:t>
      </w:r>
      <w:r>
        <w:rPr>
          <w:rFonts w:hint="eastAsia" w:ascii="仿宋" w:hAnsi="仿宋" w:eastAsia="仿宋" w:cs="仿宋"/>
          <w:b/>
          <w:color w:val="auto"/>
          <w:kern w:val="0"/>
          <w:sz w:val="48"/>
          <w:szCs w:val="48"/>
          <w:highlight w:val="none"/>
          <w:lang w:eastAsia="zh-CN"/>
        </w:rPr>
        <w:t>垃圾分类</w:t>
      </w:r>
      <w:r>
        <w:rPr>
          <w:rFonts w:hint="eastAsia" w:ascii="仿宋" w:hAnsi="仿宋" w:eastAsia="仿宋" w:cs="仿宋"/>
          <w:b/>
          <w:color w:val="auto"/>
          <w:kern w:val="0"/>
          <w:sz w:val="48"/>
          <w:szCs w:val="48"/>
          <w:highlight w:val="none"/>
        </w:rPr>
        <w:t>专项资金</w:t>
      </w:r>
    </w:p>
    <w:p>
      <w:pPr>
        <w:spacing w:line="360" w:lineRule="auto"/>
        <w:jc w:val="center"/>
        <w:rPr>
          <w:rFonts w:hint="eastAsia" w:ascii="仿宋" w:hAnsi="仿宋" w:eastAsia="仿宋" w:cs="仿宋"/>
          <w:b/>
          <w:color w:val="auto"/>
          <w:kern w:val="0"/>
          <w:sz w:val="36"/>
          <w:szCs w:val="36"/>
          <w:highlight w:val="none"/>
        </w:rPr>
      </w:pPr>
    </w:p>
    <w:p>
      <w:pPr>
        <w:spacing w:line="360" w:lineRule="auto"/>
        <w:jc w:val="center"/>
        <w:rPr>
          <w:rFonts w:hint="eastAsia" w:ascii="华文行楷" w:hAnsi="华文行楷" w:eastAsia="华文行楷" w:cs="华文行楷"/>
          <w:b/>
          <w:color w:val="auto"/>
          <w:kern w:val="0"/>
          <w:sz w:val="72"/>
          <w:szCs w:val="72"/>
          <w:highlight w:val="none"/>
        </w:rPr>
      </w:pPr>
      <w:r>
        <w:rPr>
          <w:rFonts w:hint="eastAsia" w:ascii="华文行楷" w:hAnsi="华文行楷" w:eastAsia="华文行楷" w:cs="华文行楷"/>
          <w:b/>
          <w:color w:val="auto"/>
          <w:kern w:val="0"/>
          <w:sz w:val="72"/>
          <w:szCs w:val="72"/>
          <w:highlight w:val="none"/>
        </w:rPr>
        <w:t>绩效评价报告</w:t>
      </w:r>
    </w:p>
    <w:p>
      <w:pPr>
        <w:spacing w:line="360" w:lineRule="auto"/>
        <w:jc w:val="center"/>
        <w:rPr>
          <w:rFonts w:hint="eastAsia" w:ascii="仿宋" w:hAnsi="仿宋" w:eastAsia="仿宋" w:cs="仿宋"/>
          <w:b/>
          <w:color w:val="auto"/>
          <w:sz w:val="48"/>
          <w:szCs w:val="48"/>
          <w:highlight w:val="none"/>
        </w:rPr>
      </w:pPr>
    </w:p>
    <w:p>
      <w:pPr>
        <w:pStyle w:val="13"/>
        <w:pageBreakBefore w:val="0"/>
        <w:kinsoku/>
        <w:wordWrap/>
        <w:overflowPunct/>
        <w:topLinePunct w:val="0"/>
        <w:autoSpaceDE/>
        <w:autoSpaceDN/>
        <w:bidi w:val="0"/>
        <w:adjustRightInd/>
        <w:snapToGrid/>
        <w:spacing w:after="0" w:line="240" w:lineRule="auto"/>
        <w:ind w:left="0" w:leftChars="0" w:right="0" w:firstLine="0" w:firstLineChars="0"/>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rPr>
        <w:t>编号：泉招咨绩【2021】</w:t>
      </w:r>
      <w:r>
        <w:rPr>
          <w:rFonts w:hint="eastAsia" w:ascii="仿宋" w:hAnsi="仿宋" w:eastAsia="仿宋" w:cs="仿宋"/>
          <w:b/>
          <w:bCs/>
          <w:color w:val="auto"/>
          <w:sz w:val="32"/>
          <w:szCs w:val="32"/>
          <w:highlight w:val="none"/>
          <w:lang w:val="en-US" w:eastAsia="zh-CN"/>
        </w:rPr>
        <w:t>10-1</w:t>
      </w:r>
      <w:r>
        <w:rPr>
          <w:rFonts w:hint="eastAsia" w:ascii="仿宋" w:hAnsi="仿宋" w:eastAsia="仿宋" w:cs="仿宋"/>
          <w:b/>
          <w:bCs/>
          <w:color w:val="auto"/>
          <w:sz w:val="32"/>
          <w:szCs w:val="32"/>
          <w:highlight w:val="none"/>
        </w:rPr>
        <w:t>号</w:t>
      </w:r>
    </w:p>
    <w:p>
      <w:pPr>
        <w:pStyle w:val="2"/>
        <w:rPr>
          <w:rFonts w:hint="eastAsia" w:ascii="仿宋" w:hAnsi="仿宋" w:eastAsia="仿宋" w:cs="仿宋"/>
          <w:color w:val="auto"/>
          <w:highlight w:val="none"/>
        </w:rPr>
      </w:pPr>
    </w:p>
    <w:p>
      <w:pPr>
        <w:jc w:val="center"/>
        <w:rPr>
          <w:rFonts w:hint="eastAsia" w:ascii="仿宋" w:hAnsi="仿宋" w:eastAsia="仿宋" w:cs="仿宋"/>
          <w:b/>
          <w:color w:val="auto"/>
          <w:sz w:val="48"/>
          <w:szCs w:val="48"/>
          <w:highlight w:val="none"/>
        </w:rPr>
      </w:pPr>
    </w:p>
    <w:p>
      <w:pPr>
        <w:jc w:val="center"/>
        <w:rPr>
          <w:rFonts w:hint="eastAsia" w:ascii="仿宋" w:hAnsi="仿宋" w:eastAsia="仿宋" w:cs="仿宋"/>
          <w:b/>
          <w:color w:val="auto"/>
          <w:sz w:val="48"/>
          <w:szCs w:val="48"/>
          <w:highlight w:val="none"/>
        </w:rPr>
      </w:pPr>
    </w:p>
    <w:p>
      <w:pPr>
        <w:jc w:val="both"/>
        <w:rPr>
          <w:rFonts w:hint="eastAsia" w:ascii="仿宋" w:hAnsi="仿宋" w:eastAsia="仿宋" w:cs="仿宋"/>
          <w:b/>
          <w:color w:val="auto"/>
          <w:sz w:val="48"/>
          <w:szCs w:val="48"/>
          <w:highlight w:val="none"/>
        </w:rPr>
      </w:pPr>
    </w:p>
    <w:p>
      <w:pPr>
        <w:spacing w:line="720" w:lineRule="auto"/>
        <w:ind w:firstLine="960" w:firstLineChars="300"/>
        <w:rPr>
          <w:rFonts w:hint="eastAsia" w:ascii="仿宋" w:hAnsi="仿宋" w:eastAsia="仿宋" w:cs="仿宋"/>
          <w:bCs/>
          <w:color w:val="auto"/>
          <w:sz w:val="32"/>
          <w:szCs w:val="32"/>
          <w:highlight w:val="none"/>
          <w:lang w:val="en-US" w:eastAsia="zh-CN"/>
        </w:rPr>
      </w:pPr>
    </w:p>
    <w:p>
      <w:pPr>
        <w:spacing w:line="720" w:lineRule="auto"/>
        <w:ind w:firstLine="960" w:firstLineChars="300"/>
        <w:rPr>
          <w:rFonts w:hint="eastAsia" w:ascii="仿宋" w:hAnsi="仿宋" w:eastAsia="仿宋" w:cs="仿宋"/>
          <w:bCs/>
          <w:color w:val="auto"/>
          <w:sz w:val="32"/>
          <w:szCs w:val="32"/>
          <w:highlight w:val="none"/>
          <w:lang w:val="en-US" w:eastAsia="zh-CN"/>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atLeast"/>
        <w:ind w:left="0" w:leftChars="0" w:right="0" w:firstLine="1928" w:firstLineChars="600"/>
        <w:jc w:val="both"/>
        <w:textAlignment w:val="auto"/>
        <w:rPr>
          <w:rStyle w:val="17"/>
          <w:rFonts w:hint="eastAsia" w:ascii="仿宋" w:hAnsi="仿宋" w:eastAsia="仿宋" w:cs="仿宋"/>
          <w:b w:val="0"/>
          <w:bCs/>
          <w:i w:val="0"/>
          <w:caps w:val="0"/>
          <w:color w:val="auto"/>
          <w:spacing w:val="0"/>
          <w:sz w:val="32"/>
          <w:szCs w:val="32"/>
          <w:highlight w:val="none"/>
          <w:shd w:val="clear" w:fill="FFFFFF"/>
          <w:lang w:val="en-US" w:eastAsia="zh-CN" w:bidi="ar"/>
        </w:rPr>
      </w:pPr>
      <w:r>
        <w:rPr>
          <w:rStyle w:val="17"/>
          <w:rFonts w:hint="eastAsia" w:ascii="仿宋" w:hAnsi="仿宋" w:eastAsia="仿宋" w:cs="仿宋"/>
          <w:b/>
          <w:bCs w:val="0"/>
          <w:i w:val="0"/>
          <w:caps w:val="0"/>
          <w:color w:val="auto"/>
          <w:spacing w:val="0"/>
          <w:sz w:val="32"/>
          <w:szCs w:val="32"/>
          <w:highlight w:val="none"/>
          <w:shd w:val="clear" w:fill="FFFFFF"/>
          <w:lang w:val="en-US" w:eastAsia="zh-CN" w:bidi="ar"/>
        </w:rPr>
        <w:t>委托单位：</w:t>
      </w:r>
      <w:r>
        <w:rPr>
          <w:rStyle w:val="17"/>
          <w:rFonts w:hint="eastAsia" w:ascii="仿宋" w:hAnsi="仿宋" w:eastAsia="仿宋" w:cs="仿宋"/>
          <w:b w:val="0"/>
          <w:bCs/>
          <w:i w:val="0"/>
          <w:caps w:val="0"/>
          <w:color w:val="auto"/>
          <w:spacing w:val="0"/>
          <w:sz w:val="32"/>
          <w:szCs w:val="32"/>
          <w:highlight w:val="none"/>
          <w:shd w:val="clear" w:fill="FFFFFF"/>
          <w:lang w:val="en-US" w:eastAsia="zh-CN" w:bidi="ar"/>
        </w:rPr>
        <w:t>泉州市洛江区财政局</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atLeast"/>
        <w:ind w:left="0" w:leftChars="0" w:right="0" w:firstLine="1928" w:firstLineChars="600"/>
        <w:jc w:val="both"/>
        <w:textAlignment w:val="auto"/>
        <w:rPr>
          <w:rStyle w:val="17"/>
          <w:rFonts w:hint="eastAsia" w:ascii="仿宋" w:hAnsi="仿宋" w:eastAsia="仿宋" w:cs="仿宋"/>
          <w:b w:val="0"/>
          <w:bCs/>
          <w:i w:val="0"/>
          <w:caps w:val="0"/>
          <w:color w:val="auto"/>
          <w:spacing w:val="0"/>
          <w:sz w:val="32"/>
          <w:szCs w:val="32"/>
          <w:highlight w:val="none"/>
          <w:shd w:val="clear" w:fill="FFFFFF"/>
          <w:lang w:val="en-US" w:eastAsia="zh-CN" w:bidi="ar"/>
        </w:rPr>
      </w:pPr>
      <w:r>
        <w:rPr>
          <w:rStyle w:val="17"/>
          <w:rFonts w:hint="eastAsia" w:ascii="仿宋" w:hAnsi="仿宋" w:eastAsia="仿宋" w:cs="仿宋"/>
          <w:b/>
          <w:bCs w:val="0"/>
          <w:i w:val="0"/>
          <w:caps w:val="0"/>
          <w:color w:val="auto"/>
          <w:spacing w:val="0"/>
          <w:sz w:val="32"/>
          <w:szCs w:val="32"/>
          <w:highlight w:val="none"/>
          <w:shd w:val="clear" w:fill="FFFFFF"/>
          <w:lang w:val="en-US" w:eastAsia="zh-CN" w:bidi="ar"/>
        </w:rPr>
        <w:t>实施单位：</w:t>
      </w:r>
      <w:r>
        <w:rPr>
          <w:rStyle w:val="17"/>
          <w:rFonts w:hint="eastAsia" w:ascii="仿宋" w:hAnsi="仿宋" w:eastAsia="仿宋" w:cs="仿宋"/>
          <w:b w:val="0"/>
          <w:bCs/>
          <w:i w:val="0"/>
          <w:caps w:val="0"/>
          <w:color w:val="auto"/>
          <w:spacing w:val="0"/>
          <w:sz w:val="32"/>
          <w:szCs w:val="32"/>
          <w:highlight w:val="none"/>
          <w:shd w:val="clear" w:fill="FFFFFF"/>
          <w:lang w:val="en-US" w:eastAsia="zh-CN" w:bidi="ar"/>
        </w:rPr>
        <w:t>泉州市洛江区城市管理局</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atLeast"/>
        <w:ind w:left="0" w:leftChars="0" w:right="0" w:firstLine="1928" w:firstLineChars="600"/>
        <w:jc w:val="both"/>
        <w:textAlignment w:val="auto"/>
        <w:rPr>
          <w:rFonts w:hint="eastAsia" w:ascii="仿宋" w:hAnsi="仿宋" w:eastAsia="仿宋" w:cs="仿宋"/>
          <w:b w:val="0"/>
          <w:bCs/>
          <w:color w:val="auto"/>
          <w:sz w:val="32"/>
          <w:szCs w:val="32"/>
          <w:highlight w:val="none"/>
          <w:u w:val="single"/>
        </w:rPr>
      </w:pPr>
      <w:r>
        <w:rPr>
          <w:rStyle w:val="17"/>
          <w:rFonts w:hint="eastAsia" w:ascii="仿宋" w:hAnsi="仿宋" w:eastAsia="仿宋" w:cs="仿宋"/>
          <w:b/>
          <w:bCs w:val="0"/>
          <w:i w:val="0"/>
          <w:caps w:val="0"/>
          <w:color w:val="auto"/>
          <w:spacing w:val="0"/>
          <w:sz w:val="32"/>
          <w:szCs w:val="32"/>
          <w:highlight w:val="none"/>
          <w:shd w:val="clear" w:fill="FFFFFF"/>
          <w:lang w:val="en-US" w:eastAsia="zh-CN" w:bidi="ar"/>
        </w:rPr>
        <w:t>编制单位：</w:t>
      </w:r>
      <w:r>
        <w:rPr>
          <w:rStyle w:val="17"/>
          <w:rFonts w:hint="eastAsia" w:ascii="仿宋" w:hAnsi="仿宋" w:eastAsia="仿宋" w:cs="仿宋"/>
          <w:b w:val="0"/>
          <w:bCs/>
          <w:i w:val="0"/>
          <w:caps w:val="0"/>
          <w:color w:val="auto"/>
          <w:spacing w:val="0"/>
          <w:sz w:val="32"/>
          <w:szCs w:val="32"/>
          <w:highlight w:val="none"/>
          <w:shd w:val="clear" w:fill="FFFFFF"/>
          <w:lang w:val="en-US" w:eastAsia="zh-CN" w:bidi="ar"/>
        </w:rPr>
        <w:t>泉州市招标咨询中心有限公司</w:t>
      </w:r>
    </w:p>
    <w:p>
      <w:pPr>
        <w:jc w:val="center"/>
        <w:rPr>
          <w:rFonts w:hint="eastAsia" w:ascii="仿宋" w:hAnsi="仿宋" w:eastAsia="仿宋" w:cs="仿宋"/>
          <w:b w:val="0"/>
          <w:bCs/>
          <w:color w:val="auto"/>
          <w:sz w:val="30"/>
          <w:szCs w:val="30"/>
          <w:highlight w:val="none"/>
          <w:u w:val="none"/>
          <w:lang w:val="en-US" w:eastAsia="zh-CN"/>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topLinePunct w:val="0"/>
        <w:bidi w:val="0"/>
        <w:snapToGrid/>
        <w:spacing w:before="0" w:beforeAutospacing="0" w:after="0" w:afterAutospacing="0" w:line="420" w:lineRule="atLeast"/>
        <w:ind w:left="0" w:leftChars="0" w:right="0" w:firstLine="600" w:firstLineChars="200"/>
        <w:jc w:val="center"/>
        <w:rPr>
          <w:rStyle w:val="17"/>
          <w:rFonts w:hint="eastAsia" w:ascii="仿宋" w:hAnsi="仿宋" w:eastAsia="仿宋" w:cs="仿宋"/>
          <w:b w:val="0"/>
          <w:bCs/>
          <w:i w:val="0"/>
          <w:caps w:val="0"/>
          <w:color w:val="auto"/>
          <w:spacing w:val="0"/>
          <w:sz w:val="30"/>
          <w:szCs w:val="30"/>
          <w:highlight w:val="none"/>
          <w:shd w:val="clear" w:fill="FFFFFF"/>
          <w:lang w:val="en-US" w:eastAsia="zh-CN" w:bidi="ar"/>
        </w:rPr>
      </w:pPr>
      <w:r>
        <w:rPr>
          <w:rStyle w:val="17"/>
          <w:rFonts w:hint="eastAsia" w:ascii="仿宋" w:hAnsi="仿宋" w:eastAsia="仿宋" w:cs="仿宋"/>
          <w:b w:val="0"/>
          <w:bCs/>
          <w:i w:val="0"/>
          <w:caps w:val="0"/>
          <w:color w:val="auto"/>
          <w:spacing w:val="0"/>
          <w:sz w:val="30"/>
          <w:szCs w:val="30"/>
          <w:highlight w:val="none"/>
          <w:shd w:val="clear" w:fill="FFFFFF"/>
          <w:lang w:val="en-US" w:eastAsia="zh-CN" w:bidi="ar"/>
        </w:rPr>
        <w:t>2021年12</w:t>
      </w:r>
      <w:bookmarkStart w:id="65" w:name="_GoBack"/>
      <w:bookmarkEnd w:id="65"/>
      <w:r>
        <w:rPr>
          <w:rStyle w:val="17"/>
          <w:rFonts w:hint="eastAsia" w:ascii="仿宋" w:hAnsi="仿宋" w:eastAsia="仿宋" w:cs="仿宋"/>
          <w:b w:val="0"/>
          <w:bCs/>
          <w:i w:val="0"/>
          <w:caps w:val="0"/>
          <w:color w:val="auto"/>
          <w:spacing w:val="0"/>
          <w:sz w:val="30"/>
          <w:szCs w:val="30"/>
          <w:highlight w:val="none"/>
          <w:shd w:val="clear" w:fill="FFFFFF"/>
          <w:lang w:val="en-US" w:eastAsia="zh-CN" w:bidi="ar"/>
        </w:rPr>
        <w:t xml:space="preserve">月 </w:t>
      </w:r>
    </w:p>
    <w:p>
      <w:pPr>
        <w:rPr>
          <w:rFonts w:hint="eastAsia" w:ascii="仿宋" w:hAnsi="仿宋" w:eastAsia="仿宋" w:cs="仿宋"/>
          <w:color w:val="auto"/>
          <w:highlight w:val="none"/>
        </w:rPr>
      </w:pPr>
    </w:p>
    <w:p>
      <w:pPr>
        <w:spacing w:line="360" w:lineRule="auto"/>
        <w:jc w:val="center"/>
        <w:rPr>
          <w:rFonts w:hint="eastAsia" w:ascii="仿宋" w:hAnsi="仿宋" w:eastAsia="仿宋" w:cs="仿宋"/>
          <w:b/>
          <w:color w:val="auto"/>
          <w:kern w:val="0"/>
          <w:sz w:val="44"/>
          <w:szCs w:val="44"/>
          <w:highlight w:val="none"/>
        </w:rPr>
      </w:pPr>
    </w:p>
    <w:p>
      <w:pPr>
        <w:spacing w:line="360" w:lineRule="auto"/>
        <w:jc w:val="center"/>
        <w:rPr>
          <w:rFonts w:hint="eastAsia" w:ascii="仿宋" w:hAnsi="仿宋" w:eastAsia="仿宋" w:cs="仿宋"/>
          <w:b/>
          <w:color w:val="auto"/>
          <w:kern w:val="0"/>
          <w:sz w:val="36"/>
          <w:szCs w:val="36"/>
          <w:highlight w:val="none"/>
          <w:lang w:eastAsia="zh-CN"/>
        </w:rPr>
      </w:pPr>
    </w:p>
    <w:p>
      <w:pPr>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lang w:eastAsia="zh-CN"/>
        </w:rPr>
        <w:t>泉州市</w:t>
      </w:r>
      <w:r>
        <w:rPr>
          <w:rFonts w:hint="eastAsia" w:ascii="仿宋" w:hAnsi="仿宋" w:eastAsia="仿宋" w:cs="仿宋"/>
          <w:b/>
          <w:color w:val="auto"/>
          <w:kern w:val="0"/>
          <w:sz w:val="36"/>
          <w:szCs w:val="36"/>
          <w:highlight w:val="none"/>
        </w:rPr>
        <w:t>洛江区2020年度</w:t>
      </w:r>
      <w:r>
        <w:rPr>
          <w:rFonts w:hint="eastAsia" w:ascii="仿宋" w:hAnsi="仿宋" w:eastAsia="仿宋" w:cs="仿宋"/>
          <w:b/>
          <w:color w:val="auto"/>
          <w:kern w:val="0"/>
          <w:sz w:val="36"/>
          <w:szCs w:val="36"/>
          <w:highlight w:val="none"/>
          <w:lang w:eastAsia="zh-CN"/>
        </w:rPr>
        <w:t>垃圾分类</w:t>
      </w:r>
      <w:r>
        <w:rPr>
          <w:rFonts w:hint="eastAsia" w:ascii="仿宋" w:hAnsi="仿宋" w:eastAsia="仿宋" w:cs="仿宋"/>
          <w:b/>
          <w:color w:val="auto"/>
          <w:kern w:val="0"/>
          <w:sz w:val="36"/>
          <w:szCs w:val="36"/>
          <w:highlight w:val="none"/>
        </w:rPr>
        <w:t>专项资金</w:t>
      </w:r>
    </w:p>
    <w:p>
      <w:pPr>
        <w:pStyle w:val="13"/>
        <w:ind w:left="0" w:leftChars="0" w:firstLine="0" w:firstLineChars="0"/>
        <w:rPr>
          <w:rFonts w:hint="eastAsia" w:ascii="仿宋" w:hAnsi="仿宋" w:eastAsia="仿宋" w:cs="仿宋"/>
          <w:color w:val="auto"/>
          <w:highlight w:val="none"/>
        </w:rPr>
      </w:pPr>
    </w:p>
    <w:p>
      <w:pPr>
        <w:pStyle w:val="13"/>
        <w:ind w:left="0" w:leftChars="0" w:firstLine="0" w:firstLineChars="0"/>
        <w:jc w:val="center"/>
        <w:rPr>
          <w:rFonts w:hint="eastAsia" w:ascii="仿宋" w:hAnsi="仿宋" w:eastAsia="仿宋" w:cs="仿宋"/>
          <w:color w:val="auto"/>
          <w:highlight w:val="none"/>
        </w:rPr>
      </w:pPr>
      <w:r>
        <w:rPr>
          <w:rFonts w:hint="eastAsia" w:ascii="华文行楷" w:hAnsi="华文行楷" w:eastAsia="华文行楷" w:cs="华文行楷"/>
          <w:b/>
          <w:color w:val="auto"/>
          <w:kern w:val="0"/>
          <w:sz w:val="52"/>
          <w:szCs w:val="52"/>
          <w:highlight w:val="none"/>
          <w:lang w:val="en-US" w:eastAsia="zh-CN" w:bidi="ar-SA"/>
        </w:rPr>
        <w:t>绩效评价报告</w:t>
      </w:r>
    </w:p>
    <w:tbl>
      <w:tblPr>
        <w:tblStyle w:val="15"/>
        <w:tblpPr w:leftFromText="180" w:rightFromText="180" w:vertAnchor="text" w:horzAnchor="page" w:tblpX="1777" w:tblpY="413"/>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40"/>
        <w:gridCol w:w="6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6" w:hRule="atLeast"/>
        </w:trPr>
        <w:tc>
          <w:tcPr>
            <w:tcW w:w="2140" w:type="dxa"/>
            <w:vAlign w:val="top"/>
          </w:tcPr>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distribute"/>
              <w:textAlignment w:val="auto"/>
              <w:rPr>
                <w:rFonts w:hint="eastAsia" w:ascii="宋体" w:hAnsi="宋体" w:eastAsia="宋体" w:cs="宋体"/>
                <w:b/>
                <w:bCs/>
                <w:color w:val="auto"/>
                <w:w w:val="100"/>
                <w:sz w:val="28"/>
                <w:szCs w:val="28"/>
                <w:highlight w:val="none"/>
                <w:lang w:val="en-US" w:eastAsia="zh-CN"/>
              </w:rPr>
            </w:pPr>
            <w:r>
              <w:rPr>
                <w:rFonts w:hint="eastAsia" w:ascii="宋体" w:hAnsi="宋体" w:eastAsia="宋体" w:cs="宋体"/>
                <w:b/>
                <w:bCs/>
                <w:color w:val="auto"/>
                <w:w w:val="100"/>
                <w:sz w:val="28"/>
                <w:szCs w:val="28"/>
                <w:highlight w:val="none"/>
                <w:lang w:val="en-US" w:eastAsia="zh-CN"/>
              </w:rPr>
              <w:t>编制单位：</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distribute"/>
              <w:textAlignment w:val="auto"/>
              <w:rPr>
                <w:rFonts w:hint="eastAsia" w:ascii="宋体" w:hAnsi="宋体" w:eastAsia="宋体" w:cs="宋体"/>
                <w:b/>
                <w:bCs/>
                <w:color w:val="auto"/>
                <w:w w:val="100"/>
                <w:sz w:val="28"/>
                <w:szCs w:val="28"/>
                <w:highlight w:val="none"/>
                <w:lang w:val="en-US" w:eastAsia="zh-CN"/>
              </w:rPr>
            </w:pPr>
            <w:r>
              <w:rPr>
                <w:rFonts w:hint="eastAsia" w:ascii="宋体" w:hAnsi="宋体" w:eastAsia="宋体" w:cs="宋体"/>
                <w:b/>
                <w:bCs/>
                <w:color w:val="auto"/>
                <w:w w:val="100"/>
                <w:sz w:val="28"/>
                <w:szCs w:val="28"/>
                <w:highlight w:val="none"/>
                <w:lang w:val="en-US" w:eastAsia="zh-CN"/>
              </w:rPr>
              <w:t>法定代表人：</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distribute"/>
              <w:textAlignment w:val="auto"/>
              <w:rPr>
                <w:rFonts w:hint="eastAsia" w:ascii="宋体" w:hAnsi="宋体" w:eastAsia="宋体" w:cs="宋体"/>
                <w:b/>
                <w:bCs/>
                <w:color w:val="auto"/>
                <w:w w:val="100"/>
                <w:sz w:val="28"/>
                <w:szCs w:val="28"/>
                <w:highlight w:val="none"/>
                <w:lang w:val="en-US" w:eastAsia="zh-CN"/>
              </w:rPr>
            </w:pPr>
            <w:r>
              <w:rPr>
                <w:rFonts w:hint="eastAsia" w:ascii="宋体" w:hAnsi="宋体" w:eastAsia="宋体" w:cs="宋体"/>
                <w:b/>
                <w:bCs/>
                <w:color w:val="auto"/>
                <w:w w:val="100"/>
                <w:sz w:val="28"/>
                <w:szCs w:val="28"/>
                <w:highlight w:val="none"/>
                <w:lang w:val="en-US" w:eastAsia="zh-CN"/>
              </w:rPr>
              <w:t>主评人：</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distribute"/>
              <w:textAlignment w:val="auto"/>
              <w:rPr>
                <w:rFonts w:hint="eastAsia" w:ascii="宋体" w:hAnsi="宋体" w:eastAsia="宋体" w:cs="宋体"/>
                <w:b/>
                <w:bCs/>
                <w:color w:val="auto"/>
                <w:w w:val="100"/>
                <w:sz w:val="28"/>
                <w:szCs w:val="28"/>
                <w:highlight w:val="none"/>
                <w:lang w:val="en-US" w:eastAsia="zh-CN"/>
              </w:rPr>
            </w:pPr>
            <w:r>
              <w:rPr>
                <w:rFonts w:hint="eastAsia" w:ascii="宋体" w:hAnsi="宋体" w:eastAsia="宋体" w:cs="宋体"/>
                <w:b/>
                <w:bCs/>
                <w:color w:val="auto"/>
                <w:w w:val="100"/>
                <w:sz w:val="28"/>
                <w:szCs w:val="28"/>
                <w:highlight w:val="none"/>
                <w:lang w:val="en-US" w:eastAsia="zh-CN"/>
              </w:rPr>
              <w:t>主要编制人员：</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distribute"/>
              <w:textAlignment w:val="auto"/>
              <w:rPr>
                <w:rFonts w:hint="eastAsia" w:ascii="宋体" w:hAnsi="宋体" w:eastAsia="宋体" w:cs="宋体"/>
                <w:b/>
                <w:bCs/>
                <w:color w:val="auto"/>
                <w:w w:val="100"/>
                <w:sz w:val="28"/>
                <w:szCs w:val="28"/>
                <w:highlight w:val="none"/>
                <w:lang w:val="en-US" w:eastAsia="zh-CN"/>
              </w:rPr>
            </w:pP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distribute"/>
              <w:textAlignment w:val="auto"/>
              <w:rPr>
                <w:rFonts w:hint="eastAsia" w:ascii="宋体" w:hAnsi="宋体" w:eastAsia="宋体" w:cs="宋体"/>
                <w:b/>
                <w:bCs/>
                <w:color w:val="auto"/>
                <w:w w:val="100"/>
                <w:sz w:val="28"/>
                <w:szCs w:val="28"/>
                <w:highlight w:val="none"/>
                <w:lang w:val="en-US" w:eastAsia="zh-CN"/>
              </w:rPr>
            </w:pP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distribute"/>
              <w:textAlignment w:val="auto"/>
              <w:rPr>
                <w:rFonts w:hint="eastAsia" w:ascii="宋体" w:hAnsi="宋体" w:eastAsia="宋体" w:cs="宋体"/>
                <w:b/>
                <w:bCs/>
                <w:color w:val="auto"/>
                <w:w w:val="100"/>
                <w:sz w:val="28"/>
                <w:szCs w:val="28"/>
                <w:highlight w:val="none"/>
                <w:lang w:val="en-US" w:eastAsia="zh-CN"/>
              </w:rPr>
            </w:pPr>
            <w:r>
              <w:rPr>
                <w:rFonts w:hint="eastAsia" w:ascii="宋体" w:hAnsi="宋体" w:eastAsia="宋体" w:cs="宋体"/>
                <w:b/>
                <w:bCs/>
                <w:color w:val="auto"/>
                <w:w w:val="100"/>
                <w:sz w:val="28"/>
                <w:szCs w:val="28"/>
                <w:highlight w:val="none"/>
                <w:lang w:val="en-US" w:eastAsia="zh-CN"/>
              </w:rPr>
              <w:t>技术顾问：</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distribute"/>
              <w:textAlignment w:val="auto"/>
              <w:rPr>
                <w:rFonts w:hint="eastAsia" w:ascii="宋体" w:hAnsi="宋体" w:eastAsia="宋体" w:cs="宋体"/>
                <w:b/>
                <w:bCs/>
                <w:color w:val="auto"/>
                <w:w w:val="100"/>
                <w:sz w:val="28"/>
                <w:szCs w:val="28"/>
                <w:highlight w:val="none"/>
                <w:lang w:val="en-US" w:eastAsia="zh-CN"/>
              </w:rPr>
            </w:pP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distribute"/>
              <w:textAlignment w:val="auto"/>
              <w:rPr>
                <w:rFonts w:hint="eastAsia" w:ascii="宋体" w:hAnsi="宋体" w:eastAsia="宋体" w:cs="宋体"/>
                <w:b/>
                <w:bCs/>
                <w:color w:val="auto"/>
                <w:w w:val="100"/>
                <w:sz w:val="28"/>
                <w:szCs w:val="28"/>
                <w:highlight w:val="none"/>
                <w:lang w:val="en-US" w:eastAsia="zh-CN"/>
              </w:rPr>
            </w:pP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distribute"/>
              <w:textAlignment w:val="auto"/>
              <w:rPr>
                <w:rFonts w:hint="eastAsia" w:ascii="宋体" w:hAnsi="宋体" w:eastAsia="宋体" w:cs="宋体"/>
                <w:color w:val="auto"/>
                <w:w w:val="100"/>
                <w:sz w:val="28"/>
                <w:szCs w:val="28"/>
                <w:highlight w:val="none"/>
                <w:lang w:val="en-US" w:eastAsia="zh-CN"/>
              </w:rPr>
            </w:pPr>
            <w:r>
              <w:rPr>
                <w:rFonts w:hint="eastAsia" w:ascii="宋体" w:hAnsi="宋体" w:eastAsia="宋体" w:cs="宋体"/>
                <w:b/>
                <w:bCs/>
                <w:color w:val="auto"/>
                <w:w w:val="100"/>
                <w:sz w:val="28"/>
                <w:szCs w:val="28"/>
                <w:highlight w:val="none"/>
                <w:lang w:val="en-US" w:eastAsia="zh-CN"/>
              </w:rPr>
              <w:t>评审专家：</w:t>
            </w:r>
          </w:p>
        </w:tc>
        <w:tc>
          <w:tcPr>
            <w:tcW w:w="6653" w:type="dxa"/>
            <w:vAlign w:val="top"/>
          </w:tcPr>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泉州市招标咨询中心</w:t>
            </w:r>
            <w:r>
              <w:rPr>
                <w:rFonts w:hint="eastAsia" w:ascii="宋体" w:hAnsi="宋体" w:eastAsia="宋体" w:cs="宋体"/>
                <w:color w:val="auto"/>
                <w:sz w:val="28"/>
                <w:szCs w:val="28"/>
                <w:highlight w:val="none"/>
                <w:lang w:val="en-US" w:eastAsia="zh-CN"/>
              </w:rPr>
              <w:t>有限公司</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林超群（经济师</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管理专家）</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李美美（高级会计师</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财务专家）</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赖桥泉（会计师、业务专家）</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陈燕敏（注册会计师）</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王梅玲（会计师）</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任  敏（高校副教授）</w:t>
            </w: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left"/>
              <w:textAlignment w:val="auto"/>
              <w:rPr>
                <w:rFonts w:hint="eastAsia" w:ascii="宋体" w:hAnsi="宋体" w:eastAsia="宋体" w:cs="宋体"/>
                <w:color w:val="auto"/>
                <w:sz w:val="28"/>
                <w:szCs w:val="28"/>
                <w:highlight w:val="none"/>
                <w:lang w:val="en-US" w:eastAsia="zh-CN"/>
              </w:rPr>
            </w:pPr>
          </w:p>
          <w:p>
            <w:pPr>
              <w:pStyle w:val="13"/>
              <w:keepNext w:val="0"/>
              <w:keepLines w:val="0"/>
              <w:pageBreakBefore w:val="0"/>
              <w:widowControl w:val="0"/>
              <w:kinsoku/>
              <w:wordWrap/>
              <w:overflowPunct/>
              <w:topLinePunct w:val="0"/>
              <w:autoSpaceDE/>
              <w:autoSpaceDN/>
              <w:bidi w:val="0"/>
              <w:adjustRightInd/>
              <w:snapToGrid/>
              <w:spacing w:after="10" w:line="700" w:lineRule="exact"/>
              <w:ind w:left="0" w:leftChars="0" w:firstLine="0" w:firstLineChars="0"/>
              <w:jc w:val="left"/>
              <w:textAlignment w:val="auto"/>
              <w:rPr>
                <w:rFonts w:hint="eastAsia" w:ascii="宋体" w:hAnsi="宋体" w:eastAsia="宋体" w:cs="宋体"/>
                <w:color w:val="auto"/>
                <w:sz w:val="28"/>
                <w:szCs w:val="28"/>
                <w:highlight w:val="none"/>
                <w:lang w:val="en-US" w:eastAsia="zh-CN"/>
              </w:rPr>
            </w:pPr>
          </w:p>
        </w:tc>
      </w:tr>
    </w:tbl>
    <w:p>
      <w:pPr>
        <w:pStyle w:val="13"/>
        <w:ind w:left="0" w:leftChars="0" w:firstLine="0" w:firstLineChars="0"/>
        <w:rPr>
          <w:rFonts w:hint="eastAsia" w:ascii="仿宋" w:hAnsi="仿宋" w:eastAsia="仿宋" w:cs="仿宋"/>
          <w:color w:val="auto"/>
          <w:szCs w:val="21"/>
          <w:highlight w:val="none"/>
        </w:rPr>
      </w:pPr>
    </w:p>
    <w:p>
      <w:pPr>
        <w:rPr>
          <w:rFonts w:hint="eastAsia" w:ascii="仿宋" w:hAnsi="仿宋" w:eastAsia="仿宋" w:cs="仿宋"/>
          <w:color w:val="auto"/>
          <w:highlight w:val="none"/>
        </w:rPr>
        <w:sectPr>
          <w:headerReference r:id="rId3" w:type="default"/>
          <w:pgSz w:w="11906" w:h="16838"/>
          <w:pgMar w:top="1440" w:right="1474" w:bottom="1440" w:left="1587" w:header="851" w:footer="992" w:gutter="0"/>
          <w:pgNumType w:fmt="decimal" w:start="1"/>
          <w:cols w:space="425" w:num="1"/>
          <w:docGrid w:type="lines" w:linePitch="312" w:charSpace="0"/>
        </w:sectPr>
      </w:pPr>
    </w:p>
    <w:sdt>
      <w:sdtPr>
        <w:rPr>
          <w:rFonts w:ascii="宋体" w:hAnsi="宋体" w:eastAsia="宋体" w:cstheme="minorBidi"/>
          <w:b/>
          <w:bCs/>
          <w:color w:val="auto"/>
          <w:kern w:val="2"/>
          <w:sz w:val="21"/>
          <w:szCs w:val="22"/>
          <w:highlight w:val="none"/>
          <w:lang w:val="en-US" w:eastAsia="zh-CN" w:bidi="ar-SA"/>
        </w:rPr>
        <w:id w:val="147453250"/>
        <w15:color w:val="DBDBDB"/>
        <w:docPartObj>
          <w:docPartGallery w:val="Table of Contents"/>
          <w:docPartUnique/>
        </w:docPartObj>
      </w:sdtPr>
      <w:sdtEndPr>
        <w:rPr>
          <w:rFonts w:ascii="宋体" w:hAnsi="宋体" w:eastAsia="宋体" w:cstheme="minorBidi"/>
          <w:b/>
          <w:bCs/>
          <w:color w:val="auto"/>
          <w:kern w:val="2"/>
          <w:sz w:val="21"/>
          <w:szCs w:val="22"/>
          <w:highlight w:val="none"/>
          <w:lang w:val="en-US" w:eastAsia="zh-CN" w:bidi="ar-SA"/>
        </w:rPr>
      </w:sdtEndPr>
      <w:sdtContent>
        <w:p>
          <w:pPr>
            <w:spacing w:before="0" w:beforeLines="0" w:after="0" w:afterLines="0" w:line="240" w:lineRule="auto"/>
            <w:ind w:left="0" w:leftChars="0" w:right="0" w:rightChars="0" w:firstLine="0" w:firstLineChars="0"/>
            <w:jc w:val="center"/>
            <w:rPr>
              <w:b/>
              <w:bCs/>
              <w:color w:val="auto"/>
              <w:highlight w:val="none"/>
            </w:rPr>
          </w:pPr>
          <w:r>
            <w:rPr>
              <w:rFonts w:ascii="宋体" w:hAnsi="宋体" w:eastAsia="宋体"/>
              <w:b/>
              <w:bCs/>
              <w:color w:val="auto"/>
              <w:sz w:val="21"/>
              <w:highlight w:val="none"/>
            </w:rPr>
            <w:t>目</w:t>
          </w:r>
          <w:r>
            <w:rPr>
              <w:rFonts w:hint="eastAsia" w:ascii="宋体" w:hAnsi="宋体" w:eastAsia="宋体"/>
              <w:b/>
              <w:bCs/>
              <w:color w:val="auto"/>
              <w:sz w:val="21"/>
              <w:highlight w:val="none"/>
              <w:lang w:val="en-US" w:eastAsia="zh-CN"/>
            </w:rPr>
            <w:t xml:space="preserve"> </w:t>
          </w:r>
          <w:r>
            <w:rPr>
              <w:rFonts w:ascii="宋体" w:hAnsi="宋体" w:eastAsia="宋体"/>
              <w:b/>
              <w:bCs/>
              <w:color w:val="auto"/>
              <w:sz w:val="21"/>
              <w:highlight w:val="none"/>
            </w:rPr>
            <w:t>录</w:t>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_Toc27554 </w:instrText>
          </w:r>
          <w:r>
            <w:rPr>
              <w:color w:val="auto"/>
              <w:highlight w:val="none"/>
            </w:rPr>
            <w:fldChar w:fldCharType="separate"/>
          </w:r>
          <w:r>
            <w:rPr>
              <w:rFonts w:hint="eastAsia" w:ascii="仿宋" w:hAnsi="仿宋" w:eastAsia="仿宋" w:cs="仿宋"/>
              <w:bCs/>
              <w:color w:val="auto"/>
              <w:szCs w:val="28"/>
              <w:highlight w:val="none"/>
              <w:lang w:val="en-US" w:eastAsia="zh-CN"/>
            </w:rPr>
            <w:t>前 言</w:t>
          </w:r>
          <w:r>
            <w:rPr>
              <w:color w:val="auto"/>
              <w:highlight w:val="none"/>
            </w:rPr>
            <w:tab/>
          </w:r>
          <w:r>
            <w:rPr>
              <w:color w:val="auto"/>
              <w:highlight w:val="none"/>
            </w:rPr>
            <w:fldChar w:fldCharType="begin"/>
          </w:r>
          <w:r>
            <w:rPr>
              <w:color w:val="auto"/>
              <w:highlight w:val="none"/>
            </w:rPr>
            <w:instrText xml:space="preserve"> PAGEREF _Toc27554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_Toc26071 </w:instrText>
          </w:r>
          <w:r>
            <w:rPr>
              <w:color w:val="auto"/>
              <w:highlight w:val="none"/>
            </w:rPr>
            <w:fldChar w:fldCharType="separate"/>
          </w:r>
          <w:r>
            <w:rPr>
              <w:rFonts w:hint="eastAsia" w:ascii="仿宋" w:hAnsi="仿宋" w:eastAsia="仿宋" w:cs="仿宋"/>
              <w:bCs w:val="0"/>
              <w:color w:val="auto"/>
              <w:szCs w:val="32"/>
              <w:highlight w:val="none"/>
            </w:rPr>
            <w:t>一、项目概况</w:t>
          </w:r>
          <w:r>
            <w:rPr>
              <w:color w:val="auto"/>
              <w:highlight w:val="none"/>
            </w:rPr>
            <w:tab/>
          </w:r>
          <w:r>
            <w:rPr>
              <w:color w:val="auto"/>
              <w:highlight w:val="none"/>
            </w:rPr>
            <w:fldChar w:fldCharType="begin"/>
          </w:r>
          <w:r>
            <w:rPr>
              <w:color w:val="auto"/>
              <w:highlight w:val="none"/>
            </w:rPr>
            <w:instrText xml:space="preserve"> PAGEREF _Toc26071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_Toc32726 </w:instrText>
          </w:r>
          <w:r>
            <w:rPr>
              <w:color w:val="auto"/>
              <w:highlight w:val="none"/>
            </w:rPr>
            <w:fldChar w:fldCharType="separate"/>
          </w:r>
          <w:r>
            <w:rPr>
              <w:rFonts w:hint="eastAsia" w:ascii="仿宋" w:hAnsi="仿宋" w:eastAsia="仿宋" w:cs="仿宋"/>
              <w:bCs w:val="0"/>
              <w:color w:val="auto"/>
              <w:szCs w:val="28"/>
              <w:highlight w:val="none"/>
            </w:rPr>
            <w:t>（一）项目实施单位情况</w:t>
          </w:r>
          <w:r>
            <w:rPr>
              <w:color w:val="auto"/>
              <w:highlight w:val="none"/>
            </w:rPr>
            <w:tab/>
          </w:r>
          <w:r>
            <w:rPr>
              <w:color w:val="auto"/>
              <w:highlight w:val="none"/>
            </w:rPr>
            <w:fldChar w:fldCharType="begin"/>
          </w:r>
          <w:r>
            <w:rPr>
              <w:color w:val="auto"/>
              <w:highlight w:val="none"/>
            </w:rPr>
            <w:instrText xml:space="preserve"> PAGEREF _Toc32726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_Toc4081 </w:instrText>
          </w:r>
          <w:r>
            <w:rPr>
              <w:color w:val="auto"/>
              <w:highlight w:val="none"/>
            </w:rPr>
            <w:fldChar w:fldCharType="separate"/>
          </w:r>
          <w:r>
            <w:rPr>
              <w:rFonts w:hint="eastAsia" w:ascii="仿宋" w:hAnsi="仿宋" w:eastAsia="仿宋" w:cs="仿宋"/>
              <w:bCs w:val="0"/>
              <w:color w:val="auto"/>
              <w:szCs w:val="28"/>
              <w:highlight w:val="none"/>
            </w:rPr>
            <w:t>（二）项目基本情况</w:t>
          </w:r>
          <w:r>
            <w:rPr>
              <w:color w:val="auto"/>
              <w:highlight w:val="none"/>
            </w:rPr>
            <w:tab/>
          </w:r>
          <w:r>
            <w:rPr>
              <w:color w:val="auto"/>
              <w:highlight w:val="none"/>
            </w:rPr>
            <w:fldChar w:fldCharType="begin"/>
          </w:r>
          <w:r>
            <w:rPr>
              <w:color w:val="auto"/>
              <w:highlight w:val="none"/>
            </w:rPr>
            <w:instrText xml:space="preserve"> PAGEREF _Toc4081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30"/>
            <w:tabs>
              <w:tab w:val="right" w:leader="dot" w:pos="8845"/>
            </w:tabs>
            <w:rPr>
              <w:color w:val="auto"/>
              <w:highlight w:val="none"/>
            </w:rPr>
          </w:pPr>
          <w:r>
            <w:rPr>
              <w:color w:val="auto"/>
              <w:highlight w:val="none"/>
            </w:rPr>
            <w:fldChar w:fldCharType="begin"/>
          </w:r>
          <w:r>
            <w:rPr>
              <w:color w:val="auto"/>
              <w:highlight w:val="none"/>
            </w:rPr>
            <w:instrText xml:space="preserve"> HYPERLINK \l _Toc7560 </w:instrText>
          </w:r>
          <w:r>
            <w:rPr>
              <w:color w:val="auto"/>
              <w:highlight w:val="none"/>
            </w:rPr>
            <w:fldChar w:fldCharType="separate"/>
          </w:r>
          <w:r>
            <w:rPr>
              <w:rFonts w:hint="eastAsia" w:ascii="仿宋" w:hAnsi="仿宋" w:eastAsia="仿宋" w:cs="仿宋"/>
              <w:bCs/>
              <w:color w:val="auto"/>
              <w:szCs w:val="28"/>
              <w:highlight w:val="none"/>
            </w:rPr>
            <w:t>1.立项依据</w:t>
          </w:r>
          <w:r>
            <w:rPr>
              <w:color w:val="auto"/>
              <w:highlight w:val="none"/>
            </w:rPr>
            <w:tab/>
          </w:r>
          <w:r>
            <w:rPr>
              <w:color w:val="auto"/>
              <w:highlight w:val="none"/>
            </w:rPr>
            <w:fldChar w:fldCharType="begin"/>
          </w:r>
          <w:r>
            <w:rPr>
              <w:color w:val="auto"/>
              <w:highlight w:val="none"/>
            </w:rPr>
            <w:instrText xml:space="preserve"> PAGEREF _Toc7560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30"/>
            <w:tabs>
              <w:tab w:val="right" w:leader="dot" w:pos="8845"/>
            </w:tabs>
            <w:rPr>
              <w:color w:val="auto"/>
              <w:highlight w:val="none"/>
            </w:rPr>
          </w:pPr>
          <w:r>
            <w:rPr>
              <w:color w:val="auto"/>
              <w:highlight w:val="none"/>
            </w:rPr>
            <w:fldChar w:fldCharType="begin"/>
          </w:r>
          <w:r>
            <w:rPr>
              <w:color w:val="auto"/>
              <w:highlight w:val="none"/>
            </w:rPr>
            <w:instrText xml:space="preserve"> HYPERLINK \l _Toc29310 </w:instrText>
          </w:r>
          <w:r>
            <w:rPr>
              <w:color w:val="auto"/>
              <w:highlight w:val="none"/>
            </w:rPr>
            <w:fldChar w:fldCharType="separate"/>
          </w:r>
          <w:r>
            <w:rPr>
              <w:rFonts w:hint="eastAsia" w:ascii="仿宋" w:hAnsi="仿宋" w:eastAsia="仿宋" w:cs="仿宋"/>
              <w:bCs/>
              <w:color w:val="auto"/>
              <w:szCs w:val="28"/>
              <w:highlight w:val="none"/>
            </w:rPr>
            <w:t>2.项目绩效目标</w:t>
          </w:r>
          <w:r>
            <w:rPr>
              <w:color w:val="auto"/>
              <w:highlight w:val="none"/>
            </w:rPr>
            <w:tab/>
          </w:r>
          <w:r>
            <w:rPr>
              <w:color w:val="auto"/>
              <w:highlight w:val="none"/>
            </w:rPr>
            <w:fldChar w:fldCharType="begin"/>
          </w:r>
          <w:r>
            <w:rPr>
              <w:color w:val="auto"/>
              <w:highlight w:val="none"/>
            </w:rPr>
            <w:instrText xml:space="preserve"> PAGEREF _Toc29310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_Toc5148 </w:instrText>
          </w:r>
          <w:r>
            <w:rPr>
              <w:color w:val="auto"/>
              <w:highlight w:val="none"/>
            </w:rPr>
            <w:fldChar w:fldCharType="separate"/>
          </w:r>
          <w:r>
            <w:rPr>
              <w:rFonts w:hint="eastAsia" w:ascii="仿宋" w:hAnsi="仿宋" w:eastAsia="仿宋" w:cs="仿宋"/>
              <w:bCs w:val="0"/>
              <w:color w:val="auto"/>
              <w:szCs w:val="32"/>
              <w:highlight w:val="none"/>
            </w:rPr>
            <w:t>二、项目实施基本情况</w:t>
          </w:r>
          <w:r>
            <w:rPr>
              <w:color w:val="auto"/>
              <w:highlight w:val="none"/>
            </w:rPr>
            <w:tab/>
          </w:r>
          <w:r>
            <w:rPr>
              <w:color w:val="auto"/>
              <w:highlight w:val="none"/>
            </w:rPr>
            <w:fldChar w:fldCharType="begin"/>
          </w:r>
          <w:r>
            <w:rPr>
              <w:color w:val="auto"/>
              <w:highlight w:val="none"/>
            </w:rPr>
            <w:instrText xml:space="preserve"> PAGEREF _Toc5148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_Toc16561 </w:instrText>
          </w:r>
          <w:r>
            <w:rPr>
              <w:color w:val="auto"/>
              <w:highlight w:val="none"/>
            </w:rPr>
            <w:fldChar w:fldCharType="separate"/>
          </w:r>
          <w:r>
            <w:rPr>
              <w:rFonts w:hint="eastAsia" w:ascii="仿宋" w:hAnsi="仿宋" w:eastAsia="仿宋" w:cs="仿宋"/>
              <w:bCs w:val="0"/>
              <w:color w:val="auto"/>
              <w:szCs w:val="28"/>
              <w:highlight w:val="none"/>
            </w:rPr>
            <w:t>（一）组织管理情况</w:t>
          </w:r>
          <w:r>
            <w:rPr>
              <w:color w:val="auto"/>
              <w:highlight w:val="none"/>
            </w:rPr>
            <w:tab/>
          </w:r>
          <w:r>
            <w:rPr>
              <w:color w:val="auto"/>
              <w:highlight w:val="none"/>
            </w:rPr>
            <w:fldChar w:fldCharType="begin"/>
          </w:r>
          <w:r>
            <w:rPr>
              <w:color w:val="auto"/>
              <w:highlight w:val="none"/>
            </w:rPr>
            <w:instrText xml:space="preserve"> PAGEREF _Toc16561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30"/>
            <w:tabs>
              <w:tab w:val="right" w:leader="dot" w:pos="8845"/>
            </w:tabs>
            <w:rPr>
              <w:color w:val="auto"/>
              <w:highlight w:val="none"/>
            </w:rPr>
          </w:pPr>
          <w:r>
            <w:rPr>
              <w:color w:val="auto"/>
              <w:highlight w:val="none"/>
            </w:rPr>
            <w:fldChar w:fldCharType="begin"/>
          </w:r>
          <w:r>
            <w:rPr>
              <w:color w:val="auto"/>
              <w:highlight w:val="none"/>
            </w:rPr>
            <w:instrText xml:space="preserve"> HYPERLINK \l _Toc28116 </w:instrText>
          </w:r>
          <w:r>
            <w:rPr>
              <w:color w:val="auto"/>
              <w:highlight w:val="none"/>
            </w:rPr>
            <w:fldChar w:fldCharType="separate"/>
          </w:r>
          <w:r>
            <w:rPr>
              <w:rFonts w:hint="eastAsia" w:ascii="仿宋" w:hAnsi="仿宋" w:eastAsia="仿宋" w:cs="仿宋"/>
              <w:bCs w:val="0"/>
              <w:color w:val="auto"/>
              <w:szCs w:val="28"/>
              <w:highlight w:val="none"/>
            </w:rPr>
            <w:t>1．实施背景</w:t>
          </w:r>
          <w:r>
            <w:rPr>
              <w:color w:val="auto"/>
              <w:highlight w:val="none"/>
            </w:rPr>
            <w:tab/>
          </w:r>
          <w:r>
            <w:rPr>
              <w:color w:val="auto"/>
              <w:highlight w:val="none"/>
            </w:rPr>
            <w:fldChar w:fldCharType="begin"/>
          </w:r>
          <w:r>
            <w:rPr>
              <w:color w:val="auto"/>
              <w:highlight w:val="none"/>
            </w:rPr>
            <w:instrText xml:space="preserve"> PAGEREF _Toc28116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30"/>
            <w:tabs>
              <w:tab w:val="right" w:leader="dot" w:pos="8845"/>
            </w:tabs>
            <w:rPr>
              <w:color w:val="auto"/>
              <w:highlight w:val="none"/>
            </w:rPr>
          </w:pPr>
          <w:r>
            <w:rPr>
              <w:color w:val="auto"/>
              <w:highlight w:val="none"/>
            </w:rPr>
            <w:fldChar w:fldCharType="begin"/>
          </w:r>
          <w:r>
            <w:rPr>
              <w:color w:val="auto"/>
              <w:highlight w:val="none"/>
            </w:rPr>
            <w:instrText xml:space="preserve"> HYPERLINK \l _Toc22586 </w:instrText>
          </w:r>
          <w:r>
            <w:rPr>
              <w:color w:val="auto"/>
              <w:highlight w:val="none"/>
            </w:rPr>
            <w:fldChar w:fldCharType="separate"/>
          </w:r>
          <w:r>
            <w:rPr>
              <w:rFonts w:hint="eastAsia" w:ascii="仿宋" w:hAnsi="仿宋" w:eastAsia="仿宋" w:cs="仿宋"/>
              <w:bCs/>
              <w:color w:val="auto"/>
              <w:kern w:val="0"/>
              <w:szCs w:val="28"/>
              <w:highlight w:val="none"/>
            </w:rPr>
            <w:t>2.项目基本要求</w:t>
          </w:r>
          <w:r>
            <w:rPr>
              <w:color w:val="auto"/>
              <w:highlight w:val="none"/>
            </w:rPr>
            <w:tab/>
          </w:r>
          <w:r>
            <w:rPr>
              <w:color w:val="auto"/>
              <w:highlight w:val="none"/>
            </w:rPr>
            <w:fldChar w:fldCharType="begin"/>
          </w:r>
          <w:r>
            <w:rPr>
              <w:color w:val="auto"/>
              <w:highlight w:val="none"/>
            </w:rPr>
            <w:instrText xml:space="preserve"> PAGEREF _Toc22586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30"/>
            <w:tabs>
              <w:tab w:val="right" w:leader="dot" w:pos="8845"/>
            </w:tabs>
            <w:rPr>
              <w:color w:val="auto"/>
              <w:highlight w:val="none"/>
            </w:rPr>
          </w:pPr>
          <w:r>
            <w:rPr>
              <w:color w:val="auto"/>
              <w:highlight w:val="none"/>
            </w:rPr>
            <w:fldChar w:fldCharType="begin"/>
          </w:r>
          <w:r>
            <w:rPr>
              <w:color w:val="auto"/>
              <w:highlight w:val="none"/>
            </w:rPr>
            <w:instrText xml:space="preserve"> HYPERLINK \l _Toc25671 </w:instrText>
          </w:r>
          <w:r>
            <w:rPr>
              <w:color w:val="auto"/>
              <w:highlight w:val="none"/>
            </w:rPr>
            <w:fldChar w:fldCharType="separate"/>
          </w:r>
          <w:r>
            <w:rPr>
              <w:rFonts w:hint="eastAsia" w:ascii="仿宋" w:hAnsi="仿宋" w:eastAsia="仿宋" w:cs="仿宋"/>
              <w:bCs/>
              <w:color w:val="auto"/>
              <w:szCs w:val="28"/>
              <w:highlight w:val="none"/>
            </w:rPr>
            <w:t>3．项目实施情况</w:t>
          </w:r>
          <w:r>
            <w:rPr>
              <w:color w:val="auto"/>
              <w:highlight w:val="none"/>
            </w:rPr>
            <w:tab/>
          </w:r>
          <w:r>
            <w:rPr>
              <w:color w:val="auto"/>
              <w:highlight w:val="none"/>
            </w:rPr>
            <w:fldChar w:fldCharType="begin"/>
          </w:r>
          <w:r>
            <w:rPr>
              <w:color w:val="auto"/>
              <w:highlight w:val="none"/>
            </w:rPr>
            <w:instrText xml:space="preserve"> PAGEREF _Toc25671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_Toc15444 </w:instrText>
          </w:r>
          <w:r>
            <w:rPr>
              <w:color w:val="auto"/>
              <w:highlight w:val="none"/>
            </w:rPr>
            <w:fldChar w:fldCharType="separate"/>
          </w:r>
          <w:r>
            <w:rPr>
              <w:rFonts w:hint="eastAsia" w:ascii="仿宋" w:hAnsi="仿宋" w:eastAsia="仿宋" w:cs="仿宋"/>
              <w:bCs w:val="0"/>
              <w:color w:val="auto"/>
              <w:szCs w:val="28"/>
              <w:highlight w:val="none"/>
            </w:rPr>
            <w:t>（二）财务管理情况</w:t>
          </w:r>
          <w:r>
            <w:rPr>
              <w:color w:val="auto"/>
              <w:highlight w:val="none"/>
            </w:rPr>
            <w:tab/>
          </w:r>
          <w:r>
            <w:rPr>
              <w:color w:val="auto"/>
              <w:highlight w:val="none"/>
            </w:rPr>
            <w:fldChar w:fldCharType="begin"/>
          </w:r>
          <w:r>
            <w:rPr>
              <w:color w:val="auto"/>
              <w:highlight w:val="none"/>
            </w:rPr>
            <w:instrText xml:space="preserve"> PAGEREF _Toc15444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31"/>
            <w:tabs>
              <w:tab w:val="right" w:leader="dot" w:pos="8845"/>
            </w:tabs>
            <w:rPr>
              <w:color w:val="auto"/>
              <w:highlight w:val="none"/>
            </w:rPr>
          </w:pPr>
          <w:r>
            <w:rPr>
              <w:color w:val="auto"/>
              <w:highlight w:val="none"/>
            </w:rPr>
            <w:fldChar w:fldCharType="begin"/>
          </w:r>
          <w:r>
            <w:rPr>
              <w:color w:val="auto"/>
              <w:highlight w:val="none"/>
            </w:rPr>
            <w:instrText xml:space="preserve"> HYPERLINK \l _Toc26050 </w:instrText>
          </w:r>
          <w:r>
            <w:rPr>
              <w:color w:val="auto"/>
              <w:highlight w:val="none"/>
            </w:rPr>
            <w:fldChar w:fldCharType="separate"/>
          </w:r>
          <w:r>
            <w:rPr>
              <w:rFonts w:hint="eastAsia" w:ascii="仿宋" w:hAnsi="仿宋" w:eastAsia="仿宋" w:cs="仿宋"/>
              <w:bCs/>
              <w:color w:val="auto"/>
              <w:szCs w:val="28"/>
              <w:highlight w:val="none"/>
              <w:lang w:val="en-US" w:eastAsia="zh-CN"/>
            </w:rPr>
            <w:t xml:space="preserve">表1 </w:t>
          </w:r>
          <w:r>
            <w:rPr>
              <w:rFonts w:hint="eastAsia" w:ascii="仿宋" w:hAnsi="仿宋" w:eastAsia="仿宋" w:cs="仿宋"/>
              <w:bCs/>
              <w:color w:val="auto"/>
              <w:szCs w:val="28"/>
              <w:highlight w:val="none"/>
            </w:rPr>
            <w:t>2020年度</w:t>
          </w:r>
          <w:r>
            <w:rPr>
              <w:rFonts w:hint="eastAsia" w:ascii="仿宋" w:hAnsi="仿宋" w:eastAsia="仿宋" w:cs="仿宋"/>
              <w:bCs/>
              <w:color w:val="auto"/>
              <w:szCs w:val="28"/>
              <w:highlight w:val="none"/>
              <w:lang w:eastAsia="zh-CN"/>
            </w:rPr>
            <w:t>泉州市洛江区</w:t>
          </w:r>
          <w:r>
            <w:rPr>
              <w:rFonts w:hint="eastAsia" w:ascii="仿宋" w:hAnsi="仿宋" w:eastAsia="仿宋" w:cs="仿宋"/>
              <w:bCs/>
              <w:color w:val="auto"/>
              <w:szCs w:val="28"/>
              <w:highlight w:val="none"/>
            </w:rPr>
            <w:t>城市管理局</w:t>
          </w:r>
          <w:r>
            <w:rPr>
              <w:rFonts w:hint="eastAsia" w:ascii="仿宋" w:hAnsi="仿宋" w:eastAsia="仿宋" w:cs="仿宋"/>
              <w:bCs/>
              <w:color w:val="auto"/>
              <w:szCs w:val="28"/>
              <w:highlight w:val="none"/>
              <w:lang w:eastAsia="zh-CN"/>
            </w:rPr>
            <w:t>垃圾分类</w:t>
          </w:r>
          <w:r>
            <w:rPr>
              <w:rFonts w:hint="eastAsia" w:ascii="仿宋" w:hAnsi="仿宋" w:eastAsia="仿宋" w:cs="仿宋"/>
              <w:bCs/>
              <w:color w:val="auto"/>
              <w:szCs w:val="28"/>
              <w:highlight w:val="none"/>
            </w:rPr>
            <w:t>专项资金使用情况表</w:t>
          </w:r>
          <w:r>
            <w:rPr>
              <w:color w:val="auto"/>
              <w:highlight w:val="none"/>
            </w:rPr>
            <w:tab/>
          </w:r>
          <w:r>
            <w:rPr>
              <w:color w:val="auto"/>
              <w:highlight w:val="none"/>
            </w:rPr>
            <w:fldChar w:fldCharType="begin"/>
          </w:r>
          <w:r>
            <w:rPr>
              <w:color w:val="auto"/>
              <w:highlight w:val="none"/>
            </w:rPr>
            <w:instrText xml:space="preserve"> PAGEREF _Toc26050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31"/>
            <w:tabs>
              <w:tab w:val="right" w:leader="dot" w:pos="8845"/>
            </w:tabs>
            <w:rPr>
              <w:color w:val="auto"/>
              <w:highlight w:val="none"/>
            </w:rPr>
          </w:pPr>
          <w:r>
            <w:rPr>
              <w:color w:val="auto"/>
              <w:highlight w:val="none"/>
            </w:rPr>
            <w:fldChar w:fldCharType="begin"/>
          </w:r>
          <w:r>
            <w:rPr>
              <w:color w:val="auto"/>
              <w:highlight w:val="none"/>
            </w:rPr>
            <w:instrText xml:space="preserve"> HYPERLINK \l _Toc8745 </w:instrText>
          </w:r>
          <w:r>
            <w:rPr>
              <w:color w:val="auto"/>
              <w:highlight w:val="none"/>
            </w:rPr>
            <w:fldChar w:fldCharType="separate"/>
          </w:r>
          <w:r>
            <w:rPr>
              <w:rFonts w:hint="eastAsia" w:ascii="仿宋" w:hAnsi="仿宋" w:eastAsia="仿宋" w:cs="仿宋"/>
              <w:bCs/>
              <w:color w:val="auto"/>
              <w:szCs w:val="24"/>
              <w:highlight w:val="none"/>
            </w:rPr>
            <w:t>单位：万元</w:t>
          </w:r>
          <w:r>
            <w:rPr>
              <w:color w:val="auto"/>
              <w:highlight w:val="none"/>
            </w:rPr>
            <w:tab/>
          </w:r>
          <w:r>
            <w:rPr>
              <w:color w:val="auto"/>
              <w:highlight w:val="none"/>
            </w:rPr>
            <w:fldChar w:fldCharType="begin"/>
          </w:r>
          <w:r>
            <w:rPr>
              <w:color w:val="auto"/>
              <w:highlight w:val="none"/>
            </w:rPr>
            <w:instrText xml:space="preserve"> PAGEREF _Toc8745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_Toc6797 </w:instrText>
          </w:r>
          <w:r>
            <w:rPr>
              <w:color w:val="auto"/>
              <w:highlight w:val="none"/>
            </w:rPr>
            <w:fldChar w:fldCharType="separate"/>
          </w:r>
          <w:r>
            <w:rPr>
              <w:rFonts w:hint="eastAsia" w:ascii="仿宋" w:hAnsi="仿宋" w:eastAsia="仿宋" w:cs="仿宋"/>
              <w:bCs w:val="0"/>
              <w:color w:val="auto"/>
              <w:szCs w:val="32"/>
              <w:highlight w:val="none"/>
            </w:rPr>
            <w:t>三、绩效评价工作情况</w:t>
          </w:r>
          <w:r>
            <w:rPr>
              <w:color w:val="auto"/>
              <w:highlight w:val="none"/>
            </w:rPr>
            <w:tab/>
          </w:r>
          <w:r>
            <w:rPr>
              <w:color w:val="auto"/>
              <w:highlight w:val="none"/>
            </w:rPr>
            <w:fldChar w:fldCharType="begin"/>
          </w:r>
          <w:r>
            <w:rPr>
              <w:color w:val="auto"/>
              <w:highlight w:val="none"/>
            </w:rPr>
            <w:instrText xml:space="preserve"> PAGEREF _Toc6797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_Toc24965 </w:instrText>
          </w:r>
          <w:r>
            <w:rPr>
              <w:color w:val="auto"/>
              <w:highlight w:val="none"/>
            </w:rPr>
            <w:fldChar w:fldCharType="separate"/>
          </w:r>
          <w:r>
            <w:rPr>
              <w:rFonts w:hint="eastAsia" w:ascii="仿宋" w:hAnsi="仿宋" w:eastAsia="仿宋" w:cs="仿宋"/>
              <w:bCs w:val="0"/>
              <w:color w:val="auto"/>
              <w:szCs w:val="28"/>
              <w:highlight w:val="none"/>
            </w:rPr>
            <w:t>（一）评价目的</w:t>
          </w:r>
          <w:r>
            <w:rPr>
              <w:color w:val="auto"/>
              <w:highlight w:val="none"/>
            </w:rPr>
            <w:tab/>
          </w:r>
          <w:r>
            <w:rPr>
              <w:color w:val="auto"/>
              <w:highlight w:val="none"/>
            </w:rPr>
            <w:fldChar w:fldCharType="begin"/>
          </w:r>
          <w:r>
            <w:rPr>
              <w:color w:val="auto"/>
              <w:highlight w:val="none"/>
            </w:rPr>
            <w:instrText xml:space="preserve"> PAGEREF _Toc24965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_Toc4450 </w:instrText>
          </w:r>
          <w:r>
            <w:rPr>
              <w:color w:val="auto"/>
              <w:highlight w:val="none"/>
            </w:rPr>
            <w:fldChar w:fldCharType="separate"/>
          </w:r>
          <w:r>
            <w:rPr>
              <w:rFonts w:hint="eastAsia" w:ascii="仿宋" w:hAnsi="仿宋" w:eastAsia="仿宋" w:cs="仿宋"/>
              <w:bCs w:val="0"/>
              <w:color w:val="auto"/>
              <w:szCs w:val="28"/>
              <w:highlight w:val="none"/>
            </w:rPr>
            <w:t>（二）评价指标</w:t>
          </w:r>
          <w:r>
            <w:rPr>
              <w:color w:val="auto"/>
              <w:highlight w:val="none"/>
            </w:rPr>
            <w:tab/>
          </w:r>
          <w:r>
            <w:rPr>
              <w:color w:val="auto"/>
              <w:highlight w:val="none"/>
            </w:rPr>
            <w:fldChar w:fldCharType="begin"/>
          </w:r>
          <w:r>
            <w:rPr>
              <w:color w:val="auto"/>
              <w:highlight w:val="none"/>
            </w:rPr>
            <w:instrText xml:space="preserve"> PAGEREF _Toc4450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_Toc29677 </w:instrText>
          </w:r>
          <w:r>
            <w:rPr>
              <w:color w:val="auto"/>
              <w:highlight w:val="none"/>
            </w:rPr>
            <w:fldChar w:fldCharType="separate"/>
          </w:r>
          <w:r>
            <w:rPr>
              <w:rFonts w:hint="eastAsia" w:ascii="仿宋" w:hAnsi="仿宋" w:eastAsia="仿宋" w:cs="仿宋"/>
              <w:bCs/>
              <w:color w:val="auto"/>
              <w:szCs w:val="28"/>
              <w:highlight w:val="none"/>
            </w:rPr>
            <w:t>表2</w:t>
          </w:r>
          <w:r>
            <w:rPr>
              <w:rFonts w:hint="eastAsia" w:ascii="仿宋" w:hAnsi="仿宋" w:eastAsia="仿宋" w:cs="仿宋"/>
              <w:bCs/>
              <w:color w:val="auto"/>
              <w:szCs w:val="28"/>
              <w:highlight w:val="none"/>
              <w:lang w:val="en-US" w:eastAsia="zh-CN"/>
            </w:rPr>
            <w:t xml:space="preserve"> </w:t>
          </w:r>
          <w:r>
            <w:rPr>
              <w:rFonts w:hint="eastAsia" w:ascii="仿宋" w:hAnsi="仿宋" w:eastAsia="仿宋" w:cs="仿宋"/>
              <w:bCs/>
              <w:color w:val="auto"/>
              <w:szCs w:val="28"/>
              <w:highlight w:val="none"/>
            </w:rPr>
            <w:t>2020年度</w:t>
          </w:r>
          <w:r>
            <w:rPr>
              <w:rFonts w:hint="eastAsia" w:ascii="仿宋" w:hAnsi="仿宋" w:eastAsia="仿宋" w:cs="仿宋"/>
              <w:bCs/>
              <w:color w:val="auto"/>
              <w:szCs w:val="28"/>
              <w:highlight w:val="none"/>
              <w:lang w:eastAsia="zh-CN"/>
            </w:rPr>
            <w:t>泉州市洛江区</w:t>
          </w:r>
          <w:r>
            <w:rPr>
              <w:rFonts w:hint="eastAsia" w:ascii="仿宋" w:hAnsi="仿宋" w:eastAsia="仿宋" w:cs="仿宋"/>
              <w:bCs/>
              <w:color w:val="auto"/>
              <w:szCs w:val="28"/>
              <w:highlight w:val="none"/>
            </w:rPr>
            <w:t>垃圾分类专项资金绩效评价</w:t>
          </w:r>
          <w:r>
            <w:rPr>
              <w:rFonts w:hint="eastAsia" w:ascii="仿宋" w:hAnsi="仿宋" w:eastAsia="仿宋" w:cs="仿宋"/>
              <w:bCs/>
              <w:color w:val="auto"/>
              <w:szCs w:val="28"/>
              <w:highlight w:val="none"/>
              <w:lang w:val="en-US" w:eastAsia="zh-CN"/>
            </w:rPr>
            <w:t>指标</w:t>
          </w:r>
          <w:r>
            <w:rPr>
              <w:rFonts w:hint="eastAsia" w:ascii="仿宋" w:hAnsi="仿宋" w:eastAsia="仿宋" w:cs="仿宋"/>
              <w:bCs/>
              <w:color w:val="auto"/>
              <w:szCs w:val="28"/>
              <w:highlight w:val="none"/>
            </w:rPr>
            <w:t>体系</w:t>
          </w:r>
          <w:r>
            <w:rPr>
              <w:color w:val="auto"/>
              <w:highlight w:val="none"/>
            </w:rPr>
            <w:tab/>
          </w:r>
          <w:r>
            <w:rPr>
              <w:color w:val="auto"/>
              <w:highlight w:val="none"/>
            </w:rPr>
            <w:fldChar w:fldCharType="begin"/>
          </w:r>
          <w:r>
            <w:rPr>
              <w:color w:val="auto"/>
              <w:highlight w:val="none"/>
            </w:rPr>
            <w:instrText xml:space="preserve"> PAGEREF _Toc29677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_Toc13468 </w:instrText>
          </w:r>
          <w:r>
            <w:rPr>
              <w:color w:val="auto"/>
              <w:highlight w:val="none"/>
            </w:rPr>
            <w:fldChar w:fldCharType="separate"/>
          </w:r>
          <w:r>
            <w:rPr>
              <w:rFonts w:hint="eastAsia" w:ascii="仿宋" w:hAnsi="仿宋" w:eastAsia="仿宋" w:cs="仿宋"/>
              <w:bCs w:val="0"/>
              <w:color w:val="auto"/>
              <w:szCs w:val="28"/>
              <w:highlight w:val="none"/>
            </w:rPr>
            <w:t>（三）评价依据</w:t>
          </w:r>
          <w:r>
            <w:rPr>
              <w:color w:val="auto"/>
              <w:highlight w:val="none"/>
            </w:rPr>
            <w:tab/>
          </w:r>
          <w:r>
            <w:rPr>
              <w:color w:val="auto"/>
              <w:highlight w:val="none"/>
            </w:rPr>
            <w:fldChar w:fldCharType="begin"/>
          </w:r>
          <w:r>
            <w:rPr>
              <w:color w:val="auto"/>
              <w:highlight w:val="none"/>
            </w:rPr>
            <w:instrText xml:space="preserve"> PAGEREF _Toc13468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_Toc15757 </w:instrText>
          </w:r>
          <w:r>
            <w:rPr>
              <w:color w:val="auto"/>
              <w:highlight w:val="none"/>
            </w:rPr>
            <w:fldChar w:fldCharType="separate"/>
          </w:r>
          <w:r>
            <w:rPr>
              <w:rFonts w:hint="eastAsia" w:ascii="仿宋" w:hAnsi="仿宋" w:eastAsia="仿宋" w:cs="仿宋"/>
              <w:bCs w:val="0"/>
              <w:color w:val="auto"/>
              <w:szCs w:val="28"/>
              <w:highlight w:val="none"/>
            </w:rPr>
            <w:t>（四）评价原则</w:t>
          </w:r>
          <w:r>
            <w:rPr>
              <w:color w:val="auto"/>
              <w:highlight w:val="none"/>
            </w:rPr>
            <w:tab/>
          </w:r>
          <w:r>
            <w:rPr>
              <w:color w:val="auto"/>
              <w:highlight w:val="none"/>
            </w:rPr>
            <w:fldChar w:fldCharType="begin"/>
          </w:r>
          <w:r>
            <w:rPr>
              <w:color w:val="auto"/>
              <w:highlight w:val="none"/>
            </w:rPr>
            <w:instrText xml:space="preserve"> PAGEREF _Toc15757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_Toc30187 </w:instrText>
          </w:r>
          <w:r>
            <w:rPr>
              <w:color w:val="auto"/>
              <w:highlight w:val="none"/>
            </w:rPr>
            <w:fldChar w:fldCharType="separate"/>
          </w:r>
          <w:r>
            <w:rPr>
              <w:rFonts w:hint="eastAsia" w:ascii="仿宋" w:hAnsi="仿宋" w:eastAsia="仿宋" w:cs="仿宋"/>
              <w:bCs w:val="0"/>
              <w:color w:val="auto"/>
              <w:szCs w:val="28"/>
              <w:highlight w:val="none"/>
            </w:rPr>
            <w:t>（五）评定方法和等级设定</w:t>
          </w:r>
          <w:r>
            <w:rPr>
              <w:color w:val="auto"/>
              <w:highlight w:val="none"/>
            </w:rPr>
            <w:tab/>
          </w:r>
          <w:r>
            <w:rPr>
              <w:color w:val="auto"/>
              <w:highlight w:val="none"/>
            </w:rPr>
            <w:fldChar w:fldCharType="begin"/>
          </w:r>
          <w:r>
            <w:rPr>
              <w:color w:val="auto"/>
              <w:highlight w:val="none"/>
            </w:rPr>
            <w:instrText xml:space="preserve"> PAGEREF _Toc30187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_Toc30380 </w:instrText>
          </w:r>
          <w:r>
            <w:rPr>
              <w:color w:val="auto"/>
              <w:highlight w:val="none"/>
            </w:rPr>
            <w:fldChar w:fldCharType="separate"/>
          </w:r>
          <w:r>
            <w:rPr>
              <w:rFonts w:hint="eastAsia" w:ascii="仿宋" w:hAnsi="仿宋" w:eastAsia="仿宋" w:cs="仿宋"/>
              <w:color w:val="auto"/>
              <w:szCs w:val="28"/>
              <w:highlight w:val="none"/>
              <w:lang w:val="en-US" w:eastAsia="zh-CN"/>
            </w:rPr>
            <w:t xml:space="preserve">表3 </w:t>
          </w:r>
          <w:r>
            <w:rPr>
              <w:rFonts w:hint="eastAsia" w:ascii="仿宋" w:hAnsi="仿宋" w:eastAsia="仿宋" w:cs="仿宋"/>
              <w:color w:val="auto"/>
              <w:szCs w:val="28"/>
              <w:highlight w:val="none"/>
            </w:rPr>
            <w:t>绩效评价等级表</w:t>
          </w:r>
          <w:r>
            <w:rPr>
              <w:color w:val="auto"/>
              <w:highlight w:val="none"/>
            </w:rPr>
            <w:tab/>
          </w:r>
          <w:r>
            <w:rPr>
              <w:color w:val="auto"/>
              <w:highlight w:val="none"/>
            </w:rPr>
            <w:fldChar w:fldCharType="begin"/>
          </w:r>
          <w:r>
            <w:rPr>
              <w:color w:val="auto"/>
              <w:highlight w:val="none"/>
            </w:rPr>
            <w:instrText xml:space="preserve"> PAGEREF _Toc30380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_Toc19595 </w:instrText>
          </w:r>
          <w:r>
            <w:rPr>
              <w:color w:val="auto"/>
              <w:highlight w:val="none"/>
            </w:rPr>
            <w:fldChar w:fldCharType="separate"/>
          </w:r>
          <w:r>
            <w:rPr>
              <w:rFonts w:hint="eastAsia" w:ascii="仿宋" w:hAnsi="仿宋" w:eastAsia="仿宋" w:cs="仿宋"/>
              <w:color w:val="auto"/>
              <w:szCs w:val="28"/>
              <w:highlight w:val="none"/>
            </w:rPr>
            <w:t>（六）组织实施</w:t>
          </w:r>
          <w:r>
            <w:rPr>
              <w:color w:val="auto"/>
              <w:highlight w:val="none"/>
            </w:rPr>
            <w:tab/>
          </w:r>
          <w:r>
            <w:rPr>
              <w:color w:val="auto"/>
              <w:highlight w:val="none"/>
            </w:rPr>
            <w:fldChar w:fldCharType="begin"/>
          </w:r>
          <w:r>
            <w:rPr>
              <w:color w:val="auto"/>
              <w:highlight w:val="none"/>
            </w:rPr>
            <w:instrText xml:space="preserve"> PAGEREF _Toc19595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_Toc373 </w:instrText>
          </w:r>
          <w:r>
            <w:rPr>
              <w:color w:val="auto"/>
              <w:highlight w:val="none"/>
            </w:rPr>
            <w:fldChar w:fldCharType="separate"/>
          </w:r>
          <w:r>
            <w:rPr>
              <w:rFonts w:hint="eastAsia" w:ascii="仿宋" w:hAnsi="仿宋" w:eastAsia="仿宋" w:cs="仿宋"/>
              <w:bCs w:val="0"/>
              <w:color w:val="auto"/>
              <w:szCs w:val="32"/>
              <w:highlight w:val="none"/>
            </w:rPr>
            <w:t>四、项目绩效评价指标体系及得分情况</w:t>
          </w:r>
          <w:r>
            <w:rPr>
              <w:color w:val="auto"/>
              <w:highlight w:val="none"/>
            </w:rPr>
            <w:tab/>
          </w:r>
          <w:r>
            <w:rPr>
              <w:color w:val="auto"/>
              <w:highlight w:val="none"/>
            </w:rPr>
            <w:fldChar w:fldCharType="begin"/>
          </w:r>
          <w:r>
            <w:rPr>
              <w:color w:val="auto"/>
              <w:highlight w:val="none"/>
            </w:rPr>
            <w:instrText xml:space="preserve"> PAGEREF _Toc373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_Toc16978 </w:instrText>
          </w:r>
          <w:r>
            <w:rPr>
              <w:color w:val="auto"/>
              <w:highlight w:val="none"/>
            </w:rPr>
            <w:fldChar w:fldCharType="separate"/>
          </w:r>
          <w:r>
            <w:rPr>
              <w:rFonts w:hint="eastAsia" w:ascii="仿宋" w:hAnsi="仿宋" w:eastAsia="仿宋" w:cs="仿宋"/>
              <w:bCs/>
              <w:color w:val="auto"/>
              <w:szCs w:val="28"/>
              <w:highlight w:val="none"/>
              <w:lang w:val="en-US" w:eastAsia="zh-CN"/>
            </w:rPr>
            <w:t xml:space="preserve">表4 </w:t>
          </w:r>
          <w:r>
            <w:rPr>
              <w:rFonts w:hint="eastAsia" w:ascii="仿宋" w:hAnsi="仿宋" w:eastAsia="仿宋" w:cs="仿宋"/>
              <w:bCs/>
              <w:color w:val="auto"/>
              <w:szCs w:val="28"/>
              <w:highlight w:val="none"/>
            </w:rPr>
            <w:t>2020年度</w:t>
          </w:r>
          <w:r>
            <w:rPr>
              <w:rFonts w:hint="eastAsia" w:ascii="仿宋" w:hAnsi="仿宋" w:eastAsia="仿宋" w:cs="仿宋"/>
              <w:bCs/>
              <w:color w:val="auto"/>
              <w:szCs w:val="28"/>
              <w:highlight w:val="none"/>
              <w:lang w:eastAsia="zh-CN"/>
            </w:rPr>
            <w:t>泉州市洛江区</w:t>
          </w:r>
          <w:r>
            <w:rPr>
              <w:rFonts w:hint="eastAsia" w:ascii="仿宋" w:hAnsi="仿宋" w:eastAsia="仿宋" w:cs="仿宋"/>
              <w:bCs/>
              <w:color w:val="auto"/>
              <w:szCs w:val="28"/>
              <w:highlight w:val="none"/>
            </w:rPr>
            <w:t>垃圾分类专项资金绩效评价</w:t>
          </w:r>
          <w:r>
            <w:rPr>
              <w:rFonts w:hint="eastAsia" w:ascii="仿宋" w:hAnsi="仿宋" w:eastAsia="仿宋" w:cs="仿宋"/>
              <w:bCs/>
              <w:color w:val="auto"/>
              <w:szCs w:val="28"/>
              <w:highlight w:val="none"/>
              <w:lang w:val="en-US" w:eastAsia="zh-CN"/>
            </w:rPr>
            <w:t>指标得分表</w:t>
          </w:r>
          <w:r>
            <w:rPr>
              <w:color w:val="auto"/>
              <w:highlight w:val="none"/>
            </w:rPr>
            <w:tab/>
          </w:r>
          <w:r>
            <w:rPr>
              <w:color w:val="auto"/>
              <w:highlight w:val="none"/>
            </w:rPr>
            <w:fldChar w:fldCharType="begin"/>
          </w:r>
          <w:r>
            <w:rPr>
              <w:color w:val="auto"/>
              <w:highlight w:val="none"/>
            </w:rPr>
            <w:instrText xml:space="preserve"> PAGEREF _Toc16978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_Toc5979 </w:instrText>
          </w:r>
          <w:r>
            <w:rPr>
              <w:color w:val="auto"/>
              <w:highlight w:val="none"/>
            </w:rPr>
            <w:fldChar w:fldCharType="separate"/>
          </w:r>
          <w:r>
            <w:rPr>
              <w:rFonts w:hint="eastAsia" w:ascii="仿宋" w:hAnsi="仿宋" w:eastAsia="仿宋" w:cs="仿宋"/>
              <w:bCs w:val="0"/>
              <w:color w:val="auto"/>
              <w:szCs w:val="28"/>
              <w:highlight w:val="none"/>
            </w:rPr>
            <w:t>五、绩效评价分析</w:t>
          </w:r>
          <w:r>
            <w:rPr>
              <w:color w:val="auto"/>
              <w:highlight w:val="none"/>
            </w:rPr>
            <w:tab/>
          </w:r>
          <w:r>
            <w:rPr>
              <w:color w:val="auto"/>
              <w:highlight w:val="none"/>
            </w:rPr>
            <w:fldChar w:fldCharType="begin"/>
          </w:r>
          <w:r>
            <w:rPr>
              <w:color w:val="auto"/>
              <w:highlight w:val="none"/>
            </w:rPr>
            <w:instrText xml:space="preserve"> PAGEREF _Toc5979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_Toc28177 </w:instrText>
          </w:r>
          <w:r>
            <w:rPr>
              <w:color w:val="auto"/>
              <w:highlight w:val="none"/>
            </w:rPr>
            <w:fldChar w:fldCharType="separate"/>
          </w:r>
          <w:r>
            <w:rPr>
              <w:rFonts w:hint="eastAsia" w:ascii="仿宋" w:hAnsi="仿宋" w:eastAsia="仿宋" w:cs="仿宋"/>
              <w:color w:val="auto"/>
              <w:szCs w:val="28"/>
              <w:highlight w:val="none"/>
            </w:rPr>
            <w:t>（一）主要成效及经验</w:t>
          </w:r>
          <w:r>
            <w:rPr>
              <w:color w:val="auto"/>
              <w:highlight w:val="none"/>
            </w:rPr>
            <w:tab/>
          </w:r>
          <w:r>
            <w:rPr>
              <w:color w:val="auto"/>
              <w:highlight w:val="none"/>
            </w:rPr>
            <w:fldChar w:fldCharType="begin"/>
          </w:r>
          <w:r>
            <w:rPr>
              <w:color w:val="auto"/>
              <w:highlight w:val="none"/>
            </w:rPr>
            <w:instrText xml:space="preserve"> PAGEREF _Toc28177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_Toc21099 </w:instrText>
          </w:r>
          <w:r>
            <w:rPr>
              <w:color w:val="auto"/>
              <w:highlight w:val="none"/>
            </w:rPr>
            <w:fldChar w:fldCharType="separate"/>
          </w:r>
          <w:r>
            <w:rPr>
              <w:rFonts w:hint="eastAsia" w:ascii="仿宋" w:hAnsi="仿宋" w:eastAsia="仿宋" w:cs="仿宋"/>
              <w:color w:val="auto"/>
              <w:szCs w:val="28"/>
              <w:highlight w:val="none"/>
            </w:rPr>
            <w:t>（二）评价指标得分情况分析</w:t>
          </w:r>
          <w:r>
            <w:rPr>
              <w:color w:val="auto"/>
              <w:highlight w:val="none"/>
            </w:rPr>
            <w:tab/>
          </w:r>
          <w:r>
            <w:rPr>
              <w:color w:val="auto"/>
              <w:highlight w:val="none"/>
            </w:rPr>
            <w:fldChar w:fldCharType="begin"/>
          </w:r>
          <w:r>
            <w:rPr>
              <w:color w:val="auto"/>
              <w:highlight w:val="none"/>
            </w:rPr>
            <w:instrText xml:space="preserve"> PAGEREF _Toc21099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_Toc28187 </w:instrText>
          </w:r>
          <w:r>
            <w:rPr>
              <w:color w:val="auto"/>
              <w:highlight w:val="none"/>
            </w:rPr>
            <w:fldChar w:fldCharType="separate"/>
          </w:r>
          <w:r>
            <w:rPr>
              <w:rFonts w:hint="eastAsia" w:ascii="仿宋" w:hAnsi="仿宋" w:eastAsia="仿宋" w:cs="仿宋"/>
              <w:color w:val="auto"/>
              <w:szCs w:val="28"/>
              <w:highlight w:val="none"/>
            </w:rPr>
            <w:t>（二）评价结论</w:t>
          </w:r>
          <w:r>
            <w:rPr>
              <w:color w:val="auto"/>
              <w:highlight w:val="none"/>
            </w:rPr>
            <w:tab/>
          </w:r>
          <w:r>
            <w:rPr>
              <w:color w:val="auto"/>
              <w:highlight w:val="none"/>
            </w:rPr>
            <w:fldChar w:fldCharType="begin"/>
          </w:r>
          <w:r>
            <w:rPr>
              <w:color w:val="auto"/>
              <w:highlight w:val="none"/>
            </w:rPr>
            <w:instrText xml:space="preserve"> PAGEREF _Toc28187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_Toc31293 </w:instrText>
          </w:r>
          <w:r>
            <w:rPr>
              <w:color w:val="auto"/>
              <w:highlight w:val="none"/>
            </w:rPr>
            <w:fldChar w:fldCharType="separate"/>
          </w:r>
          <w:r>
            <w:rPr>
              <w:rFonts w:hint="eastAsia" w:ascii="仿宋" w:hAnsi="仿宋" w:eastAsia="仿宋" w:cs="仿宋"/>
              <w:bCs w:val="0"/>
              <w:color w:val="auto"/>
              <w:szCs w:val="28"/>
              <w:highlight w:val="none"/>
            </w:rPr>
            <w:t>六、意见建议</w:t>
          </w:r>
          <w:r>
            <w:rPr>
              <w:color w:val="auto"/>
              <w:highlight w:val="none"/>
            </w:rPr>
            <w:tab/>
          </w:r>
          <w:r>
            <w:rPr>
              <w:color w:val="auto"/>
              <w:highlight w:val="none"/>
            </w:rPr>
            <w:fldChar w:fldCharType="begin"/>
          </w:r>
          <w:r>
            <w:rPr>
              <w:color w:val="auto"/>
              <w:highlight w:val="none"/>
            </w:rPr>
            <w:instrText xml:space="preserve"> PAGEREF _Toc31293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_Toc19445 </w:instrText>
          </w:r>
          <w:r>
            <w:rPr>
              <w:color w:val="auto"/>
              <w:highlight w:val="none"/>
            </w:rPr>
            <w:fldChar w:fldCharType="separate"/>
          </w:r>
          <w:r>
            <w:rPr>
              <w:rFonts w:hint="eastAsia" w:ascii="仿宋" w:hAnsi="仿宋" w:eastAsia="仿宋" w:cs="仿宋"/>
              <w:color w:val="auto"/>
              <w:szCs w:val="28"/>
              <w:highlight w:val="none"/>
            </w:rPr>
            <w:t>（一）加强绩效目标管理意识和能力</w:t>
          </w:r>
          <w:r>
            <w:rPr>
              <w:color w:val="auto"/>
              <w:highlight w:val="none"/>
            </w:rPr>
            <w:tab/>
          </w:r>
          <w:r>
            <w:rPr>
              <w:color w:val="auto"/>
              <w:highlight w:val="none"/>
            </w:rPr>
            <w:fldChar w:fldCharType="begin"/>
          </w:r>
          <w:r>
            <w:rPr>
              <w:color w:val="auto"/>
              <w:highlight w:val="none"/>
            </w:rPr>
            <w:instrText xml:space="preserve"> PAGEREF _Toc19445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_Toc31080 </w:instrText>
          </w:r>
          <w:r>
            <w:rPr>
              <w:color w:val="auto"/>
              <w:highlight w:val="none"/>
            </w:rPr>
            <w:fldChar w:fldCharType="separate"/>
          </w:r>
          <w:r>
            <w:rPr>
              <w:rFonts w:hint="eastAsia" w:ascii="仿宋" w:hAnsi="仿宋" w:eastAsia="仿宋" w:cs="仿宋"/>
              <w:color w:val="auto"/>
              <w:szCs w:val="28"/>
              <w:highlight w:val="none"/>
            </w:rPr>
            <w:t>（二）提高专项资金制度化管理水平</w:t>
          </w:r>
          <w:r>
            <w:rPr>
              <w:color w:val="auto"/>
              <w:highlight w:val="none"/>
            </w:rPr>
            <w:tab/>
          </w:r>
          <w:r>
            <w:rPr>
              <w:color w:val="auto"/>
              <w:highlight w:val="none"/>
            </w:rPr>
            <w:fldChar w:fldCharType="begin"/>
          </w:r>
          <w:r>
            <w:rPr>
              <w:color w:val="auto"/>
              <w:highlight w:val="none"/>
            </w:rPr>
            <w:instrText xml:space="preserve"> PAGEREF _Toc31080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_Toc14960 </w:instrText>
          </w:r>
          <w:r>
            <w:rPr>
              <w:color w:val="auto"/>
              <w:highlight w:val="none"/>
            </w:rPr>
            <w:fldChar w:fldCharType="separate"/>
          </w:r>
          <w:r>
            <w:rPr>
              <w:rFonts w:hint="eastAsia" w:ascii="仿宋" w:hAnsi="仿宋" w:eastAsia="仿宋" w:cs="仿宋"/>
              <w:color w:val="auto"/>
              <w:szCs w:val="28"/>
              <w:highlight w:val="none"/>
            </w:rPr>
            <w:t>（三）加强宣传与指导工作</w:t>
          </w:r>
          <w:r>
            <w:rPr>
              <w:color w:val="auto"/>
              <w:highlight w:val="none"/>
            </w:rPr>
            <w:tab/>
          </w:r>
          <w:r>
            <w:rPr>
              <w:color w:val="auto"/>
              <w:highlight w:val="none"/>
            </w:rPr>
            <w:fldChar w:fldCharType="begin"/>
          </w:r>
          <w:r>
            <w:rPr>
              <w:color w:val="auto"/>
              <w:highlight w:val="none"/>
            </w:rPr>
            <w:instrText xml:space="preserve"> PAGEREF _Toc14960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_Toc18342 </w:instrText>
          </w:r>
          <w:r>
            <w:rPr>
              <w:color w:val="auto"/>
              <w:highlight w:val="none"/>
            </w:rPr>
            <w:fldChar w:fldCharType="separate"/>
          </w:r>
          <w:r>
            <w:rPr>
              <w:rFonts w:hint="eastAsia" w:ascii="仿宋" w:hAnsi="仿宋" w:eastAsia="仿宋" w:cs="仿宋"/>
              <w:color w:val="auto"/>
              <w:szCs w:val="28"/>
              <w:highlight w:val="none"/>
            </w:rPr>
            <w:t>（四）加强对社区垃圾分类工作的监控力度</w:t>
          </w:r>
          <w:r>
            <w:rPr>
              <w:color w:val="auto"/>
              <w:highlight w:val="none"/>
            </w:rPr>
            <w:tab/>
          </w:r>
          <w:r>
            <w:rPr>
              <w:color w:val="auto"/>
              <w:highlight w:val="none"/>
            </w:rPr>
            <w:fldChar w:fldCharType="begin"/>
          </w:r>
          <w:r>
            <w:rPr>
              <w:color w:val="auto"/>
              <w:highlight w:val="none"/>
            </w:rPr>
            <w:instrText xml:space="preserve"> PAGEREF _Toc18342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_Toc27077 </w:instrText>
          </w:r>
          <w:r>
            <w:rPr>
              <w:color w:val="auto"/>
              <w:highlight w:val="none"/>
            </w:rPr>
            <w:fldChar w:fldCharType="separate"/>
          </w:r>
          <w:r>
            <w:rPr>
              <w:rFonts w:hint="eastAsia" w:ascii="仿宋" w:hAnsi="仿宋" w:eastAsia="仿宋" w:cs="仿宋"/>
              <w:bCs/>
              <w:color w:val="auto"/>
              <w:szCs w:val="28"/>
              <w:highlight w:val="none"/>
              <w:lang w:val="en-US" w:eastAsia="zh-CN"/>
            </w:rPr>
            <w:t>七</w:t>
          </w:r>
          <w:r>
            <w:rPr>
              <w:rFonts w:hint="eastAsia" w:ascii="仿宋" w:hAnsi="仿宋" w:eastAsia="仿宋" w:cs="仿宋"/>
              <w:bCs/>
              <w:color w:val="auto"/>
              <w:szCs w:val="28"/>
              <w:highlight w:val="none"/>
            </w:rPr>
            <w:t>、其他需说明的事项</w:t>
          </w:r>
          <w:r>
            <w:rPr>
              <w:color w:val="auto"/>
              <w:highlight w:val="none"/>
            </w:rPr>
            <w:tab/>
          </w:r>
          <w:r>
            <w:rPr>
              <w:color w:val="auto"/>
              <w:highlight w:val="none"/>
            </w:rPr>
            <w:fldChar w:fldCharType="begin"/>
          </w:r>
          <w:r>
            <w:rPr>
              <w:color w:val="auto"/>
              <w:highlight w:val="none"/>
            </w:rPr>
            <w:instrText xml:space="preserve"> PAGEREF _Toc27077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_Toc13839 </w:instrText>
          </w:r>
          <w:r>
            <w:rPr>
              <w:color w:val="auto"/>
              <w:highlight w:val="none"/>
            </w:rPr>
            <w:fldChar w:fldCharType="separate"/>
          </w:r>
          <w:r>
            <w:rPr>
              <w:rFonts w:hint="eastAsia" w:ascii="仿宋" w:hAnsi="仿宋" w:eastAsia="仿宋" w:cs="仿宋"/>
              <w:bCs/>
              <w:color w:val="auto"/>
              <w:kern w:val="2"/>
              <w:szCs w:val="28"/>
              <w:highlight w:val="none"/>
              <w:lang w:val="en-US" w:eastAsia="zh-CN" w:bidi="ar-SA"/>
            </w:rPr>
            <w:t>八、附件说明</w:t>
          </w:r>
          <w:r>
            <w:rPr>
              <w:color w:val="auto"/>
              <w:highlight w:val="none"/>
            </w:rPr>
            <w:tab/>
          </w:r>
          <w:r>
            <w:rPr>
              <w:color w:val="auto"/>
              <w:highlight w:val="none"/>
            </w:rPr>
            <w:fldChar w:fldCharType="begin"/>
          </w:r>
          <w:r>
            <w:rPr>
              <w:color w:val="auto"/>
              <w:highlight w:val="none"/>
            </w:rPr>
            <w:instrText xml:space="preserve"> PAGEREF _Toc13839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_Toc3531 </w:instrText>
          </w:r>
          <w:r>
            <w:rPr>
              <w:color w:val="auto"/>
              <w:highlight w:val="none"/>
            </w:rPr>
            <w:fldChar w:fldCharType="separate"/>
          </w:r>
          <w:r>
            <w:rPr>
              <w:rFonts w:hint="eastAsia" w:ascii="仿宋" w:hAnsi="仿宋" w:eastAsia="仿宋" w:cs="仿宋"/>
              <w:bCs/>
              <w:color w:val="auto"/>
              <w:kern w:val="0"/>
              <w:szCs w:val="32"/>
              <w:highlight w:val="none"/>
              <w:lang w:val="en-US" w:eastAsia="zh-CN" w:bidi="ar-SA"/>
            </w:rPr>
            <w:t>附件1   泉州市</w:t>
          </w:r>
          <w:r>
            <w:rPr>
              <w:rFonts w:hint="eastAsia" w:ascii="仿宋" w:hAnsi="仿宋" w:eastAsia="仿宋" w:cs="仿宋"/>
              <w:bCs/>
              <w:color w:val="auto"/>
              <w:kern w:val="2"/>
              <w:szCs w:val="32"/>
              <w:highlight w:val="none"/>
              <w:lang w:val="en-US" w:eastAsia="zh-CN" w:bidi="ar-SA"/>
            </w:rPr>
            <w:t>洛江区2020年度垃圾分类专项资金绩效评价</w:t>
          </w:r>
          <w:r>
            <w:rPr>
              <w:rFonts w:hint="eastAsia" w:ascii="仿宋" w:hAnsi="仿宋" w:eastAsia="仿宋" w:cs="仿宋"/>
              <w:bCs/>
              <w:color w:val="auto"/>
              <w:kern w:val="0"/>
              <w:szCs w:val="32"/>
              <w:highlight w:val="none"/>
              <w:lang w:val="en-US" w:eastAsia="zh-CN" w:bidi="ar-SA"/>
            </w:rPr>
            <w:t>调查问卷</w:t>
          </w:r>
          <w:r>
            <w:rPr>
              <w:color w:val="auto"/>
              <w:highlight w:val="none"/>
            </w:rPr>
            <w:tab/>
          </w:r>
          <w:r>
            <w:rPr>
              <w:color w:val="auto"/>
              <w:highlight w:val="none"/>
            </w:rPr>
            <w:fldChar w:fldCharType="begin"/>
          </w:r>
          <w:r>
            <w:rPr>
              <w:color w:val="auto"/>
              <w:highlight w:val="none"/>
            </w:rPr>
            <w:instrText xml:space="preserve"> PAGEREF _Toc3531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29"/>
            <w:tabs>
              <w:tab w:val="right" w:leader="dot" w:pos="8845"/>
            </w:tabs>
            <w:rPr>
              <w:color w:val="auto"/>
              <w:highlight w:val="none"/>
            </w:rPr>
          </w:pPr>
          <w:r>
            <w:rPr>
              <w:color w:val="auto"/>
              <w:highlight w:val="none"/>
            </w:rPr>
            <w:fldChar w:fldCharType="begin"/>
          </w:r>
          <w:r>
            <w:rPr>
              <w:color w:val="auto"/>
              <w:highlight w:val="none"/>
            </w:rPr>
            <w:instrText xml:space="preserve"> HYPERLINK \l _Toc14551 </w:instrText>
          </w:r>
          <w:r>
            <w:rPr>
              <w:color w:val="auto"/>
              <w:highlight w:val="none"/>
            </w:rPr>
            <w:fldChar w:fldCharType="separate"/>
          </w:r>
          <w:r>
            <w:rPr>
              <w:rFonts w:hint="eastAsia" w:ascii="仿宋" w:hAnsi="仿宋" w:eastAsia="仿宋" w:cs="仿宋"/>
              <w:color w:val="auto"/>
              <w:highlight w:val="none"/>
              <w:lang w:eastAsia="zh-CN"/>
            </w:rPr>
            <w:t>附件</w:t>
          </w:r>
          <w:r>
            <w:rPr>
              <w:rFonts w:hint="eastAsia" w:ascii="仿宋" w:hAnsi="仿宋" w:eastAsia="仿宋" w:cs="仿宋"/>
              <w:color w:val="auto"/>
              <w:highlight w:val="none"/>
              <w:lang w:val="en-US" w:eastAsia="zh-CN"/>
            </w:rPr>
            <w:t>2   现场调研照片</w:t>
          </w:r>
          <w:r>
            <w:rPr>
              <w:color w:val="auto"/>
              <w:highlight w:val="none"/>
            </w:rPr>
            <w:tab/>
          </w:r>
          <w:r>
            <w:rPr>
              <w:color w:val="auto"/>
              <w:highlight w:val="none"/>
            </w:rPr>
            <w:fldChar w:fldCharType="begin"/>
          </w:r>
          <w:r>
            <w:rPr>
              <w:color w:val="auto"/>
              <w:highlight w:val="none"/>
            </w:rPr>
            <w:instrText xml:space="preserve"> PAGEREF _Toc14551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sdtContent>
    </w:sdt>
    <w:p>
      <w:pP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br w:type="page"/>
      </w:r>
    </w:p>
    <w:p>
      <w:pPr>
        <w:pageBreakBefore w:val="0"/>
        <w:shd w:val="clear" w:fill="FFFFFF" w:themeFill="background1"/>
        <w:kinsoku/>
        <w:wordWrap/>
        <w:topLinePunct w:val="0"/>
        <w:bidi w:val="0"/>
        <w:snapToGrid/>
        <w:spacing w:line="240" w:lineRule="auto"/>
        <w:ind w:right="0"/>
        <w:jc w:val="center"/>
        <w:outlineLvl w:val="0"/>
        <w:rPr>
          <w:rFonts w:hint="eastAsia" w:ascii="仿宋" w:hAnsi="仿宋" w:eastAsia="仿宋" w:cs="仿宋"/>
          <w:color w:val="auto"/>
          <w:sz w:val="28"/>
          <w:szCs w:val="28"/>
          <w:highlight w:val="none"/>
        </w:rPr>
      </w:pPr>
      <w:bookmarkStart w:id="0" w:name="_Toc27554"/>
      <w:r>
        <w:rPr>
          <w:rFonts w:hint="eastAsia" w:ascii="仿宋" w:hAnsi="仿宋" w:eastAsia="仿宋" w:cs="仿宋"/>
          <w:b/>
          <w:bCs/>
          <w:color w:val="auto"/>
          <w:sz w:val="28"/>
          <w:szCs w:val="28"/>
          <w:highlight w:val="none"/>
          <w:lang w:val="en-US" w:eastAsia="zh-CN"/>
        </w:rPr>
        <w:t>前 言</w:t>
      </w:r>
      <w:bookmarkEnd w:id="0"/>
    </w:p>
    <w:p>
      <w:pPr>
        <w:pageBreakBefore w:val="0"/>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为加强财政资金管理，强化支出责任，提高财政资金的使用效益，建立科学、合理的财政支出绩效评价管理体系，为领导决策提供科学有力的依据</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泉州市招标咨询中心地方财政绩效评价所接受</w:t>
      </w:r>
      <w:r>
        <w:rPr>
          <w:rFonts w:hint="eastAsia" w:ascii="仿宋" w:hAnsi="仿宋" w:eastAsia="仿宋" w:cs="仿宋"/>
          <w:color w:val="auto"/>
          <w:sz w:val="28"/>
          <w:szCs w:val="28"/>
          <w:highlight w:val="none"/>
          <w:lang w:val="en-US" w:eastAsia="zh-CN"/>
        </w:rPr>
        <w:t>泉州市洛江区</w:t>
      </w:r>
      <w:r>
        <w:rPr>
          <w:rFonts w:hint="eastAsia" w:ascii="仿宋" w:hAnsi="仿宋" w:eastAsia="仿宋" w:cs="仿宋"/>
          <w:color w:val="auto"/>
          <w:sz w:val="28"/>
          <w:szCs w:val="28"/>
          <w:highlight w:val="none"/>
        </w:rPr>
        <w:t>财政局委托，组织专业人员成立绩效评价工作组</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根据《中华人民共和国预算法》《中共中央国务院关于全面实施预算绩效管理的意见》规定，按照财政部《关于印发&lt;项目支出绩效评价管理办法&gt;的通知》（财预〔2020〕10号）、《福建省财政支出绩效评价管理办法》（闽财绩〔2015〕4号）、《2020年度县（市、区）、泉州开发区、泉州台商投资区绩效考评指标解释的通知》（泉效办〔2020〕4号）等有关文件要求，于2021年</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月至10月对泉州市洛江区2020年度垃圾分类专项资金</w:t>
      </w:r>
      <w:r>
        <w:rPr>
          <w:rFonts w:hint="eastAsia" w:ascii="仿宋" w:hAnsi="仿宋" w:eastAsia="仿宋" w:cs="仿宋"/>
          <w:color w:val="auto"/>
          <w:sz w:val="28"/>
          <w:szCs w:val="28"/>
          <w:highlight w:val="none"/>
          <w:lang w:val="en-US" w:eastAsia="zh-CN"/>
        </w:rPr>
        <w:t>开展</w:t>
      </w:r>
      <w:r>
        <w:rPr>
          <w:rFonts w:hint="eastAsia" w:ascii="仿宋" w:hAnsi="仿宋" w:eastAsia="仿宋" w:cs="仿宋"/>
          <w:color w:val="auto"/>
          <w:sz w:val="28"/>
          <w:szCs w:val="28"/>
          <w:highlight w:val="none"/>
        </w:rPr>
        <w:t>绩效评价工作。按照财政部《第三方机构预算绩效评价业务监督管理暂行办法》（财监〔2021〕4号）的要求，以第三方身份出具报告。评价报告主要供</w:t>
      </w:r>
      <w:r>
        <w:rPr>
          <w:rFonts w:hint="eastAsia" w:ascii="仿宋" w:hAnsi="仿宋" w:eastAsia="仿宋" w:cs="仿宋"/>
          <w:color w:val="auto"/>
          <w:sz w:val="28"/>
          <w:szCs w:val="28"/>
          <w:highlight w:val="none"/>
          <w:lang w:val="en-US" w:eastAsia="zh-CN"/>
        </w:rPr>
        <w:t>泉州市洛江区</w:t>
      </w:r>
      <w:r>
        <w:rPr>
          <w:rFonts w:hint="eastAsia" w:ascii="仿宋" w:hAnsi="仿宋" w:eastAsia="仿宋" w:cs="仿宋"/>
          <w:color w:val="auto"/>
          <w:sz w:val="28"/>
          <w:szCs w:val="28"/>
          <w:highlight w:val="none"/>
          <w:lang w:eastAsia="zh-CN"/>
        </w:rPr>
        <w:t>财政局</w:t>
      </w:r>
      <w:r>
        <w:rPr>
          <w:rFonts w:hint="eastAsia" w:ascii="仿宋" w:hAnsi="仿宋" w:eastAsia="仿宋" w:cs="仿宋"/>
          <w:color w:val="auto"/>
          <w:sz w:val="28"/>
          <w:szCs w:val="28"/>
          <w:highlight w:val="none"/>
        </w:rPr>
        <w:t>了解</w:t>
      </w:r>
      <w:r>
        <w:rPr>
          <w:rFonts w:hint="eastAsia" w:ascii="仿宋" w:hAnsi="仿宋" w:eastAsia="仿宋" w:cs="仿宋"/>
          <w:color w:val="auto"/>
          <w:sz w:val="28"/>
          <w:szCs w:val="28"/>
          <w:highlight w:val="none"/>
          <w:lang w:eastAsia="zh-CN"/>
        </w:rPr>
        <w:t>垃圾分类</w:t>
      </w:r>
      <w:r>
        <w:rPr>
          <w:rFonts w:hint="eastAsia" w:ascii="仿宋" w:hAnsi="仿宋" w:eastAsia="仿宋" w:cs="仿宋"/>
          <w:color w:val="auto"/>
          <w:sz w:val="28"/>
          <w:szCs w:val="28"/>
          <w:highlight w:val="none"/>
        </w:rPr>
        <w:t>专项资金支出的绩效情况，并据以加强对未来该项资金拨付、使用的管理。</w:t>
      </w:r>
    </w:p>
    <w:p>
      <w:pPr>
        <w:pageBreakBefore w:val="0"/>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本次绩效评价的对象</w:t>
      </w:r>
      <w:r>
        <w:rPr>
          <w:rFonts w:hint="eastAsia" w:ascii="仿宋" w:hAnsi="仿宋" w:eastAsia="仿宋" w:cs="仿宋"/>
          <w:b w:val="0"/>
          <w:bCs w:val="0"/>
          <w:color w:val="auto"/>
          <w:sz w:val="28"/>
          <w:szCs w:val="28"/>
          <w:highlight w:val="none"/>
          <w:lang w:eastAsia="zh-CN"/>
        </w:rPr>
        <w:t>为泉州市洛江区</w:t>
      </w:r>
      <w:r>
        <w:rPr>
          <w:rFonts w:hint="eastAsia" w:ascii="仿宋" w:hAnsi="仿宋" w:eastAsia="仿宋" w:cs="仿宋"/>
          <w:b w:val="0"/>
          <w:bCs w:val="0"/>
          <w:color w:val="auto"/>
          <w:sz w:val="28"/>
          <w:szCs w:val="28"/>
          <w:highlight w:val="none"/>
        </w:rPr>
        <w:t>财政局2020年度</w:t>
      </w:r>
      <w:r>
        <w:rPr>
          <w:rFonts w:hint="eastAsia" w:ascii="仿宋" w:hAnsi="仿宋" w:eastAsia="仿宋" w:cs="仿宋"/>
          <w:b w:val="0"/>
          <w:bCs w:val="0"/>
          <w:color w:val="auto"/>
          <w:sz w:val="28"/>
          <w:szCs w:val="28"/>
          <w:highlight w:val="none"/>
          <w:lang w:eastAsia="zh-CN"/>
        </w:rPr>
        <w:t>一般公共预算</w:t>
      </w:r>
      <w:r>
        <w:rPr>
          <w:rFonts w:hint="eastAsia" w:ascii="仿宋" w:hAnsi="仿宋" w:eastAsia="仿宋" w:cs="仿宋"/>
          <w:b w:val="0"/>
          <w:bCs w:val="0"/>
          <w:color w:val="auto"/>
          <w:sz w:val="28"/>
          <w:szCs w:val="28"/>
          <w:highlight w:val="none"/>
        </w:rPr>
        <w:t>下拨的</w:t>
      </w:r>
      <w:r>
        <w:rPr>
          <w:rFonts w:hint="eastAsia" w:ascii="仿宋" w:hAnsi="仿宋" w:eastAsia="仿宋" w:cs="仿宋"/>
          <w:b w:val="0"/>
          <w:bCs w:val="0"/>
          <w:color w:val="auto"/>
          <w:sz w:val="28"/>
          <w:szCs w:val="28"/>
          <w:highlight w:val="none"/>
          <w:lang w:eastAsia="zh-CN"/>
        </w:rPr>
        <w:t>垃圾分类</w:t>
      </w:r>
      <w:r>
        <w:rPr>
          <w:rFonts w:hint="eastAsia" w:ascii="仿宋" w:hAnsi="仿宋" w:eastAsia="仿宋" w:cs="仿宋"/>
          <w:b w:val="0"/>
          <w:bCs w:val="0"/>
          <w:color w:val="auto"/>
          <w:sz w:val="28"/>
          <w:szCs w:val="28"/>
          <w:highlight w:val="none"/>
        </w:rPr>
        <w:t>专项资金，共计</w:t>
      </w:r>
      <w:r>
        <w:rPr>
          <w:rFonts w:hint="eastAsia" w:ascii="仿宋" w:hAnsi="仿宋" w:eastAsia="仿宋" w:cs="仿宋"/>
          <w:b w:val="0"/>
          <w:bCs w:val="0"/>
          <w:color w:val="auto"/>
          <w:sz w:val="28"/>
          <w:szCs w:val="28"/>
          <w:highlight w:val="none"/>
          <w:lang w:val="en-US" w:eastAsia="zh-CN"/>
        </w:rPr>
        <w:t>338.00</w:t>
      </w:r>
      <w:r>
        <w:rPr>
          <w:rFonts w:hint="eastAsia" w:ascii="仿宋" w:hAnsi="仿宋" w:eastAsia="仿宋" w:cs="仿宋"/>
          <w:b w:val="0"/>
          <w:bCs w:val="0"/>
          <w:color w:val="auto"/>
          <w:sz w:val="28"/>
          <w:szCs w:val="28"/>
          <w:highlight w:val="none"/>
        </w:rPr>
        <w:t>万元。绩效评价工作小组在收集、整理、汇总、分析相关资料的基础上，通过查账、实地调研和问卷调查等方式进行了解核实，并对相关评价指标进行汇总分析，对照评价指标和标准进行评议打分，形成《</w:t>
      </w:r>
      <w:r>
        <w:rPr>
          <w:rFonts w:hint="eastAsia" w:ascii="仿宋" w:hAnsi="仿宋" w:eastAsia="仿宋" w:cs="仿宋"/>
          <w:color w:val="auto"/>
          <w:sz w:val="28"/>
          <w:szCs w:val="28"/>
          <w:highlight w:val="none"/>
        </w:rPr>
        <w:t>泉州市洛江区2020年度垃圾分类专项资金</w:t>
      </w:r>
      <w:r>
        <w:rPr>
          <w:rFonts w:hint="eastAsia" w:ascii="仿宋" w:hAnsi="仿宋" w:eastAsia="仿宋" w:cs="仿宋"/>
          <w:b w:val="0"/>
          <w:bCs w:val="0"/>
          <w:color w:val="auto"/>
          <w:sz w:val="28"/>
          <w:szCs w:val="28"/>
          <w:highlight w:val="none"/>
        </w:rPr>
        <w:t>绩效评价报告》。</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pPr>
        <w:pStyle w:val="3"/>
        <w:pageBreakBefore w:val="0"/>
        <w:kinsoku/>
        <w:wordWrap/>
        <w:overflowPunct/>
        <w:topLinePunct w:val="0"/>
        <w:autoSpaceDE/>
        <w:autoSpaceDN/>
        <w:bidi w:val="0"/>
        <w:adjustRightInd/>
        <w:snapToGrid/>
        <w:spacing w:before="0" w:after="0" w:line="240" w:lineRule="auto"/>
        <w:ind w:firstLine="643" w:firstLineChars="200"/>
        <w:textAlignment w:val="auto"/>
        <w:rPr>
          <w:rFonts w:hint="eastAsia" w:ascii="仿宋" w:hAnsi="仿宋" w:eastAsia="仿宋" w:cs="仿宋"/>
          <w:b/>
          <w:bCs w:val="0"/>
          <w:color w:val="auto"/>
          <w:sz w:val="32"/>
          <w:szCs w:val="32"/>
          <w:highlight w:val="none"/>
        </w:rPr>
      </w:pPr>
      <w:bookmarkStart w:id="1" w:name="_Toc26071"/>
      <w:r>
        <w:rPr>
          <w:rFonts w:hint="eastAsia" w:ascii="仿宋" w:hAnsi="仿宋" w:eastAsia="仿宋" w:cs="仿宋"/>
          <w:b/>
          <w:bCs w:val="0"/>
          <w:color w:val="auto"/>
          <w:sz w:val="32"/>
          <w:szCs w:val="32"/>
          <w:highlight w:val="none"/>
        </w:rPr>
        <w:t>一、项目概况</w:t>
      </w:r>
      <w:bookmarkEnd w:id="1"/>
    </w:p>
    <w:p>
      <w:pPr>
        <w:pStyle w:val="3"/>
        <w:pageBreakBefore w:val="0"/>
        <w:kinsoku/>
        <w:wordWrap/>
        <w:overflowPunct/>
        <w:topLinePunct w:val="0"/>
        <w:autoSpaceDE/>
        <w:autoSpaceDN/>
        <w:bidi w:val="0"/>
        <w:adjustRightInd/>
        <w:snapToGrid/>
        <w:spacing w:before="0" w:after="0" w:line="240" w:lineRule="auto"/>
        <w:ind w:firstLine="562" w:firstLineChars="200"/>
        <w:textAlignment w:val="auto"/>
        <w:outlineLvl w:val="1"/>
        <w:rPr>
          <w:rFonts w:hint="eastAsia" w:ascii="仿宋" w:hAnsi="仿宋" w:eastAsia="仿宋" w:cs="仿宋"/>
          <w:b/>
          <w:bCs w:val="0"/>
          <w:color w:val="auto"/>
          <w:sz w:val="28"/>
          <w:szCs w:val="28"/>
          <w:highlight w:val="none"/>
        </w:rPr>
      </w:pPr>
      <w:bookmarkStart w:id="2" w:name="_Toc32726"/>
      <w:r>
        <w:rPr>
          <w:rFonts w:hint="eastAsia" w:ascii="仿宋" w:hAnsi="仿宋" w:eastAsia="仿宋" w:cs="仿宋"/>
          <w:b/>
          <w:bCs w:val="0"/>
          <w:color w:val="auto"/>
          <w:sz w:val="28"/>
          <w:szCs w:val="28"/>
          <w:highlight w:val="none"/>
        </w:rPr>
        <w:t>（一）项目实施单位情况</w:t>
      </w:r>
      <w:bookmarkEnd w:id="2"/>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2020年垃圾分类专项总体工作由泉州市洛江区城市管理局（以下简称城管局）负责领导和协调，2018年3月9日，中共泉州市洛江区委办公室、泉州市洛江区人民政府办公室联合印发关于成立洛江区垃圾分类工作领导小组的通知（泉洛委办〔2018〕14号），决定成立洛江区垃圾分类工作领导小组，负责全区垃圾分类工作的总体筹划部署，研究、协调和解决垃圾分类工作中的重大问题等。</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领导小组下设办公室，挂靠区城管局。主要职责为：负责领导小组日常工作，协调、督促各单位落实垃圾分类工作；掌握全区垃圾分类工作情况，为领导小组决策提供建议；收集各乡镇（街道）、各部门需要提请领导小组协调解决的事项；实行领导小组办公室例会和月报制度，扎实推进垃圾分类工作；完成领导小组交办的其他事项。</w:t>
      </w:r>
    </w:p>
    <w:p>
      <w:pPr>
        <w:pStyle w:val="3"/>
        <w:pageBreakBefore w:val="0"/>
        <w:kinsoku/>
        <w:wordWrap/>
        <w:overflowPunct/>
        <w:topLinePunct w:val="0"/>
        <w:autoSpaceDE/>
        <w:autoSpaceDN/>
        <w:bidi w:val="0"/>
        <w:adjustRightInd/>
        <w:snapToGrid/>
        <w:spacing w:before="0" w:after="0" w:line="240" w:lineRule="auto"/>
        <w:ind w:firstLine="562" w:firstLineChars="200"/>
        <w:textAlignment w:val="auto"/>
        <w:outlineLvl w:val="1"/>
        <w:rPr>
          <w:rFonts w:hint="eastAsia" w:ascii="仿宋" w:hAnsi="仿宋" w:eastAsia="仿宋" w:cs="仿宋"/>
          <w:b/>
          <w:bCs w:val="0"/>
          <w:color w:val="auto"/>
          <w:sz w:val="28"/>
          <w:szCs w:val="28"/>
          <w:highlight w:val="none"/>
        </w:rPr>
      </w:pPr>
      <w:bookmarkStart w:id="3" w:name="_Toc4081"/>
      <w:r>
        <w:rPr>
          <w:rFonts w:hint="eastAsia" w:ascii="仿宋" w:hAnsi="仿宋" w:eastAsia="仿宋" w:cs="仿宋"/>
          <w:b/>
          <w:bCs w:val="0"/>
          <w:color w:val="auto"/>
          <w:sz w:val="28"/>
          <w:szCs w:val="28"/>
          <w:highlight w:val="none"/>
        </w:rPr>
        <w:t>（二）项目基本情况</w:t>
      </w:r>
      <w:bookmarkEnd w:id="3"/>
    </w:p>
    <w:p>
      <w:pPr>
        <w:pageBreakBefore w:val="0"/>
        <w:kinsoku/>
        <w:wordWrap/>
        <w:overflowPunct/>
        <w:topLinePunct w:val="0"/>
        <w:autoSpaceDE/>
        <w:autoSpaceDN/>
        <w:bidi w:val="0"/>
        <w:adjustRightInd/>
        <w:snapToGrid/>
        <w:spacing w:line="240" w:lineRule="auto"/>
        <w:ind w:firstLine="562" w:firstLineChars="200"/>
        <w:textAlignment w:val="auto"/>
        <w:outlineLvl w:val="2"/>
        <w:rPr>
          <w:rFonts w:hint="eastAsia" w:ascii="仿宋" w:hAnsi="仿宋" w:eastAsia="仿宋" w:cs="仿宋"/>
          <w:b/>
          <w:bCs/>
          <w:color w:val="auto"/>
          <w:sz w:val="28"/>
          <w:szCs w:val="28"/>
          <w:highlight w:val="none"/>
        </w:rPr>
      </w:pPr>
      <w:bookmarkStart w:id="4" w:name="_Toc7560"/>
      <w:r>
        <w:rPr>
          <w:rFonts w:hint="eastAsia" w:ascii="仿宋" w:hAnsi="仿宋" w:eastAsia="仿宋" w:cs="仿宋"/>
          <w:b/>
          <w:bCs/>
          <w:color w:val="auto"/>
          <w:sz w:val="28"/>
          <w:szCs w:val="28"/>
          <w:highlight w:val="none"/>
        </w:rPr>
        <w:t>1.立项依据</w:t>
      </w:r>
      <w:bookmarkEnd w:id="4"/>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（1）《国务院办公厅关于转发国家发展改革委住房城乡建设部生活垃圾分类制度实施方案的通知》（国办发〔2017〕26号）；</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（2）《泉州市人民政府关于印发泉州市开展垃圾分类处理工作实施方案（2017—2020年）的通知》（泉政文〔2017〕122号）；</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（3）《泉州市洛江区人民政府关于印发洛江区开展垃圾分类处理工作实施方案（2018—2020）的通知》（泉洛政文〔2018〕15号）；</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（4）《洛江区垃圾分类工作领导小组关于印发洛江区加快推进生活垃圾分类工作方案的通知》（泉洛分类〔2020〕1号）。</w:t>
      </w:r>
    </w:p>
    <w:p>
      <w:pPr>
        <w:pageBreakBefore w:val="0"/>
        <w:kinsoku/>
        <w:wordWrap/>
        <w:overflowPunct/>
        <w:topLinePunct w:val="0"/>
        <w:autoSpaceDE/>
        <w:autoSpaceDN/>
        <w:bidi w:val="0"/>
        <w:adjustRightInd/>
        <w:snapToGrid/>
        <w:spacing w:line="240" w:lineRule="auto"/>
        <w:ind w:firstLine="562" w:firstLineChars="200"/>
        <w:textAlignment w:val="auto"/>
        <w:outlineLvl w:val="2"/>
        <w:rPr>
          <w:rFonts w:hint="eastAsia" w:ascii="仿宋" w:hAnsi="仿宋" w:eastAsia="仿宋" w:cs="仿宋"/>
          <w:b/>
          <w:bCs/>
          <w:color w:val="auto"/>
          <w:sz w:val="28"/>
          <w:szCs w:val="28"/>
          <w:highlight w:val="none"/>
        </w:rPr>
      </w:pPr>
      <w:bookmarkStart w:id="5" w:name="_Toc29310"/>
      <w:r>
        <w:rPr>
          <w:rFonts w:hint="eastAsia" w:ascii="仿宋" w:hAnsi="仿宋" w:eastAsia="仿宋" w:cs="仿宋"/>
          <w:b/>
          <w:bCs/>
          <w:color w:val="auto"/>
          <w:sz w:val="28"/>
          <w:szCs w:val="28"/>
          <w:highlight w:val="none"/>
        </w:rPr>
        <w:t>2.项目绩效目标</w:t>
      </w:r>
      <w:bookmarkEnd w:id="5"/>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根据《洛江区加快推进生活垃圾分类工作方案》文件精神要求，2020年垃圾分类工作目标是：万安街道实现全覆盖，基本建成万安街道生活垃圾分类示范片区。全区公共机构基本实现生活垃圾分类全覆盖，生活垃圾分类知识进教材、进课堂。中心城区生活垃圾推行“四分类”（有害垃圾、易腐垃圾、可回收物、其他垃圾）。探索建成餐厨垃圾处理厂或预处理站，建成1个建筑垃圾资源化处理中心或消纳场。 </w:t>
      </w:r>
    </w:p>
    <w:p>
      <w:pPr>
        <w:pStyle w:val="2"/>
        <w:rPr>
          <w:rFonts w:hint="eastAsia"/>
          <w:color w:val="auto"/>
          <w:highlight w:val="none"/>
        </w:rPr>
      </w:pPr>
    </w:p>
    <w:p>
      <w:pPr>
        <w:pStyle w:val="3"/>
        <w:pageBreakBefore w:val="0"/>
        <w:kinsoku/>
        <w:wordWrap/>
        <w:overflowPunct/>
        <w:topLinePunct w:val="0"/>
        <w:autoSpaceDE/>
        <w:autoSpaceDN/>
        <w:bidi w:val="0"/>
        <w:adjustRightInd/>
        <w:snapToGrid/>
        <w:spacing w:before="0" w:after="0" w:line="240" w:lineRule="auto"/>
        <w:ind w:firstLine="643" w:firstLineChars="200"/>
        <w:textAlignment w:val="auto"/>
        <w:rPr>
          <w:rFonts w:hint="eastAsia" w:ascii="仿宋" w:hAnsi="仿宋" w:eastAsia="仿宋" w:cs="仿宋"/>
          <w:b/>
          <w:bCs w:val="0"/>
          <w:color w:val="auto"/>
          <w:sz w:val="32"/>
          <w:szCs w:val="32"/>
          <w:highlight w:val="none"/>
        </w:rPr>
      </w:pPr>
      <w:bookmarkStart w:id="6" w:name="_Toc5148"/>
      <w:r>
        <w:rPr>
          <w:rFonts w:hint="eastAsia" w:ascii="仿宋" w:hAnsi="仿宋" w:eastAsia="仿宋" w:cs="仿宋"/>
          <w:b/>
          <w:bCs w:val="0"/>
          <w:color w:val="auto"/>
          <w:sz w:val="32"/>
          <w:szCs w:val="32"/>
          <w:highlight w:val="none"/>
        </w:rPr>
        <w:t>二、项目实施基本情况</w:t>
      </w:r>
      <w:bookmarkEnd w:id="6"/>
    </w:p>
    <w:p>
      <w:pPr>
        <w:pStyle w:val="3"/>
        <w:pageBreakBefore w:val="0"/>
        <w:kinsoku/>
        <w:wordWrap/>
        <w:overflowPunct/>
        <w:topLinePunct w:val="0"/>
        <w:autoSpaceDE/>
        <w:autoSpaceDN/>
        <w:bidi w:val="0"/>
        <w:adjustRightInd/>
        <w:snapToGrid/>
        <w:spacing w:before="0" w:after="0" w:line="240" w:lineRule="auto"/>
        <w:ind w:firstLine="562" w:firstLineChars="200"/>
        <w:textAlignment w:val="auto"/>
        <w:outlineLvl w:val="1"/>
        <w:rPr>
          <w:rFonts w:hint="eastAsia" w:ascii="仿宋" w:hAnsi="仿宋" w:eastAsia="仿宋" w:cs="仿宋"/>
          <w:b/>
          <w:bCs w:val="0"/>
          <w:color w:val="auto"/>
          <w:sz w:val="28"/>
          <w:szCs w:val="28"/>
          <w:highlight w:val="none"/>
        </w:rPr>
      </w:pPr>
      <w:bookmarkStart w:id="7" w:name="_Toc16561"/>
      <w:r>
        <w:rPr>
          <w:rFonts w:hint="eastAsia" w:ascii="仿宋" w:hAnsi="仿宋" w:eastAsia="仿宋" w:cs="仿宋"/>
          <w:b/>
          <w:bCs w:val="0"/>
          <w:color w:val="auto"/>
          <w:sz w:val="28"/>
          <w:szCs w:val="28"/>
          <w:highlight w:val="none"/>
        </w:rPr>
        <w:t>（一）组织管理情况</w:t>
      </w:r>
      <w:bookmarkEnd w:id="7"/>
    </w:p>
    <w:p>
      <w:pPr>
        <w:pageBreakBefore w:val="0"/>
        <w:kinsoku/>
        <w:wordWrap/>
        <w:overflowPunct/>
        <w:topLinePunct w:val="0"/>
        <w:autoSpaceDE/>
        <w:autoSpaceDN/>
        <w:bidi w:val="0"/>
        <w:adjustRightInd/>
        <w:snapToGrid/>
        <w:spacing w:line="240" w:lineRule="auto"/>
        <w:ind w:firstLine="562" w:firstLineChars="200"/>
        <w:textAlignment w:val="auto"/>
        <w:outlineLvl w:val="2"/>
        <w:rPr>
          <w:rFonts w:hint="eastAsia" w:ascii="仿宋" w:hAnsi="仿宋" w:eastAsia="仿宋" w:cs="仿宋"/>
          <w:b/>
          <w:bCs w:val="0"/>
          <w:color w:val="auto"/>
          <w:sz w:val="28"/>
          <w:szCs w:val="28"/>
          <w:highlight w:val="none"/>
        </w:rPr>
      </w:pPr>
      <w:bookmarkStart w:id="8" w:name="_Toc28116"/>
      <w:r>
        <w:rPr>
          <w:rFonts w:hint="eastAsia" w:ascii="仿宋" w:hAnsi="仿宋" w:eastAsia="仿宋" w:cs="仿宋"/>
          <w:b/>
          <w:bCs w:val="0"/>
          <w:color w:val="auto"/>
          <w:sz w:val="28"/>
          <w:szCs w:val="28"/>
          <w:highlight w:val="none"/>
        </w:rPr>
        <w:t>1．实施背景</w:t>
      </w:r>
      <w:bookmarkEnd w:id="8"/>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2017年3月18日，国务院办公厅印发了《国务院办公厅关于转发国家发展改革委住房城乡建设部生活垃圾分类制度实施方案的通知》（国办发〔2017〕26号），提出牢固树立和贯彻落实创新、协调、绿色、开放、共享的发展理念，加快建立分类投放、分类收集、分类运输、分类处理的垃圾处理系统，因地制宜的垃圾分类制度，努力提高垃圾分类制度覆盖范围，将生活垃圾分类作为推进绿色发展的重要举措的总体要求。明确到2020年底，基本建立垃圾分类相关法律法规和标准体系，形成可复制、可推广的生活垃圾分类模式，在实施生活垃圾强制分类的城市，生活垃圾回收利用率达到35%以上的主要目标。</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2017年8月21日，在国办发〔2017〕26号文件精神指导下，泉州市人民政府印发了《泉州市人民政府关于印发泉州市开展垃圾分类处理工作实施方案（2017—2020年）的通知》（泉政文〔2017〕122号），明确了泉州市垃圾分类工作指导思想、基本原则、实施区域及实施阶段性目标、保障体系建设等方面内容。</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2018年2月13日，泉州市洛江区人民政府印发了《泉州市洛江区人民政府关于印发洛江区开展垃圾分类处理工作实施方案（2018—2020）的通知》（泉洛政文〔2018〕15号），明确2018—2020年洛江区垃圾分类工作指导思想、基本原则、阶段性目标任务、实施区域及加强垃圾分类硬件设施体系、运营监管体系、社会动员体系、工作推进体系等支撑体系建设要求。</w:t>
      </w:r>
    </w:p>
    <w:p>
      <w:pPr>
        <w:pageBreakBefore w:val="0"/>
        <w:kinsoku/>
        <w:wordWrap/>
        <w:overflowPunct/>
        <w:topLinePunct w:val="0"/>
        <w:autoSpaceDE/>
        <w:autoSpaceDN/>
        <w:bidi w:val="0"/>
        <w:adjustRightInd/>
        <w:snapToGrid/>
        <w:spacing w:line="240" w:lineRule="auto"/>
        <w:ind w:firstLine="562" w:firstLineChars="200"/>
        <w:textAlignment w:val="auto"/>
        <w:outlineLvl w:val="2"/>
        <w:rPr>
          <w:rFonts w:hint="eastAsia" w:ascii="仿宋" w:hAnsi="仿宋" w:eastAsia="仿宋" w:cs="仿宋"/>
          <w:b/>
          <w:bCs/>
          <w:color w:val="auto"/>
          <w:kern w:val="0"/>
          <w:sz w:val="28"/>
          <w:szCs w:val="28"/>
          <w:highlight w:val="none"/>
        </w:rPr>
      </w:pPr>
      <w:bookmarkStart w:id="9" w:name="_Toc22586"/>
      <w:r>
        <w:rPr>
          <w:rFonts w:hint="eastAsia" w:ascii="仿宋" w:hAnsi="仿宋" w:eastAsia="仿宋" w:cs="仿宋"/>
          <w:b/>
          <w:bCs/>
          <w:color w:val="auto"/>
          <w:kern w:val="0"/>
          <w:sz w:val="28"/>
          <w:szCs w:val="28"/>
          <w:highlight w:val="none"/>
        </w:rPr>
        <w:t>2.项目基本要求</w:t>
      </w:r>
      <w:bookmarkEnd w:id="9"/>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阶段性工作目标为：2018年，万安街道、双阳街道实现垃圾分类“大分流”，将生活垃圾、建筑垃圾、园林垃圾、大件垃圾、非工业源有害垃圾分别处理，在河市镇选址建设1个以上规模合适的消纳与资源化利用场所，在万安、双阳建成1座小型大件垃圾处理站；2019年，中心城区实现生活垃圾“干湿分离”，结合实际，逐步完善垃圾分类投放、收集、转运、处理体系建设，建立易腐垃圾（餐厨垃圾）收运、处理体系，餐厨垃圾得到有效处理；2020年，在“大分流”基础上，实现“小分类”，进一步完善分类收运体系，对生活垃圾中的废旧织物、废旧玻璃和废旧木材等低价值可回收物进行精细分类，实现资源循环利用，中心城区生活垃圾回收利用率达到35%以上。</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中心城区外，其余乡镇要积极创造条件，结合实际，参照中心城区的主要目标任务同步推进垃圾分类试点工作，开展农村生活垃圾分类试点和有害垃圾回收试点工作，农村地区提倡生活垃圾“干湿”分离。</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2020年2月，中共泉州市洛江区委办公室、泉州市洛江区人民政府办公室联合印发《中共泉州市洛江区委办公室 泉州市洛江区人民政府办公室关于下达2020年区委区政府为民办实事项目责任分解的通知》（泉洛委办〔2020〕1号），将加快推进中心城区垃圾分类工作纳入到为民办实事项目中。</w:t>
      </w:r>
    </w:p>
    <w:p>
      <w:pPr>
        <w:pageBreakBefore w:val="0"/>
        <w:kinsoku/>
        <w:wordWrap/>
        <w:overflowPunct/>
        <w:topLinePunct w:val="0"/>
        <w:autoSpaceDE/>
        <w:autoSpaceDN/>
        <w:bidi w:val="0"/>
        <w:adjustRightInd/>
        <w:snapToGrid/>
        <w:spacing w:line="240" w:lineRule="auto"/>
        <w:ind w:firstLine="562" w:firstLineChars="200"/>
        <w:textAlignment w:val="auto"/>
        <w:outlineLvl w:val="2"/>
        <w:rPr>
          <w:rFonts w:hint="eastAsia" w:ascii="仿宋" w:hAnsi="仿宋" w:eastAsia="仿宋" w:cs="仿宋"/>
          <w:b/>
          <w:bCs/>
          <w:color w:val="auto"/>
          <w:sz w:val="28"/>
          <w:szCs w:val="28"/>
          <w:highlight w:val="none"/>
        </w:rPr>
      </w:pPr>
      <w:bookmarkStart w:id="10" w:name="_Toc25671"/>
      <w:r>
        <w:rPr>
          <w:rFonts w:hint="eastAsia" w:ascii="仿宋" w:hAnsi="仿宋" w:eastAsia="仿宋" w:cs="仿宋"/>
          <w:b/>
          <w:bCs/>
          <w:color w:val="auto"/>
          <w:sz w:val="28"/>
          <w:szCs w:val="28"/>
          <w:highlight w:val="none"/>
        </w:rPr>
        <w:t>3．项目实施情况</w:t>
      </w:r>
      <w:bookmarkEnd w:id="10"/>
    </w:p>
    <w:p>
      <w:pPr>
        <w:pageBreakBefore w:val="0"/>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（1）垃圾分类工作推进情况</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开展垃圾分类工作推进会。2020年7月7日，城管局与万安街道、万福社区、环卫所开展垃圾分类工作协调推进会，经三方共同商讨，部署相关工作任务并确定实施方案。</w:t>
      </w:r>
    </w:p>
    <w:p>
      <w:pPr>
        <w:pageBreakBefore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规范垃圾分类工作。①建立健全生活垃圾分类管理制度，实现辖区内公共机构垃圾分类全覆盖。②指导分类收集点设置，对辖区内主次干道、背街小巷的双分类垃圾桶进行分类标识规范。③开展市级示范创建工作，指导督促万安街道根据垃圾分类实施方案，对辖区内39个小区设置分类垃圾桶，规范分类收集点，制作和安装垃圾分类投放亭、宣传牌等配套设施，并要求每个小区设置一处有害垃圾、可回收物收集点，由小区管理人员监管。④建立大件垃圾、园林垃圾、有害垃圾等垃圾收运体系，在万安、双阳街道建设大件、园林垃圾堆放点，在双阳街道建设有害垃圾收集点。配置大件垃圾车、园林垃圾车、有害垃圾专用车各一辆，负责对相应垃圾进行分类清运。⑤开展垃圾运输车辆“滴洒漏”专项整治，与乡镇联合督促各环卫保洁单位及垃圾运输车辆车主做好车辆外观日常清洗、保洁、维护，防止转运垃圾途中“滴洒漏”，已更新淘汰26部垃圾运输车辆。⑥持续推进虹山乡苏山村干湿垃圾分类试点工作，新增虹山乡前坂村和松角山村作为农村生活垃圾干湿分类试点村, 进一步扩大农村生活垃圾干湿分类工作覆盖面。</w:t>
      </w:r>
    </w:p>
    <w:p>
      <w:pPr>
        <w:pageBreakBefore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展垃圾分类宣传活动。①结合创城工作要求，召集万安街道辖区内所有小区的物业管委会，就垃圾分类工作进行专项布置，明确工作内容及宣传方式。②组织开展“垃圾分类•文明益起行”等主题宣传活动，通过入户入店宣传、发放宣传手册、微信转发垃圾分类相关知识、签订《居民践行垃圾分类行动承诺书》、垃圾分类培训及知识答题互动、垃圾分类进校园、进课堂、进教材等多种方式开展垃圾分类知识宣传活动。</w:t>
      </w:r>
    </w:p>
    <w:p>
      <w:pPr>
        <w:pageBreakBefore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开展监督检查，实施垃圾分类考评工作。根据《中共泉州市洛江区委办公室  泉州市洛江区人民政府办公室关于印发洛江区城市管理综合考评实施意见的通知》（泉洛委办〔2018〕88号）文件要求，泉州市洛江区城市管理考评中心将垃圾分类工作实施情况纳入环境卫生考评通报范围，每月进行定期考评，并通报考评结果，实施奖惩。</w:t>
      </w:r>
    </w:p>
    <w:p>
      <w:pPr>
        <w:pageBreakBefore w:val="0"/>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（2）垃圾分类工作实施保障制度</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在实施制度保障方面，2020年，</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垃圾分类工作领导小组出台了《洛江区垃圾分类工作领导小组关于印发洛江区加快推进生活垃圾分类工作方案的通知》（泉洛分类〔2020〕1号）、《洛江区垃圾分类工作领导小组办公室关于印发2020年洛江区垃圾分类工作实施意见的通知》（泉洛分类办〔2020〕1号）等文件，明确2020年度垃圾分类工作实施目标、设置标准、工作内容、任务及保障措施等方面内容。</w:t>
      </w:r>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在实施机构及人员保障方面，2021年7月12日，</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垃圾分类工作领导小组办公室在泉洛委办〔2018〕14号文件基础上，对组织机构及工作人员进行了调整补充，印发了《洛江区垃圾分类工作领导小组办公室关于调整充实区垃圾分类组织机构工作人员的通知》（泉洛分类办〔2021〕5号），进一步明确办公室工作职责、工作场所及专职人员构成等问题。</w:t>
      </w:r>
    </w:p>
    <w:p>
      <w:pPr>
        <w:pStyle w:val="3"/>
        <w:pageBreakBefore w:val="0"/>
        <w:kinsoku/>
        <w:wordWrap/>
        <w:overflowPunct/>
        <w:topLinePunct w:val="0"/>
        <w:autoSpaceDE/>
        <w:autoSpaceDN/>
        <w:bidi w:val="0"/>
        <w:adjustRightInd/>
        <w:snapToGrid/>
        <w:spacing w:before="0" w:after="0" w:line="240" w:lineRule="auto"/>
        <w:ind w:firstLine="562" w:firstLineChars="200"/>
        <w:textAlignment w:val="auto"/>
        <w:outlineLvl w:val="1"/>
        <w:rPr>
          <w:rFonts w:hint="eastAsia" w:ascii="仿宋" w:hAnsi="仿宋" w:eastAsia="仿宋" w:cs="仿宋"/>
          <w:b/>
          <w:bCs w:val="0"/>
          <w:color w:val="auto"/>
          <w:sz w:val="28"/>
          <w:szCs w:val="28"/>
          <w:highlight w:val="none"/>
        </w:rPr>
      </w:pPr>
      <w:bookmarkStart w:id="11" w:name="_Toc15444"/>
      <w:r>
        <w:rPr>
          <w:rFonts w:hint="eastAsia" w:ascii="仿宋" w:hAnsi="仿宋" w:eastAsia="仿宋" w:cs="仿宋"/>
          <w:b/>
          <w:bCs w:val="0"/>
          <w:color w:val="auto"/>
          <w:sz w:val="28"/>
          <w:szCs w:val="28"/>
          <w:highlight w:val="none"/>
        </w:rPr>
        <w:t>（二）财务管理情况</w:t>
      </w:r>
      <w:bookmarkEnd w:id="11"/>
    </w:p>
    <w:p>
      <w:pPr>
        <w:pStyle w:val="12"/>
        <w:pageBreakBefore w:val="0"/>
        <w:kinsoku/>
        <w:wordWrap/>
        <w:overflowPunct/>
        <w:topLinePunct w:val="0"/>
        <w:autoSpaceDE/>
        <w:autoSpaceDN/>
        <w:bidi w:val="0"/>
        <w:adjustRightInd/>
        <w:snapToGrid/>
        <w:spacing w:before="0" w:beforeAutospacing="0" w:after="0" w:afterAutospacing="0" w:line="240" w:lineRule="auto"/>
        <w:ind w:firstLine="560" w:firstLineChars="200"/>
        <w:jc w:val="both"/>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泉州市洛江区城市管理局（简称：城管局）将垃圾分类专项资金纳入2020年度预算范围，作为公共财政预算资金进行管理，在“项目支出—其他商品和服务支出”列支。</w:t>
      </w:r>
    </w:p>
    <w:p>
      <w:pPr>
        <w:pStyle w:val="12"/>
        <w:pageBreakBefore w:val="0"/>
        <w:kinsoku/>
        <w:wordWrap/>
        <w:overflowPunct/>
        <w:topLinePunct w:val="0"/>
        <w:autoSpaceDE/>
        <w:autoSpaceDN/>
        <w:bidi w:val="0"/>
        <w:adjustRightInd/>
        <w:snapToGrid/>
        <w:spacing w:before="0" w:beforeAutospacing="0" w:after="0" w:afterAutospacing="0" w:line="240" w:lineRule="auto"/>
        <w:ind w:firstLine="560" w:firstLineChars="200"/>
        <w:jc w:val="both"/>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城管局于2020年2月19日、9月22日分两次向</w:t>
      </w:r>
      <w:r>
        <w:rPr>
          <w:rFonts w:hint="eastAsia" w:ascii="仿宋" w:hAnsi="仿宋" w:eastAsia="仿宋" w:cs="仿宋"/>
          <w:color w:val="auto"/>
          <w:kern w:val="2"/>
          <w:sz w:val="28"/>
          <w:szCs w:val="28"/>
          <w:highlight w:val="none"/>
          <w:lang w:eastAsia="zh-CN"/>
        </w:rPr>
        <w:t>泉州市洛江区</w:t>
      </w:r>
      <w:r>
        <w:rPr>
          <w:rFonts w:hint="eastAsia" w:ascii="仿宋" w:hAnsi="仿宋" w:eastAsia="仿宋" w:cs="仿宋"/>
          <w:color w:val="auto"/>
          <w:kern w:val="2"/>
          <w:sz w:val="28"/>
          <w:szCs w:val="28"/>
          <w:highlight w:val="none"/>
        </w:rPr>
        <w:t>财政局申请分类试点专项资金（泉洛城管〔2020〕15号、泉洛城管函〔2020〕122号），金额分别为160万元和178万元。两笔资金分别于2月25日和10月15日（泉洛财指〔2020〕145号、泉洛财指〔2020〕771号）按照实际请款金额下达至城管局处。</w:t>
      </w:r>
    </w:p>
    <w:p>
      <w:pPr>
        <w:pStyle w:val="12"/>
        <w:pageBreakBefore w:val="0"/>
        <w:kinsoku/>
        <w:wordWrap/>
        <w:overflowPunct/>
        <w:topLinePunct w:val="0"/>
        <w:autoSpaceDE/>
        <w:autoSpaceDN/>
        <w:bidi w:val="0"/>
        <w:adjustRightInd/>
        <w:snapToGrid/>
        <w:spacing w:before="0" w:beforeAutospacing="0" w:after="0" w:afterAutospacing="0" w:line="240" w:lineRule="auto"/>
        <w:ind w:firstLine="560" w:firstLineChars="200"/>
        <w:jc w:val="both"/>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城管局专项资金全年拨付至补助单位总额合计323万元，财政结余15万元。其中，通过正式发文（泉洛城管〔2020〕42号、泉洛城管〔2020〕82号）拨付至万安街道办事处220万元，双阳街道办事处20万元，</w:t>
      </w:r>
      <w:r>
        <w:rPr>
          <w:rFonts w:hint="eastAsia" w:ascii="仿宋" w:hAnsi="仿宋" w:eastAsia="仿宋" w:cs="仿宋"/>
          <w:color w:val="auto"/>
          <w:kern w:val="2"/>
          <w:sz w:val="28"/>
          <w:szCs w:val="28"/>
          <w:highlight w:val="none"/>
          <w:lang w:eastAsia="zh-CN"/>
        </w:rPr>
        <w:t>泉州市洛江区</w:t>
      </w:r>
      <w:r>
        <w:rPr>
          <w:rFonts w:hint="eastAsia" w:ascii="仿宋" w:hAnsi="仿宋" w:eastAsia="仿宋" w:cs="仿宋"/>
          <w:color w:val="auto"/>
          <w:kern w:val="2"/>
          <w:sz w:val="28"/>
          <w:szCs w:val="28"/>
          <w:highlight w:val="none"/>
        </w:rPr>
        <w:t>教育局36万，</w:t>
      </w:r>
      <w:r>
        <w:rPr>
          <w:rFonts w:hint="eastAsia" w:ascii="仿宋" w:hAnsi="仿宋" w:eastAsia="仿宋" w:cs="仿宋"/>
          <w:color w:val="auto"/>
          <w:kern w:val="2"/>
          <w:sz w:val="28"/>
          <w:szCs w:val="28"/>
          <w:highlight w:val="none"/>
          <w:lang w:eastAsia="zh-CN"/>
        </w:rPr>
        <w:t>泉州市洛江区</w:t>
      </w:r>
      <w:r>
        <w:rPr>
          <w:rFonts w:hint="eastAsia" w:ascii="仿宋" w:hAnsi="仿宋" w:eastAsia="仿宋" w:cs="仿宋"/>
          <w:color w:val="auto"/>
          <w:kern w:val="2"/>
          <w:sz w:val="28"/>
          <w:szCs w:val="28"/>
          <w:highlight w:val="none"/>
        </w:rPr>
        <w:t>人民政府机关后勤服务中心20万元，资金合计296万元；其余资金拨付未下发正式文件，合计金额27万元，具体如下：垃圾分类转运体系管理经费万安街道安排10万元，双阳街道10万元，垃圾桶补助经费河市镇安排2万元，马甲镇2万元，虹山乡3万元。</w:t>
      </w:r>
    </w:p>
    <w:p>
      <w:pPr>
        <w:pStyle w:val="12"/>
        <w:pageBreakBefore w:val="0"/>
        <w:kinsoku/>
        <w:wordWrap/>
        <w:overflowPunct/>
        <w:topLinePunct w:val="0"/>
        <w:autoSpaceDE/>
        <w:autoSpaceDN/>
        <w:bidi w:val="0"/>
        <w:adjustRightInd/>
        <w:snapToGrid/>
        <w:spacing w:before="0" w:beforeAutospacing="0" w:after="0" w:afterAutospacing="0" w:line="240" w:lineRule="auto"/>
        <w:ind w:firstLine="560" w:firstLineChars="200"/>
        <w:jc w:val="both"/>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资金管理方面，城管局未形成专项资金管理制度文件，在专项资金拨付程序及使用管理上，由城管局局务会讨论通过后，经局分管领导审核，局长批准，再由局财务部门复核后提交区国库支付中心审核，审核通过再拨款至补助单位，城管局对专项资金的使用情况、垃圾分类工作实施情况进行监督考评，资金使用符合规定用途。在专项资金拨付标准确定上，拨付依据参照年初制定经费预算，具体预算金额通过估算形成，各补助单位均建有专项资金使用情况台账。资金使用情况详见</w:t>
      </w:r>
      <w:r>
        <w:rPr>
          <w:rFonts w:hint="eastAsia" w:ascii="仿宋" w:hAnsi="仿宋" w:eastAsia="仿宋" w:cs="仿宋"/>
          <w:color w:val="auto"/>
          <w:kern w:val="2"/>
          <w:sz w:val="28"/>
          <w:szCs w:val="28"/>
          <w:highlight w:val="none"/>
          <w:lang w:val="en-US" w:eastAsia="zh-CN"/>
        </w:rPr>
        <w:t>如</w:t>
      </w:r>
      <w:r>
        <w:rPr>
          <w:rFonts w:hint="eastAsia" w:ascii="仿宋" w:hAnsi="仿宋" w:eastAsia="仿宋" w:cs="仿宋"/>
          <w:color w:val="auto"/>
          <w:kern w:val="2"/>
          <w:sz w:val="28"/>
          <w:szCs w:val="28"/>
          <w:highlight w:val="none"/>
        </w:rPr>
        <w:t>下表</w:t>
      </w: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kern w:val="2"/>
          <w:sz w:val="28"/>
          <w:szCs w:val="28"/>
          <w:highlight w:val="none"/>
        </w:rPr>
        <w:t>：</w:t>
      </w:r>
    </w:p>
    <w:p>
      <w:pPr>
        <w:pStyle w:val="12"/>
        <w:spacing w:before="0" w:beforeAutospacing="0" w:after="0" w:afterAutospacing="0"/>
        <w:jc w:val="center"/>
        <w:outlineLvl w:val="1"/>
        <w:rPr>
          <w:rFonts w:hint="eastAsia" w:ascii="仿宋" w:hAnsi="仿宋" w:eastAsia="仿宋" w:cs="仿宋"/>
          <w:b/>
          <w:bCs/>
          <w:color w:val="auto"/>
          <w:sz w:val="28"/>
          <w:szCs w:val="28"/>
          <w:highlight w:val="none"/>
        </w:rPr>
      </w:pPr>
      <w:bookmarkStart w:id="12" w:name="_Toc26050"/>
      <w:r>
        <w:rPr>
          <w:rFonts w:hint="eastAsia" w:ascii="仿宋" w:hAnsi="仿宋" w:eastAsia="仿宋" w:cs="仿宋"/>
          <w:b/>
          <w:bCs/>
          <w:color w:val="auto"/>
          <w:sz w:val="28"/>
          <w:szCs w:val="28"/>
          <w:highlight w:val="none"/>
          <w:lang w:val="en-US" w:eastAsia="zh-CN"/>
        </w:rPr>
        <w:t xml:space="preserve">表1 </w:t>
      </w:r>
      <w:r>
        <w:rPr>
          <w:rFonts w:hint="eastAsia" w:ascii="仿宋" w:hAnsi="仿宋" w:eastAsia="仿宋" w:cs="仿宋"/>
          <w:b/>
          <w:bCs/>
          <w:color w:val="auto"/>
          <w:sz w:val="28"/>
          <w:szCs w:val="28"/>
          <w:highlight w:val="none"/>
        </w:rPr>
        <w:t>2020年度</w:t>
      </w:r>
      <w:r>
        <w:rPr>
          <w:rFonts w:hint="eastAsia" w:ascii="仿宋" w:hAnsi="仿宋" w:eastAsia="仿宋" w:cs="仿宋"/>
          <w:b/>
          <w:bCs/>
          <w:color w:val="auto"/>
          <w:sz w:val="28"/>
          <w:szCs w:val="28"/>
          <w:highlight w:val="none"/>
          <w:lang w:eastAsia="zh-CN"/>
        </w:rPr>
        <w:t>泉州市洛江区</w:t>
      </w:r>
      <w:r>
        <w:rPr>
          <w:rFonts w:hint="eastAsia" w:ascii="仿宋" w:hAnsi="仿宋" w:eastAsia="仿宋" w:cs="仿宋"/>
          <w:b/>
          <w:bCs/>
          <w:color w:val="auto"/>
          <w:sz w:val="28"/>
          <w:szCs w:val="28"/>
          <w:highlight w:val="none"/>
        </w:rPr>
        <w:t>城市管理局</w:t>
      </w:r>
      <w:r>
        <w:rPr>
          <w:rFonts w:hint="eastAsia" w:ascii="仿宋" w:hAnsi="仿宋" w:eastAsia="仿宋" w:cs="仿宋"/>
          <w:b/>
          <w:bCs/>
          <w:color w:val="auto"/>
          <w:sz w:val="28"/>
          <w:szCs w:val="28"/>
          <w:highlight w:val="none"/>
          <w:lang w:eastAsia="zh-CN"/>
        </w:rPr>
        <w:t>垃圾分类</w:t>
      </w:r>
      <w:r>
        <w:rPr>
          <w:rFonts w:hint="eastAsia" w:ascii="仿宋" w:hAnsi="仿宋" w:eastAsia="仿宋" w:cs="仿宋"/>
          <w:b/>
          <w:bCs/>
          <w:color w:val="auto"/>
          <w:sz w:val="28"/>
          <w:szCs w:val="28"/>
          <w:highlight w:val="none"/>
        </w:rPr>
        <w:t>专项资金使用情况表</w:t>
      </w:r>
      <w:bookmarkEnd w:id="12"/>
    </w:p>
    <w:p>
      <w:pPr>
        <w:pStyle w:val="12"/>
        <w:wordWrap w:val="0"/>
        <w:spacing w:before="0" w:beforeAutospacing="0" w:after="0" w:afterAutospacing="0"/>
        <w:jc w:val="right"/>
        <w:outlineLvl w:val="1"/>
        <w:rPr>
          <w:rFonts w:hint="default" w:ascii="仿宋" w:hAnsi="仿宋" w:eastAsia="仿宋" w:cs="仿宋"/>
          <w:b/>
          <w:bCs/>
          <w:color w:val="auto"/>
          <w:sz w:val="24"/>
          <w:szCs w:val="24"/>
          <w:highlight w:val="none"/>
          <w:lang w:val="en-US" w:eastAsia="zh-CN"/>
        </w:rPr>
      </w:pPr>
      <w:bookmarkStart w:id="13" w:name="_Toc8745"/>
      <w:r>
        <w:rPr>
          <w:rFonts w:hint="eastAsia" w:ascii="仿宋" w:hAnsi="仿宋" w:eastAsia="仿宋" w:cs="仿宋"/>
          <w:b/>
          <w:bCs/>
          <w:color w:val="auto"/>
          <w:sz w:val="24"/>
          <w:szCs w:val="24"/>
          <w:highlight w:val="none"/>
        </w:rPr>
        <w:t>单位：万元</w:t>
      </w:r>
      <w:bookmarkEnd w:id="13"/>
      <w:r>
        <w:rPr>
          <w:rFonts w:hint="eastAsia" w:ascii="仿宋" w:hAnsi="仿宋" w:eastAsia="仿宋" w:cs="仿宋"/>
          <w:b/>
          <w:bCs/>
          <w:color w:val="auto"/>
          <w:sz w:val="24"/>
          <w:szCs w:val="24"/>
          <w:highlight w:val="none"/>
          <w:lang w:val="en-US" w:eastAsia="zh-CN"/>
        </w:rPr>
        <w:t xml:space="preserve">  </w:t>
      </w:r>
    </w:p>
    <w:tbl>
      <w:tblPr>
        <w:tblStyle w:val="14"/>
        <w:tblW w:w="8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855"/>
        <w:gridCol w:w="975"/>
        <w:gridCol w:w="1860"/>
        <w:gridCol w:w="241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12" w:type="dxa"/>
            <w:shd w:val="clear" w:color="auto" w:fill="auto"/>
            <w:vAlign w:val="center"/>
          </w:tcPr>
          <w:p>
            <w:pPr>
              <w:pStyle w:val="12"/>
              <w:spacing w:before="0" w:beforeAutospacing="0" w:after="0" w:afterAutospacing="0"/>
              <w:jc w:val="center"/>
              <w:rPr>
                <w:rFonts w:hint="eastAsia" w:ascii="仿宋" w:hAnsi="仿宋" w:eastAsia="仿宋" w:cs="仿宋"/>
                <w:b/>
                <w:bCs/>
                <w:color w:val="auto"/>
                <w:szCs w:val="22"/>
                <w:highlight w:val="none"/>
              </w:rPr>
            </w:pPr>
            <w:r>
              <w:rPr>
                <w:rFonts w:hint="eastAsia" w:ascii="仿宋" w:hAnsi="仿宋" w:eastAsia="仿宋" w:cs="仿宋"/>
                <w:b/>
                <w:bCs/>
                <w:color w:val="auto"/>
                <w:szCs w:val="22"/>
                <w:highlight w:val="none"/>
              </w:rPr>
              <w:t>资金用途</w:t>
            </w:r>
          </w:p>
        </w:tc>
        <w:tc>
          <w:tcPr>
            <w:tcW w:w="855" w:type="dxa"/>
            <w:shd w:val="clear" w:color="auto" w:fill="auto"/>
            <w:vAlign w:val="center"/>
          </w:tcPr>
          <w:p>
            <w:pPr>
              <w:pStyle w:val="12"/>
              <w:spacing w:before="0" w:beforeAutospacing="0" w:after="0" w:afterAutospacing="0"/>
              <w:jc w:val="center"/>
              <w:rPr>
                <w:rFonts w:hint="eastAsia" w:ascii="仿宋" w:hAnsi="仿宋" w:eastAsia="仿宋" w:cs="仿宋"/>
                <w:b/>
                <w:bCs/>
                <w:color w:val="auto"/>
                <w:szCs w:val="22"/>
                <w:highlight w:val="none"/>
              </w:rPr>
            </w:pPr>
            <w:r>
              <w:rPr>
                <w:rFonts w:hint="eastAsia" w:ascii="仿宋" w:hAnsi="仿宋" w:eastAsia="仿宋" w:cs="仿宋"/>
                <w:b/>
                <w:bCs/>
                <w:color w:val="auto"/>
                <w:szCs w:val="22"/>
                <w:highlight w:val="none"/>
              </w:rPr>
              <w:t>预算金额</w:t>
            </w:r>
          </w:p>
        </w:tc>
        <w:tc>
          <w:tcPr>
            <w:tcW w:w="975" w:type="dxa"/>
            <w:shd w:val="clear" w:color="auto" w:fill="auto"/>
            <w:vAlign w:val="center"/>
          </w:tcPr>
          <w:p>
            <w:pPr>
              <w:pStyle w:val="12"/>
              <w:spacing w:before="0" w:beforeAutospacing="0" w:after="0" w:afterAutospacing="0"/>
              <w:jc w:val="center"/>
              <w:rPr>
                <w:rFonts w:hint="eastAsia" w:ascii="仿宋" w:hAnsi="仿宋" w:eastAsia="仿宋" w:cs="仿宋"/>
                <w:b/>
                <w:bCs/>
                <w:color w:val="auto"/>
                <w:szCs w:val="22"/>
                <w:highlight w:val="none"/>
              </w:rPr>
            </w:pPr>
            <w:r>
              <w:rPr>
                <w:rFonts w:hint="eastAsia" w:ascii="仿宋" w:hAnsi="仿宋" w:eastAsia="仿宋" w:cs="仿宋"/>
                <w:b/>
                <w:bCs/>
                <w:color w:val="auto"/>
                <w:szCs w:val="22"/>
                <w:highlight w:val="none"/>
              </w:rPr>
              <w:t>资金下达金额</w:t>
            </w:r>
          </w:p>
        </w:tc>
        <w:tc>
          <w:tcPr>
            <w:tcW w:w="1860" w:type="dxa"/>
            <w:shd w:val="clear" w:color="auto" w:fill="auto"/>
            <w:vAlign w:val="center"/>
          </w:tcPr>
          <w:p>
            <w:pPr>
              <w:pStyle w:val="12"/>
              <w:spacing w:before="0" w:beforeAutospacing="0" w:after="0" w:afterAutospacing="0"/>
              <w:jc w:val="center"/>
              <w:rPr>
                <w:rFonts w:hint="eastAsia" w:ascii="仿宋" w:hAnsi="仿宋" w:eastAsia="仿宋" w:cs="仿宋"/>
                <w:b/>
                <w:bCs/>
                <w:color w:val="auto"/>
                <w:szCs w:val="22"/>
                <w:highlight w:val="none"/>
              </w:rPr>
            </w:pPr>
            <w:r>
              <w:rPr>
                <w:rFonts w:hint="eastAsia" w:ascii="仿宋" w:hAnsi="仿宋" w:eastAsia="仿宋" w:cs="仿宋"/>
                <w:b/>
                <w:bCs/>
                <w:color w:val="auto"/>
                <w:szCs w:val="22"/>
                <w:highlight w:val="none"/>
              </w:rPr>
              <w:t>资金使用单位</w:t>
            </w:r>
          </w:p>
        </w:tc>
        <w:tc>
          <w:tcPr>
            <w:tcW w:w="2410" w:type="dxa"/>
            <w:shd w:val="clear" w:color="auto" w:fill="auto"/>
            <w:vAlign w:val="center"/>
          </w:tcPr>
          <w:p>
            <w:pPr>
              <w:pStyle w:val="12"/>
              <w:spacing w:before="0" w:beforeAutospacing="0" w:after="0" w:afterAutospacing="0"/>
              <w:jc w:val="center"/>
              <w:rPr>
                <w:rFonts w:hint="eastAsia" w:ascii="仿宋" w:hAnsi="仿宋" w:eastAsia="仿宋" w:cs="仿宋"/>
                <w:b/>
                <w:bCs/>
                <w:color w:val="auto"/>
                <w:szCs w:val="22"/>
                <w:highlight w:val="none"/>
              </w:rPr>
            </w:pPr>
            <w:r>
              <w:rPr>
                <w:rFonts w:hint="eastAsia" w:ascii="仿宋" w:hAnsi="仿宋" w:eastAsia="仿宋" w:cs="仿宋"/>
                <w:b/>
                <w:bCs/>
                <w:color w:val="auto"/>
                <w:szCs w:val="22"/>
                <w:highlight w:val="none"/>
              </w:rPr>
              <w:t>资金请示或批复文号</w:t>
            </w:r>
          </w:p>
        </w:tc>
        <w:tc>
          <w:tcPr>
            <w:tcW w:w="1600" w:type="dxa"/>
            <w:shd w:val="clear" w:color="auto" w:fill="auto"/>
            <w:vAlign w:val="center"/>
          </w:tcPr>
          <w:p>
            <w:pPr>
              <w:pStyle w:val="12"/>
              <w:spacing w:before="0" w:beforeAutospacing="0" w:after="0" w:afterAutospacing="0"/>
              <w:jc w:val="center"/>
              <w:rPr>
                <w:rFonts w:hint="eastAsia" w:ascii="仿宋" w:hAnsi="仿宋" w:eastAsia="仿宋" w:cs="仿宋"/>
                <w:b/>
                <w:bCs/>
                <w:color w:val="auto"/>
                <w:szCs w:val="22"/>
                <w:highlight w:val="none"/>
              </w:rPr>
            </w:pPr>
            <w:r>
              <w:rPr>
                <w:rFonts w:hint="eastAsia" w:ascii="仿宋" w:hAnsi="仿宋" w:eastAsia="仿宋" w:cs="仿宋"/>
                <w:b/>
                <w:bCs/>
                <w:color w:val="auto"/>
                <w:szCs w:val="22"/>
                <w:highlight w:val="none"/>
              </w:rPr>
              <w:t>资金下拨、支出金额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1212" w:type="dxa"/>
            <w:shd w:val="clear" w:color="auto" w:fill="auto"/>
            <w:vAlign w:val="center"/>
          </w:tcPr>
          <w:p>
            <w:pPr>
              <w:pStyle w:val="12"/>
              <w:spacing w:before="0" w:beforeAutospacing="0" w:after="0" w:afterAutospacing="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垃圾分类专项资金</w:t>
            </w:r>
          </w:p>
        </w:tc>
        <w:tc>
          <w:tcPr>
            <w:tcW w:w="855" w:type="dxa"/>
            <w:shd w:val="clear" w:color="auto" w:fill="auto"/>
            <w:noWrap/>
            <w:vAlign w:val="center"/>
          </w:tcPr>
          <w:p>
            <w:pPr>
              <w:pStyle w:val="12"/>
              <w:spacing w:before="0" w:beforeAutospacing="0" w:after="0" w:afterAutospacing="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 xml:space="preserve">338 </w:t>
            </w:r>
          </w:p>
        </w:tc>
        <w:tc>
          <w:tcPr>
            <w:tcW w:w="975" w:type="dxa"/>
            <w:shd w:val="clear" w:color="auto" w:fill="auto"/>
            <w:noWrap/>
            <w:vAlign w:val="center"/>
          </w:tcPr>
          <w:p>
            <w:pPr>
              <w:pStyle w:val="12"/>
              <w:spacing w:before="0" w:beforeAutospacing="0" w:after="0" w:afterAutospacing="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338</w:t>
            </w:r>
          </w:p>
        </w:tc>
        <w:tc>
          <w:tcPr>
            <w:tcW w:w="1860" w:type="dxa"/>
            <w:shd w:val="clear" w:color="auto" w:fill="auto"/>
            <w:noWrap/>
            <w:vAlign w:val="center"/>
          </w:tcPr>
          <w:p>
            <w:pPr>
              <w:pStyle w:val="12"/>
              <w:spacing w:before="0" w:beforeAutospacing="0" w:after="0" w:afterAutospacing="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万安街道、双阳镇、</w:t>
            </w:r>
            <w:r>
              <w:rPr>
                <w:rFonts w:hint="eastAsia" w:ascii="仿宋" w:hAnsi="仿宋" w:eastAsia="仿宋" w:cs="仿宋"/>
                <w:color w:val="auto"/>
                <w:szCs w:val="22"/>
                <w:highlight w:val="none"/>
                <w:lang w:eastAsia="zh-CN"/>
              </w:rPr>
              <w:t>泉州市洛江区</w:t>
            </w:r>
            <w:r>
              <w:rPr>
                <w:rFonts w:hint="eastAsia" w:ascii="仿宋" w:hAnsi="仿宋" w:eastAsia="仿宋" w:cs="仿宋"/>
                <w:color w:val="auto"/>
                <w:szCs w:val="22"/>
                <w:highlight w:val="none"/>
              </w:rPr>
              <w:t>教育局、</w:t>
            </w:r>
            <w:r>
              <w:rPr>
                <w:rFonts w:hint="eastAsia" w:ascii="仿宋" w:hAnsi="仿宋" w:eastAsia="仿宋" w:cs="仿宋"/>
                <w:color w:val="auto"/>
                <w:szCs w:val="22"/>
                <w:highlight w:val="none"/>
                <w:lang w:eastAsia="zh-CN"/>
              </w:rPr>
              <w:t>泉州市洛江区</w:t>
            </w:r>
            <w:r>
              <w:rPr>
                <w:rFonts w:hint="eastAsia" w:ascii="仿宋" w:hAnsi="仿宋" w:eastAsia="仿宋" w:cs="仿宋"/>
                <w:color w:val="auto"/>
                <w:szCs w:val="22"/>
                <w:highlight w:val="none"/>
              </w:rPr>
              <w:t>人民政府机关后勤服务中心、马甲镇、河市镇、虹山乡</w:t>
            </w:r>
          </w:p>
        </w:tc>
        <w:tc>
          <w:tcPr>
            <w:tcW w:w="2410" w:type="dxa"/>
            <w:shd w:val="clear" w:color="auto" w:fill="auto"/>
            <w:vAlign w:val="center"/>
          </w:tcPr>
          <w:p>
            <w:pPr>
              <w:pStyle w:val="12"/>
              <w:spacing w:before="0" w:beforeAutospacing="0" w:after="0" w:afterAutospacing="0"/>
              <w:rPr>
                <w:rFonts w:hint="eastAsia" w:ascii="仿宋" w:hAnsi="仿宋" w:eastAsia="仿宋" w:cs="仿宋"/>
                <w:color w:val="auto"/>
                <w:szCs w:val="22"/>
                <w:highlight w:val="none"/>
              </w:rPr>
            </w:pPr>
            <w:r>
              <w:rPr>
                <w:rFonts w:hint="eastAsia" w:ascii="仿宋" w:hAnsi="仿宋" w:eastAsia="仿宋" w:cs="仿宋"/>
                <w:color w:val="auto"/>
                <w:szCs w:val="22"/>
                <w:highlight w:val="none"/>
              </w:rPr>
              <w:t>请示：泉洛城管〔2020〕15号、泉洛城管函〔2020〕122号；</w:t>
            </w:r>
          </w:p>
          <w:p>
            <w:pPr>
              <w:pStyle w:val="12"/>
              <w:spacing w:before="0" w:beforeAutospacing="0" w:after="0" w:afterAutospacing="0"/>
              <w:rPr>
                <w:rFonts w:hint="eastAsia" w:ascii="仿宋" w:hAnsi="仿宋" w:eastAsia="仿宋" w:cs="仿宋"/>
                <w:color w:val="auto"/>
                <w:szCs w:val="22"/>
                <w:highlight w:val="none"/>
              </w:rPr>
            </w:pPr>
            <w:r>
              <w:rPr>
                <w:rFonts w:hint="eastAsia" w:ascii="仿宋" w:hAnsi="仿宋" w:eastAsia="仿宋" w:cs="仿宋"/>
                <w:color w:val="auto"/>
                <w:szCs w:val="22"/>
                <w:highlight w:val="none"/>
              </w:rPr>
              <w:t>批复：泉洛城管〔2020〕42号、泉洛城管〔2020〕82号文件</w:t>
            </w:r>
          </w:p>
        </w:tc>
        <w:tc>
          <w:tcPr>
            <w:tcW w:w="1600" w:type="dxa"/>
            <w:shd w:val="clear" w:color="auto" w:fill="auto"/>
            <w:noWrap/>
            <w:vAlign w:val="center"/>
          </w:tcPr>
          <w:p>
            <w:pPr>
              <w:pStyle w:val="12"/>
              <w:spacing w:before="0" w:beforeAutospacing="0" w:after="0" w:afterAutospacing="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323万元（其中，27万元资金无正式发文，仅有经费安排表及财政支出凭证）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12" w:type="dxa"/>
            <w:shd w:val="clear" w:color="auto" w:fill="auto"/>
            <w:noWrap/>
            <w:vAlign w:val="center"/>
          </w:tcPr>
          <w:p>
            <w:pPr>
              <w:pStyle w:val="12"/>
              <w:spacing w:before="0" w:beforeAutospacing="0" w:after="0" w:afterAutospacing="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合计</w:t>
            </w:r>
          </w:p>
        </w:tc>
        <w:tc>
          <w:tcPr>
            <w:tcW w:w="855" w:type="dxa"/>
            <w:shd w:val="clear" w:color="auto" w:fill="auto"/>
            <w:noWrap/>
            <w:vAlign w:val="center"/>
          </w:tcPr>
          <w:p>
            <w:pPr>
              <w:pStyle w:val="12"/>
              <w:spacing w:before="0" w:beforeAutospacing="0" w:after="0" w:afterAutospacing="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338</w:t>
            </w:r>
          </w:p>
        </w:tc>
        <w:tc>
          <w:tcPr>
            <w:tcW w:w="975" w:type="dxa"/>
            <w:shd w:val="clear" w:color="auto" w:fill="auto"/>
            <w:noWrap/>
            <w:vAlign w:val="center"/>
          </w:tcPr>
          <w:p>
            <w:pPr>
              <w:pStyle w:val="12"/>
              <w:spacing w:before="0" w:beforeAutospacing="0" w:after="0" w:afterAutospacing="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338</w:t>
            </w:r>
          </w:p>
        </w:tc>
        <w:tc>
          <w:tcPr>
            <w:tcW w:w="1860" w:type="dxa"/>
            <w:shd w:val="clear" w:color="auto" w:fill="auto"/>
            <w:noWrap/>
            <w:vAlign w:val="center"/>
          </w:tcPr>
          <w:p>
            <w:pPr>
              <w:pStyle w:val="12"/>
              <w:spacing w:before="0" w:beforeAutospacing="0" w:after="0" w:afterAutospacing="0"/>
              <w:jc w:val="center"/>
              <w:rPr>
                <w:rFonts w:hint="eastAsia" w:ascii="仿宋" w:hAnsi="仿宋" w:eastAsia="仿宋" w:cs="仿宋"/>
                <w:color w:val="auto"/>
                <w:szCs w:val="22"/>
                <w:highlight w:val="none"/>
              </w:rPr>
            </w:pPr>
          </w:p>
        </w:tc>
        <w:tc>
          <w:tcPr>
            <w:tcW w:w="2410" w:type="dxa"/>
            <w:shd w:val="clear" w:color="auto" w:fill="auto"/>
            <w:noWrap/>
            <w:vAlign w:val="center"/>
          </w:tcPr>
          <w:p>
            <w:pPr>
              <w:pStyle w:val="12"/>
              <w:spacing w:before="0" w:beforeAutospacing="0" w:after="0" w:afterAutospacing="0"/>
              <w:jc w:val="center"/>
              <w:rPr>
                <w:rFonts w:hint="eastAsia" w:ascii="仿宋" w:hAnsi="仿宋" w:eastAsia="仿宋" w:cs="仿宋"/>
                <w:color w:val="auto"/>
                <w:szCs w:val="22"/>
                <w:highlight w:val="none"/>
              </w:rPr>
            </w:pPr>
          </w:p>
        </w:tc>
        <w:tc>
          <w:tcPr>
            <w:tcW w:w="1600" w:type="dxa"/>
            <w:shd w:val="clear" w:color="auto" w:fill="auto"/>
            <w:noWrap/>
            <w:vAlign w:val="center"/>
          </w:tcPr>
          <w:p>
            <w:pPr>
              <w:pStyle w:val="12"/>
              <w:spacing w:before="0" w:beforeAutospacing="0" w:after="0" w:afterAutospacing="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323</w:t>
            </w:r>
          </w:p>
        </w:tc>
      </w:tr>
    </w:tbl>
    <w:p>
      <w:pPr>
        <w:pStyle w:val="3"/>
        <w:pageBreakBefore w:val="0"/>
        <w:widowControl w:val="0"/>
        <w:kinsoku/>
        <w:wordWrap/>
        <w:overflowPunct/>
        <w:topLinePunct w:val="0"/>
        <w:autoSpaceDE/>
        <w:autoSpaceDN/>
        <w:bidi w:val="0"/>
        <w:adjustRightInd/>
        <w:snapToGrid/>
        <w:spacing w:before="0" w:after="0" w:line="240" w:lineRule="auto"/>
        <w:ind w:firstLine="643" w:firstLineChars="200"/>
        <w:textAlignment w:val="auto"/>
        <w:outlineLvl w:val="9"/>
        <w:rPr>
          <w:rFonts w:hint="eastAsia" w:ascii="仿宋" w:hAnsi="仿宋" w:eastAsia="仿宋" w:cs="仿宋"/>
          <w:b/>
          <w:bCs w:val="0"/>
          <w:color w:val="auto"/>
          <w:sz w:val="32"/>
          <w:szCs w:val="32"/>
          <w:highlight w:val="none"/>
        </w:rPr>
      </w:pPr>
    </w:p>
    <w:p>
      <w:pPr>
        <w:pStyle w:val="3"/>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Fonts w:hint="eastAsia" w:ascii="仿宋" w:hAnsi="仿宋" w:eastAsia="仿宋" w:cs="仿宋"/>
          <w:b/>
          <w:bCs w:val="0"/>
          <w:color w:val="auto"/>
          <w:sz w:val="32"/>
          <w:szCs w:val="32"/>
          <w:highlight w:val="none"/>
        </w:rPr>
      </w:pPr>
      <w:bookmarkStart w:id="14" w:name="_Toc6797"/>
      <w:r>
        <w:rPr>
          <w:rFonts w:hint="eastAsia" w:ascii="仿宋" w:hAnsi="仿宋" w:eastAsia="仿宋" w:cs="仿宋"/>
          <w:b/>
          <w:bCs w:val="0"/>
          <w:color w:val="auto"/>
          <w:sz w:val="32"/>
          <w:szCs w:val="32"/>
          <w:highlight w:val="none"/>
        </w:rPr>
        <w:t>三、绩效评价工作情况</w:t>
      </w:r>
      <w:bookmarkEnd w:id="14"/>
    </w:p>
    <w:p>
      <w:pPr>
        <w:pStyle w:val="3"/>
        <w:pageBreakBefore w:val="0"/>
        <w:widowControl w:val="0"/>
        <w:kinsoku/>
        <w:wordWrap/>
        <w:overflowPunct/>
        <w:topLinePunct w:val="0"/>
        <w:autoSpaceDE/>
        <w:autoSpaceDN/>
        <w:bidi w:val="0"/>
        <w:adjustRightInd/>
        <w:snapToGrid/>
        <w:spacing w:before="0" w:after="0" w:line="240" w:lineRule="auto"/>
        <w:ind w:firstLine="562" w:firstLineChars="200"/>
        <w:textAlignment w:val="auto"/>
        <w:outlineLvl w:val="1"/>
        <w:rPr>
          <w:rFonts w:hint="eastAsia" w:ascii="仿宋" w:hAnsi="仿宋" w:eastAsia="仿宋" w:cs="仿宋"/>
          <w:b/>
          <w:bCs w:val="0"/>
          <w:color w:val="auto"/>
          <w:sz w:val="28"/>
          <w:szCs w:val="28"/>
          <w:highlight w:val="none"/>
        </w:rPr>
      </w:pPr>
      <w:bookmarkStart w:id="15" w:name="_Toc24965"/>
      <w:r>
        <w:rPr>
          <w:rFonts w:hint="eastAsia" w:ascii="仿宋" w:hAnsi="仿宋" w:eastAsia="仿宋" w:cs="仿宋"/>
          <w:b/>
          <w:bCs w:val="0"/>
          <w:color w:val="auto"/>
          <w:sz w:val="28"/>
          <w:szCs w:val="28"/>
          <w:highlight w:val="none"/>
        </w:rPr>
        <w:t>（一）评价目的</w:t>
      </w:r>
      <w:bookmarkEnd w:id="15"/>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绩效管理是政府改革的重要方向，财政支出绩效评价是建设效能、责任和廉洁政府的重要手段。为客观评价</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2020年度垃圾分类专项资金的项目绩效，在</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2020年度垃圾分类工作相关主管单位绩效自评的基础上，结合项目特点，制定2020年度垃圾分类专项资金绩效评价指标体系，运用科学、规范的评价方法，客观地对项目进行综合性评价，针对垃圾分类专项支出在预算、管理及项目实施过程中存在的问题，探究其可能的原因，最后提出相应的解决对策。通过绩效评价，在项目资金管理中引入绩效管理理念，规范管理方式，总结项目管理经验，同时加强项目资金管理，优化财政支出结构，进一步提升财政专项资金使用效益和政府公共服务水平，为领导科学决策提供确实有力的依据。</w:t>
      </w:r>
    </w:p>
    <w:p>
      <w:pPr>
        <w:pStyle w:val="3"/>
        <w:pageBreakBefore w:val="0"/>
        <w:widowControl w:val="0"/>
        <w:kinsoku/>
        <w:wordWrap/>
        <w:overflowPunct/>
        <w:topLinePunct w:val="0"/>
        <w:autoSpaceDE/>
        <w:autoSpaceDN/>
        <w:bidi w:val="0"/>
        <w:adjustRightInd/>
        <w:snapToGrid/>
        <w:spacing w:before="0" w:after="0" w:line="240" w:lineRule="auto"/>
        <w:ind w:firstLine="562" w:firstLineChars="200"/>
        <w:textAlignment w:val="auto"/>
        <w:outlineLvl w:val="1"/>
        <w:rPr>
          <w:rFonts w:hint="eastAsia" w:ascii="仿宋" w:hAnsi="仿宋" w:eastAsia="仿宋" w:cs="仿宋"/>
          <w:b/>
          <w:bCs w:val="0"/>
          <w:color w:val="auto"/>
          <w:sz w:val="28"/>
          <w:szCs w:val="28"/>
          <w:highlight w:val="none"/>
        </w:rPr>
      </w:pPr>
      <w:bookmarkStart w:id="16" w:name="_Toc4450"/>
      <w:r>
        <w:rPr>
          <w:rFonts w:hint="eastAsia" w:ascii="仿宋" w:hAnsi="仿宋" w:eastAsia="仿宋" w:cs="仿宋"/>
          <w:b/>
          <w:bCs w:val="0"/>
          <w:color w:val="auto"/>
          <w:sz w:val="28"/>
          <w:szCs w:val="28"/>
          <w:highlight w:val="none"/>
        </w:rPr>
        <w:t>（二）评价指标</w:t>
      </w:r>
      <w:bookmarkEnd w:id="16"/>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绩效评价指标直接影响绩效评价结果的有效性，设计和选择评价指标时，评价工作小组遵循“相关性、经济性、可比性、重要性”的原则，通过对垃圾分类专项支出相关文件的学习理解、对项目特点深入研究以及对项目资料整理分析的基础上，设计形成项目绩效评价体系。绩效评价总分100分，一级指标分为共性指标和个性指标两类，占比分别为40%、60%。</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共性指标包括决策、过程两个一级指标，在一级指标下设置了项目立项、绩效目标、资金投入、资金管理、组织实施等5个二级指标，分值分别为6分、6分、6分、10分、12分，共40分；设置三级指标13个，充分反映项目立项、绩效目标的设定及完成情况、项目资金投入情况、为实现绩效目标制定的制度及采取的措施、项目组织实施与监督管理情况以及项目资金的使用情况。</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sz w:val="28"/>
          <w:szCs w:val="28"/>
          <w:highlight w:val="none"/>
        </w:rPr>
        <w:t>2.个性指标包括产出、效益两个一级指标，并在一级指标下设置了产出数量、产出质量、产出时效、经济效益、社会效益、可持续效益、服务对象满意度等8个二级指标，分别占10分、8分、6分、6分、6分、7分、8分、9分；设置三级指标16个，较充分地反映出项目产出效果、项目效益情况。指标体系和评分标准如</w:t>
      </w:r>
      <w:r>
        <w:rPr>
          <w:rFonts w:hint="eastAsia" w:ascii="仿宋" w:hAnsi="仿宋" w:eastAsia="仿宋" w:cs="仿宋"/>
          <w:color w:val="auto"/>
          <w:sz w:val="28"/>
          <w:szCs w:val="28"/>
          <w:highlight w:val="none"/>
          <w:lang w:val="en-US" w:eastAsia="zh-CN"/>
        </w:rPr>
        <w:t>下</w:t>
      </w:r>
      <w:r>
        <w:rPr>
          <w:rFonts w:hint="eastAsia" w:ascii="仿宋" w:hAnsi="仿宋" w:eastAsia="仿宋" w:cs="仿宋"/>
          <w:color w:val="auto"/>
          <w:sz w:val="28"/>
          <w:szCs w:val="28"/>
          <w:highlight w:val="none"/>
        </w:rPr>
        <w:t>表</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所示。</w:t>
      </w:r>
    </w:p>
    <w:p>
      <w:pPr>
        <w:pStyle w:val="2"/>
        <w:jc w:val="center"/>
        <w:outlineLvl w:val="0"/>
        <w:rPr>
          <w:rFonts w:hint="eastAsia" w:ascii="仿宋" w:hAnsi="仿宋" w:eastAsia="仿宋" w:cs="仿宋"/>
          <w:b/>
          <w:bCs/>
          <w:color w:val="auto"/>
          <w:sz w:val="28"/>
          <w:szCs w:val="28"/>
          <w:highlight w:val="none"/>
        </w:rPr>
      </w:pPr>
      <w:bookmarkStart w:id="17" w:name="_Toc29677"/>
      <w:r>
        <w:rPr>
          <w:rFonts w:hint="eastAsia" w:ascii="仿宋" w:hAnsi="仿宋" w:eastAsia="仿宋" w:cs="仿宋"/>
          <w:b/>
          <w:bCs/>
          <w:color w:val="auto"/>
          <w:sz w:val="28"/>
          <w:szCs w:val="28"/>
          <w:highlight w:val="none"/>
        </w:rPr>
        <w:t>表2</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rPr>
        <w:t>2020年度</w:t>
      </w:r>
      <w:r>
        <w:rPr>
          <w:rFonts w:hint="eastAsia" w:ascii="仿宋" w:hAnsi="仿宋" w:eastAsia="仿宋" w:cs="仿宋"/>
          <w:b/>
          <w:bCs/>
          <w:color w:val="auto"/>
          <w:sz w:val="28"/>
          <w:szCs w:val="28"/>
          <w:highlight w:val="none"/>
          <w:lang w:eastAsia="zh-CN"/>
        </w:rPr>
        <w:t>泉州市洛江区</w:t>
      </w:r>
      <w:r>
        <w:rPr>
          <w:rFonts w:hint="eastAsia" w:ascii="仿宋" w:hAnsi="仿宋" w:eastAsia="仿宋" w:cs="仿宋"/>
          <w:b/>
          <w:bCs/>
          <w:color w:val="auto"/>
          <w:sz w:val="28"/>
          <w:szCs w:val="28"/>
          <w:highlight w:val="none"/>
        </w:rPr>
        <w:t>垃圾分类专项资金绩效评价</w:t>
      </w:r>
      <w:r>
        <w:rPr>
          <w:rFonts w:hint="eastAsia" w:ascii="仿宋" w:hAnsi="仿宋" w:eastAsia="仿宋" w:cs="仿宋"/>
          <w:b/>
          <w:bCs/>
          <w:color w:val="auto"/>
          <w:sz w:val="28"/>
          <w:szCs w:val="28"/>
          <w:highlight w:val="none"/>
          <w:lang w:val="en-US" w:eastAsia="zh-CN"/>
        </w:rPr>
        <w:t>指标</w:t>
      </w:r>
      <w:r>
        <w:rPr>
          <w:rFonts w:hint="eastAsia" w:ascii="仿宋" w:hAnsi="仿宋" w:eastAsia="仿宋" w:cs="仿宋"/>
          <w:b/>
          <w:bCs/>
          <w:color w:val="auto"/>
          <w:sz w:val="28"/>
          <w:szCs w:val="28"/>
          <w:highlight w:val="none"/>
        </w:rPr>
        <w:t>体系</w:t>
      </w:r>
      <w:bookmarkEnd w:id="17"/>
    </w:p>
    <w:tbl>
      <w:tblPr>
        <w:tblStyle w:val="15"/>
        <w:tblW w:w="9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810"/>
        <w:gridCol w:w="1005"/>
        <w:gridCol w:w="5799"/>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2" w:type="dxa"/>
            <w:vAlign w:val="center"/>
          </w:tcPr>
          <w:p>
            <w:pPr>
              <w:widowControl/>
              <w:textAlignment w:val="center"/>
              <w:rPr>
                <w:rFonts w:hint="eastAsia"/>
                <w:color w:val="auto"/>
                <w:highlight w:val="none"/>
                <w:vertAlign w:val="baseline"/>
              </w:rPr>
            </w:pPr>
            <w:r>
              <w:rPr>
                <w:rFonts w:hint="eastAsia" w:ascii="仿宋" w:hAnsi="仿宋" w:eastAsia="仿宋" w:cs="仿宋"/>
                <w:b/>
                <w:bCs/>
                <w:color w:val="auto"/>
                <w:kern w:val="0"/>
                <w:sz w:val="24"/>
                <w:szCs w:val="24"/>
                <w:highlight w:val="none"/>
                <w:lang w:bidi="ar"/>
              </w:rPr>
              <w:t>一级指标</w:t>
            </w:r>
          </w:p>
        </w:tc>
        <w:tc>
          <w:tcPr>
            <w:tcW w:w="810" w:type="dxa"/>
            <w:vAlign w:val="center"/>
          </w:tcPr>
          <w:p>
            <w:pPr>
              <w:widowControl/>
              <w:jc w:val="center"/>
              <w:textAlignment w:val="center"/>
              <w:rPr>
                <w:rFonts w:hint="eastAsia"/>
                <w:color w:val="auto"/>
                <w:highlight w:val="none"/>
                <w:vertAlign w:val="baseline"/>
              </w:rPr>
            </w:pPr>
            <w:r>
              <w:rPr>
                <w:rFonts w:hint="eastAsia" w:ascii="仿宋" w:hAnsi="仿宋" w:eastAsia="仿宋" w:cs="仿宋"/>
                <w:b/>
                <w:bCs/>
                <w:color w:val="auto"/>
                <w:kern w:val="0"/>
                <w:sz w:val="24"/>
                <w:szCs w:val="24"/>
                <w:highlight w:val="none"/>
                <w:lang w:bidi="ar"/>
              </w:rPr>
              <w:t>二级指标</w:t>
            </w:r>
          </w:p>
        </w:tc>
        <w:tc>
          <w:tcPr>
            <w:tcW w:w="1005" w:type="dxa"/>
            <w:vAlign w:val="center"/>
          </w:tcPr>
          <w:p>
            <w:pPr>
              <w:widowControl/>
              <w:jc w:val="center"/>
              <w:textAlignment w:val="center"/>
              <w:rPr>
                <w:rFonts w:hint="eastAsia" w:ascii="仿宋" w:hAnsi="仿宋" w:eastAsia="仿宋" w:cs="仿宋"/>
                <w:b/>
                <w:bCs/>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三级</w:t>
            </w:r>
          </w:p>
          <w:p>
            <w:pPr>
              <w:widowControl/>
              <w:jc w:val="center"/>
              <w:textAlignment w:val="center"/>
              <w:rPr>
                <w:rFonts w:hint="eastAsia"/>
                <w:color w:val="auto"/>
                <w:highlight w:val="none"/>
                <w:vertAlign w:val="baseline"/>
              </w:rPr>
            </w:pPr>
            <w:r>
              <w:rPr>
                <w:rFonts w:hint="eastAsia" w:ascii="仿宋" w:hAnsi="仿宋" w:eastAsia="仿宋" w:cs="仿宋"/>
                <w:b/>
                <w:bCs/>
                <w:color w:val="auto"/>
                <w:kern w:val="0"/>
                <w:sz w:val="24"/>
                <w:szCs w:val="24"/>
                <w:highlight w:val="none"/>
                <w:lang w:bidi="ar"/>
              </w:rPr>
              <w:t>指标</w:t>
            </w:r>
          </w:p>
        </w:tc>
        <w:tc>
          <w:tcPr>
            <w:tcW w:w="5799" w:type="dxa"/>
            <w:vAlign w:val="center"/>
          </w:tcPr>
          <w:p>
            <w:pPr>
              <w:widowControl/>
              <w:jc w:val="center"/>
              <w:textAlignment w:val="center"/>
              <w:rPr>
                <w:rFonts w:hint="eastAsia" w:eastAsiaTheme="minorEastAsia"/>
                <w:color w:val="auto"/>
                <w:highlight w:val="none"/>
                <w:vertAlign w:val="baseline"/>
                <w:lang w:eastAsia="zh-CN"/>
              </w:rPr>
            </w:pPr>
            <w:r>
              <w:rPr>
                <w:rFonts w:hint="eastAsia" w:ascii="仿宋" w:hAnsi="仿宋" w:eastAsia="仿宋" w:cs="仿宋"/>
                <w:b/>
                <w:bCs/>
                <w:color w:val="auto"/>
                <w:kern w:val="0"/>
                <w:sz w:val="24"/>
                <w:szCs w:val="24"/>
                <w:highlight w:val="none"/>
                <w:lang w:val="en-US" w:eastAsia="zh-CN" w:bidi="ar"/>
              </w:rPr>
              <w:t>评分标准</w:t>
            </w:r>
          </w:p>
        </w:tc>
        <w:tc>
          <w:tcPr>
            <w:tcW w:w="822" w:type="dxa"/>
            <w:vAlign w:val="center"/>
          </w:tcPr>
          <w:p>
            <w:pPr>
              <w:widowControl/>
              <w:jc w:val="center"/>
              <w:textAlignment w:val="center"/>
              <w:rPr>
                <w:rFonts w:hint="eastAsia" w:eastAsiaTheme="minorEastAsia"/>
                <w:color w:val="auto"/>
                <w:highlight w:val="none"/>
                <w:vertAlign w:val="baseline"/>
                <w:lang w:eastAsia="zh-CN"/>
              </w:rPr>
            </w:pPr>
            <w:r>
              <w:rPr>
                <w:rFonts w:hint="eastAsia" w:ascii="仿宋" w:hAnsi="仿宋" w:eastAsia="仿宋" w:cs="仿宋"/>
                <w:b/>
                <w:bCs/>
                <w:color w:val="auto"/>
                <w:kern w:val="0"/>
                <w:sz w:val="24"/>
                <w:szCs w:val="24"/>
                <w:highlight w:val="none"/>
                <w:lang w:val="en-US" w:eastAsia="zh-CN"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决策</w:t>
            </w: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项目立项</w:t>
            </w: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立项依据充分性</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项目立项是否符合法律法规、相关政策、发展规划以及部门职责，是否与相关部门或本部门相关项目重复。无依据的，本项不得分，存在其他不规范问题的，每项扣1分。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立项程序规范性</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项目申请、设立过程是否符合相关要求，是否按规定程序申请、审批，是否经过必要的可行性研究、专家论证、风险评估、集体决策等。而未办理立项程序的，不得分。立项程序不规范的，每项扣1分。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绩效目标</w:t>
            </w: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绩效目标合理性</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绩效目标设定依据是否充分，是否与项目实际内容密切相关、是否与所投入资金量相匹配、是否符合正常的预期业绩水平、是否体现一定的挑战性。不满足合理性上述要求的，每项目标扣1分。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绩效指标明确性</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绩效指标是否清晰、细化、可衡量，是否与目标任务数和计划数相对应。不满足明确性要求的，每项指标扣1分。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资金投入</w:t>
            </w: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预算编制科学性</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预算编制是否经过科学论证，预算内容是否与项目内容相匹配，预算额度测算依据是否充分、是否符合相关标准，预算资金量是否与项目工作任务相匹配。不满足编制要求的，每项扣1分。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资金分配合理性</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资金分配是否有充分测算依据，分配额度是否与地方实际相适应，资金分配是否具备公平性。分配不满足合理性要求的，每项扣1分。存在明显不合理且影响较大的，本项不得分。</w:t>
            </w:r>
          </w:p>
        </w:tc>
        <w:tc>
          <w:tcPr>
            <w:tcW w:w="822" w:type="dxa"/>
            <w:vAlign w:val="bottom"/>
          </w:tcPr>
          <w:p>
            <w:pPr>
              <w:widowControl/>
              <w:jc w:val="center"/>
              <w:textAlignment w:val="bottom"/>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过程</w:t>
            </w: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资金管理</w:t>
            </w: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资金到位率</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实际到位资金与预算资金的比率。到位率100%的，不扣分，偏离每5%扣1分。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预算执行率</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实际支出资金与实际到位资金的比率。执行率100%的不扣分，偏离每超过5%，扣1分，不足5%的，视同5%。本项得分扣完为止。</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资金使用合规性</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资金使用是否符合相关的财务管理制度规定。如有违规、超范围等支出，本项不得分。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组织实施</w:t>
            </w: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管理制度健全性</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是否制定了用以规范项目实施的财务和业务管理、采购制度，制度是否健全，并符合法律、法规及上级有关规定，能否有效指导项目实施。未制定的，本项不得分，不健全的扣1分，存在违规或不具备有效指导意义的，扣2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制度执行有效性</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项目实施是否符合相关法律法规及管理制度规定，是否按有关文件及制度要求对项目实施全过程进行管理，包括对下级单位、项目实施单位的监管等，项目调整及支出调整手续是否完备，项目资料是否及时归档。有违反法律法规行为的，本项不得分。有违反管理制度或手续不完备、未及时归档的情况的，每项扣1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人员保障充足性</w:t>
            </w:r>
          </w:p>
        </w:tc>
        <w:tc>
          <w:tcPr>
            <w:tcW w:w="5799" w:type="dxa"/>
            <w:vAlign w:val="center"/>
          </w:tcPr>
          <w:p>
            <w:pPr>
              <w:widowControl/>
              <w:jc w:val="left"/>
              <w:textAlignment w:val="center"/>
              <w:rPr>
                <w:rFonts w:hint="eastAsia"/>
                <w:color w:val="auto"/>
                <w:highlight w:val="none"/>
                <w:vertAlign w:val="baseline"/>
              </w:rPr>
            </w:pPr>
            <w:r>
              <w:rPr>
                <w:rStyle w:val="26"/>
                <w:rFonts w:hint="eastAsia" w:ascii="仿宋" w:hAnsi="仿宋" w:eastAsia="仿宋" w:cs="仿宋"/>
                <w:color w:val="auto"/>
                <w:sz w:val="24"/>
                <w:szCs w:val="24"/>
                <w:highlight w:val="none"/>
                <w:lang w:bidi="ar"/>
              </w:rPr>
              <w:t>项目实施单位、管理单位投入的人员数量、素质等方面是否满足项目实施的要求，能保证项目实施效果。项目实施实际投入人数占项目需要人数的比例低于</w:t>
            </w:r>
            <w:r>
              <w:rPr>
                <w:rFonts w:hint="eastAsia" w:ascii="仿宋" w:hAnsi="仿宋" w:eastAsia="仿宋" w:cs="仿宋"/>
                <w:color w:val="auto"/>
                <w:sz w:val="24"/>
                <w:szCs w:val="24"/>
                <w:highlight w:val="none"/>
                <w:u w:val="none"/>
                <w:lang w:bidi="ar"/>
              </w:rPr>
              <w:t>100%</w:t>
            </w:r>
            <w:r>
              <w:rPr>
                <w:rStyle w:val="26"/>
                <w:rFonts w:hint="eastAsia" w:ascii="仿宋" w:hAnsi="仿宋" w:eastAsia="仿宋" w:cs="仿宋"/>
                <w:color w:val="auto"/>
                <w:sz w:val="24"/>
                <w:szCs w:val="24"/>
                <w:highlight w:val="none"/>
                <w:lang w:bidi="ar"/>
              </w:rPr>
              <w:t>的，每降低</w:t>
            </w:r>
            <w:r>
              <w:rPr>
                <w:rFonts w:hint="eastAsia" w:ascii="仿宋" w:hAnsi="仿宋" w:eastAsia="仿宋" w:cs="仿宋"/>
                <w:color w:val="auto"/>
                <w:sz w:val="24"/>
                <w:szCs w:val="24"/>
                <w:highlight w:val="none"/>
                <w:u w:val="none"/>
                <w:lang w:bidi="ar"/>
              </w:rPr>
              <w:t>10%</w:t>
            </w:r>
            <w:r>
              <w:rPr>
                <w:rStyle w:val="26"/>
                <w:rFonts w:hint="eastAsia" w:ascii="仿宋" w:hAnsi="仿宋" w:eastAsia="仿宋" w:cs="仿宋"/>
                <w:color w:val="auto"/>
                <w:sz w:val="24"/>
                <w:szCs w:val="24"/>
                <w:highlight w:val="none"/>
                <w:lang w:bidi="ar"/>
              </w:rPr>
              <w:t>扣</w:t>
            </w:r>
            <w:r>
              <w:rPr>
                <w:rFonts w:hint="eastAsia" w:ascii="仿宋" w:hAnsi="仿宋" w:eastAsia="仿宋" w:cs="仿宋"/>
                <w:color w:val="auto"/>
                <w:sz w:val="24"/>
                <w:szCs w:val="24"/>
                <w:highlight w:val="none"/>
                <w:u w:val="none"/>
                <w:lang w:bidi="ar"/>
              </w:rPr>
              <w:t>1</w:t>
            </w:r>
            <w:r>
              <w:rPr>
                <w:rStyle w:val="26"/>
                <w:rFonts w:hint="eastAsia" w:ascii="仿宋" w:hAnsi="仿宋" w:eastAsia="仿宋" w:cs="仿宋"/>
                <w:color w:val="auto"/>
                <w:sz w:val="24"/>
                <w:szCs w:val="24"/>
                <w:highlight w:val="none"/>
                <w:lang w:bidi="ar"/>
              </w:rPr>
              <w:t>分，不足</w:t>
            </w:r>
            <w:r>
              <w:rPr>
                <w:rFonts w:hint="eastAsia" w:ascii="仿宋" w:hAnsi="仿宋" w:eastAsia="仿宋" w:cs="仿宋"/>
                <w:color w:val="auto"/>
                <w:sz w:val="24"/>
                <w:szCs w:val="24"/>
                <w:highlight w:val="none"/>
                <w:u w:val="none"/>
                <w:lang w:bidi="ar"/>
              </w:rPr>
              <w:t>10%</w:t>
            </w:r>
            <w:r>
              <w:rPr>
                <w:rStyle w:val="26"/>
                <w:rFonts w:hint="eastAsia" w:ascii="仿宋" w:hAnsi="仿宋" w:eastAsia="仿宋" w:cs="仿宋"/>
                <w:color w:val="auto"/>
                <w:sz w:val="24"/>
                <w:szCs w:val="24"/>
                <w:highlight w:val="none"/>
                <w:lang w:bidi="ar"/>
              </w:rPr>
              <w:t>的，视同</w:t>
            </w:r>
            <w:r>
              <w:rPr>
                <w:rFonts w:hint="eastAsia" w:ascii="仿宋" w:hAnsi="仿宋" w:eastAsia="仿宋" w:cs="仿宋"/>
                <w:color w:val="auto"/>
                <w:sz w:val="24"/>
                <w:szCs w:val="24"/>
                <w:highlight w:val="none"/>
                <w:u w:val="none"/>
                <w:lang w:bidi="ar"/>
              </w:rPr>
              <w:t>10%</w:t>
            </w:r>
            <w:r>
              <w:rPr>
                <w:rStyle w:val="26"/>
                <w:rFonts w:hint="eastAsia" w:ascii="仿宋" w:hAnsi="仿宋" w:eastAsia="仿宋" w:cs="仿宋"/>
                <w:color w:val="auto"/>
                <w:sz w:val="24"/>
                <w:szCs w:val="24"/>
                <w:highlight w:val="none"/>
                <w:lang w:bidi="ar"/>
              </w:rPr>
              <w:t>，本项得分扣完为止。</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机构保障充分性</w:t>
            </w:r>
          </w:p>
        </w:tc>
        <w:tc>
          <w:tcPr>
            <w:tcW w:w="5799" w:type="dxa"/>
            <w:vAlign w:val="center"/>
          </w:tcPr>
          <w:p>
            <w:pPr>
              <w:widowControl/>
              <w:jc w:val="left"/>
              <w:textAlignment w:val="center"/>
              <w:rPr>
                <w:rFonts w:hint="eastAsia"/>
                <w:color w:val="auto"/>
                <w:highlight w:val="none"/>
                <w:vertAlign w:val="baseline"/>
              </w:rPr>
            </w:pPr>
            <w:r>
              <w:rPr>
                <w:rStyle w:val="26"/>
                <w:rFonts w:hint="eastAsia" w:ascii="仿宋" w:hAnsi="仿宋" w:eastAsia="仿宋" w:cs="仿宋"/>
                <w:color w:val="auto"/>
                <w:sz w:val="24"/>
                <w:szCs w:val="24"/>
                <w:highlight w:val="none"/>
                <w:lang w:bidi="ar"/>
              </w:rPr>
              <w:t>是否成立了项目实施管理的机构或组织，或安排了适当的科室负责，决策机构、执行机构、监督机构、应急机构齐全，分工合理。机构不健全的，扣</w:t>
            </w:r>
            <w:r>
              <w:rPr>
                <w:rFonts w:hint="eastAsia" w:ascii="仿宋" w:hAnsi="仿宋" w:eastAsia="仿宋" w:cs="仿宋"/>
                <w:color w:val="auto"/>
                <w:sz w:val="24"/>
                <w:szCs w:val="24"/>
                <w:highlight w:val="none"/>
                <w:u w:val="none"/>
                <w:lang w:bidi="ar"/>
              </w:rPr>
              <w:t>1</w:t>
            </w:r>
            <w:r>
              <w:rPr>
                <w:rStyle w:val="26"/>
                <w:rFonts w:hint="eastAsia" w:ascii="仿宋" w:hAnsi="仿宋" w:eastAsia="仿宋" w:cs="仿宋"/>
                <w:color w:val="auto"/>
                <w:sz w:val="24"/>
                <w:szCs w:val="24"/>
                <w:highlight w:val="none"/>
                <w:lang w:bidi="ar"/>
              </w:rPr>
              <w:t>分，无项目实施机构的，不得分。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restart"/>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lang w:bidi="ar"/>
              </w:rPr>
              <w:t>产出</w:t>
            </w:r>
            <w:r>
              <w:rPr>
                <w:rFonts w:hint="eastAsia" w:ascii="仿宋" w:hAnsi="仿宋" w:eastAsia="仿宋" w:cs="仿宋"/>
                <w:color w:val="auto"/>
                <w:kern w:val="0"/>
                <w:sz w:val="24"/>
                <w:szCs w:val="24"/>
                <w:highlight w:val="none"/>
                <w:lang w:bidi="ar"/>
              </w:rPr>
              <w:t xml:space="preserve"> </w:t>
            </w: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产出数量</w:t>
            </w: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生活垃圾分类示范片区及示范点数量</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示范片区及示范点数量符合既定标准，得满分；不符合标准，扣1分；无示范片区或示范点不得分。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垃圾分类配套设施数量</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垃圾分类配套设施符合既定标准要求，得满分；未达到要求，扣1分；无配套实施，不得分。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垃圾分类宣传方式</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垃圾分类方式宣传方式≥4 种，得满分；每少1种，扣1分，扣完为止</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产出质量</w:t>
            </w: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垃圾分类准确率</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垃圾分类准确率≥70%，得满分，未达到70%，指标得分=实际完成值/目标值*分值</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垃圾分类覆盖率</w:t>
            </w:r>
          </w:p>
        </w:tc>
        <w:tc>
          <w:tcPr>
            <w:tcW w:w="5799" w:type="dxa"/>
            <w:vAlign w:val="top"/>
          </w:tcPr>
          <w:p>
            <w:pPr>
              <w:widowControl/>
              <w:jc w:val="left"/>
              <w:textAlignment w:val="top"/>
              <w:rPr>
                <w:rFonts w:hint="eastAsia"/>
                <w:color w:val="auto"/>
                <w:highlight w:val="none"/>
                <w:vertAlign w:val="baseline"/>
              </w:rPr>
            </w:pPr>
            <w:r>
              <w:rPr>
                <w:rFonts w:hint="eastAsia" w:ascii="仿宋" w:hAnsi="仿宋" w:eastAsia="仿宋" w:cs="仿宋"/>
                <w:color w:val="auto"/>
                <w:kern w:val="0"/>
                <w:sz w:val="24"/>
                <w:szCs w:val="24"/>
                <w:highlight w:val="none"/>
                <w:lang w:bidi="ar"/>
              </w:rPr>
              <w:t>万安街道全覆盖，全区公共机构垃圾分类全覆盖，得满分；不同时满足时，扣2分；同时不满足时，不得分。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产出时效</w:t>
            </w: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考评问题整改及时性</w:t>
            </w:r>
          </w:p>
        </w:tc>
        <w:tc>
          <w:tcPr>
            <w:tcW w:w="5799" w:type="dxa"/>
            <w:vAlign w:val="top"/>
          </w:tcPr>
          <w:p>
            <w:pPr>
              <w:widowControl/>
              <w:jc w:val="left"/>
              <w:textAlignment w:val="top"/>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垃圾分类考评活动发现问题进行及时规范整改，得满分；整改不及时，扣1分；未整改，不得分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分类垃圾处理的及时性</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分类垃圾处理及时，得满分；处理不及时，扣1分；未处理的不得分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restart"/>
            <w:vAlign w:val="center"/>
          </w:tcPr>
          <w:p>
            <w:pPr>
              <w:rPr>
                <w:rFonts w:hint="eastAsia"/>
                <w:color w:val="auto"/>
                <w:highlight w:val="none"/>
                <w:vertAlign w:val="baseline"/>
              </w:rPr>
            </w:pPr>
            <w:r>
              <w:rPr>
                <w:rFonts w:hint="eastAsia" w:ascii="仿宋" w:hAnsi="仿宋" w:eastAsia="仿宋" w:cs="仿宋"/>
                <w:color w:val="auto"/>
                <w:sz w:val="24"/>
                <w:szCs w:val="24"/>
                <w:highlight w:val="none"/>
              </w:rPr>
              <w:t>效益</w:t>
            </w:r>
          </w:p>
        </w:tc>
        <w:tc>
          <w:tcPr>
            <w:tcW w:w="810" w:type="dxa"/>
            <w:vAlign w:val="center"/>
          </w:tcPr>
          <w:p>
            <w:pPr>
              <w:widowControl/>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经济效益</w:t>
            </w: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生活垃圾回收利用率</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生活垃圾回收利用率≥35%，得满分；未达到35%，指标得分=实际完成值/目标值*分值</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社会效益</w:t>
            </w: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垃圾分类考评覆盖率</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生活垃圾考评覆盖率≥90%，得满分；未达到90%，指标得分=实际完成值/目标值*分值</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生活垃圾无害化处理率</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生活垃圾无害化处理率维持100%，得满分；否则，不得分。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restart"/>
            <w:vAlign w:val="center"/>
          </w:tcPr>
          <w:p>
            <w:pPr>
              <w:widowControl/>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生态效益</w:t>
            </w:r>
          </w:p>
        </w:tc>
        <w:tc>
          <w:tcPr>
            <w:tcW w:w="100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居住环境改善情况</w:t>
            </w:r>
          </w:p>
        </w:tc>
        <w:tc>
          <w:tcPr>
            <w:tcW w:w="5799"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所在地区市容市貌清洁整齐，环境卫生显著改善，得满分；改善不明显，存在部分脏乱差情况的，扣1分；环境卫生差，未改善，不得分。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widowControl/>
              <w:textAlignment w:val="center"/>
              <w:rPr>
                <w:rFonts w:hint="eastAsia"/>
                <w:color w:val="auto"/>
                <w:highlight w:val="none"/>
                <w:vertAlign w:val="baseline"/>
              </w:rPr>
            </w:pPr>
          </w:p>
        </w:tc>
        <w:tc>
          <w:tcPr>
            <w:tcW w:w="100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环境污染降低情况</w:t>
            </w:r>
          </w:p>
        </w:tc>
        <w:tc>
          <w:tcPr>
            <w:tcW w:w="5799"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环境污染水平显著下降，得满分；污染情况改善不明显，扣1分；无改善，不得分。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可持续效益</w:t>
            </w:r>
          </w:p>
        </w:tc>
        <w:tc>
          <w:tcPr>
            <w:tcW w:w="100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市民对垃圾分类知晓率</w:t>
            </w:r>
          </w:p>
        </w:tc>
        <w:tc>
          <w:tcPr>
            <w:tcW w:w="5799"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通过各种途径的政策宣传、引导，市民对垃圾分类工作的重要性及意义完全了解，知晓率高，得满分；了解不充分或知晓率不高，扣1分；不了解或不知晓，不得分。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市民垃圾分类意识提升率</w:t>
            </w:r>
          </w:p>
        </w:tc>
        <w:tc>
          <w:tcPr>
            <w:tcW w:w="5799"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市民垃圾分类意识显著提升，自觉进行垃圾分类，得满分；分类意识提升不明显，存在未分类或分类错误情况的，扣1分；分类意识无变化，不得分。</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Align w:val="center"/>
          </w:tcPr>
          <w:p>
            <w:pPr>
              <w:widowControl/>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服务对象满意度</w:t>
            </w:r>
          </w:p>
        </w:tc>
        <w:tc>
          <w:tcPr>
            <w:tcW w:w="100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市民满意度</w:t>
            </w:r>
          </w:p>
        </w:tc>
        <w:tc>
          <w:tcPr>
            <w:tcW w:w="5799"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lang w:bidi="ar"/>
              </w:rPr>
              <w:t>满意度达到</w:t>
            </w:r>
            <w:r>
              <w:rPr>
                <w:rFonts w:hint="eastAsia" w:ascii="仿宋" w:hAnsi="仿宋" w:eastAsia="仿宋" w:cs="仿宋"/>
                <w:color w:val="auto"/>
                <w:kern w:val="0"/>
                <w:sz w:val="24"/>
                <w:szCs w:val="24"/>
                <w:highlight w:val="none"/>
                <w:lang w:bidi="ar"/>
              </w:rPr>
              <w:t>95%</w:t>
            </w:r>
            <w:r>
              <w:rPr>
                <w:rFonts w:hint="eastAsia" w:ascii="仿宋" w:hAnsi="仿宋" w:eastAsia="仿宋" w:cs="仿宋"/>
                <w:color w:val="auto"/>
                <w:sz w:val="24"/>
                <w:szCs w:val="24"/>
                <w:highlight w:val="none"/>
                <w:lang w:bidi="ar"/>
              </w:rPr>
              <w:t>以上，不扣分；每降低</w:t>
            </w:r>
            <w:r>
              <w:rPr>
                <w:rFonts w:hint="eastAsia" w:ascii="仿宋" w:hAnsi="仿宋" w:eastAsia="仿宋" w:cs="仿宋"/>
                <w:color w:val="auto"/>
                <w:kern w:val="0"/>
                <w:sz w:val="24"/>
                <w:szCs w:val="24"/>
                <w:highlight w:val="none"/>
                <w:lang w:bidi="ar"/>
              </w:rPr>
              <w:t>5%</w:t>
            </w:r>
            <w:r>
              <w:rPr>
                <w:rFonts w:hint="eastAsia" w:ascii="仿宋" w:hAnsi="仿宋" w:eastAsia="仿宋" w:cs="仿宋"/>
                <w:color w:val="auto"/>
                <w:sz w:val="24"/>
                <w:szCs w:val="24"/>
                <w:highlight w:val="none"/>
                <w:lang w:bidi="ar"/>
              </w:rPr>
              <w:t>扣</w:t>
            </w: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sz w:val="24"/>
                <w:szCs w:val="24"/>
                <w:highlight w:val="none"/>
                <w:lang w:bidi="ar"/>
              </w:rPr>
              <w:t>分，扣完为止。</w:t>
            </w:r>
          </w:p>
        </w:tc>
        <w:tc>
          <w:tcPr>
            <w:tcW w:w="822"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9</w:t>
            </w:r>
          </w:p>
        </w:tc>
      </w:tr>
    </w:tbl>
    <w:p>
      <w:pPr>
        <w:pStyle w:val="3"/>
        <w:pageBreakBefore w:val="0"/>
        <w:widowControl w:val="0"/>
        <w:kinsoku/>
        <w:wordWrap/>
        <w:overflowPunct/>
        <w:topLinePunct w:val="0"/>
        <w:autoSpaceDE/>
        <w:autoSpaceDN/>
        <w:bidi w:val="0"/>
        <w:adjustRightInd/>
        <w:snapToGrid/>
        <w:spacing w:before="0" w:after="0" w:line="240" w:lineRule="auto"/>
        <w:ind w:firstLine="562" w:firstLineChars="200"/>
        <w:textAlignment w:val="auto"/>
        <w:outlineLvl w:val="1"/>
        <w:rPr>
          <w:rFonts w:hint="eastAsia" w:ascii="仿宋" w:hAnsi="仿宋" w:eastAsia="仿宋" w:cs="仿宋"/>
          <w:b/>
          <w:bCs w:val="0"/>
          <w:color w:val="auto"/>
          <w:sz w:val="28"/>
          <w:szCs w:val="28"/>
          <w:highlight w:val="none"/>
        </w:rPr>
      </w:pPr>
      <w:bookmarkStart w:id="18" w:name="_Toc13468"/>
      <w:r>
        <w:rPr>
          <w:rFonts w:hint="eastAsia" w:ascii="仿宋" w:hAnsi="仿宋" w:eastAsia="仿宋" w:cs="仿宋"/>
          <w:b/>
          <w:bCs w:val="0"/>
          <w:color w:val="auto"/>
          <w:sz w:val="28"/>
          <w:szCs w:val="28"/>
          <w:highlight w:val="none"/>
        </w:rPr>
        <w:t>（三）评价依据</w:t>
      </w:r>
      <w:bookmarkEnd w:id="18"/>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1.《福建省财政厅关于印发财政支出绩效评价指标体系及使用指南的通知》（ 闽财绩〔2012〕13号）</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2.《福建省财政厅关于印发&lt;福建省财政支出绩效评价管理暂行办法&gt;的通知》（闽财绩〔2015〕4号）；</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3.《中共中央 国务院关于全面实施预算绩效管理的意见》（中发〔2018〕34号）；</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4.《中共福建省委 福建省人民政府印发&lt;关于全面实施预算绩效管理的实施意见&gt;的通知》（闽委发〔2019〕5号）；</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5.《中共泉州市委办公室 泉州市人民政府办公室关于印发&lt;全面实施预算绩效管理的若干措施&gt;的通知》（泉委办发〔2019〕42号）；</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6.财政部《关于印发&lt;项目支出绩效评价管理办法&gt;的通知》（财预〔2020〕10号）；</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7.《国务院办公厅关于转发国家发展改革委住房城乡建设部生活垃圾分类制度实施方案的通知》（国办发〔2017〕26号）；</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8.《泉州市人民政府关于印发泉州市开展垃圾分类处理工作实施方案（2017—2020年）的通知》（泉政文〔2017〕122号）；</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9.《泉州市洛江区人民政府关于印发洛江区开展垃圾分类处理工作实施方案（2018—2020）的通知》（泉洛政文〔2018〕15号）；</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10.《洛江区垃圾分类工作领导小组关于印发洛江区加快推进生活垃圾分类工作方案的通知》（泉洛分类〔2020〕1号）。</w:t>
      </w:r>
    </w:p>
    <w:p>
      <w:pPr>
        <w:pStyle w:val="3"/>
        <w:pageBreakBefore w:val="0"/>
        <w:widowControl w:val="0"/>
        <w:kinsoku/>
        <w:wordWrap/>
        <w:overflowPunct/>
        <w:topLinePunct w:val="0"/>
        <w:autoSpaceDE/>
        <w:autoSpaceDN/>
        <w:bidi w:val="0"/>
        <w:adjustRightInd/>
        <w:snapToGrid/>
        <w:spacing w:before="0" w:after="0" w:line="240" w:lineRule="auto"/>
        <w:ind w:firstLine="562" w:firstLineChars="200"/>
        <w:textAlignment w:val="auto"/>
        <w:outlineLvl w:val="1"/>
        <w:rPr>
          <w:rFonts w:hint="eastAsia" w:ascii="仿宋" w:hAnsi="仿宋" w:eastAsia="仿宋" w:cs="仿宋"/>
          <w:b/>
          <w:bCs w:val="0"/>
          <w:color w:val="auto"/>
          <w:sz w:val="28"/>
          <w:szCs w:val="28"/>
          <w:highlight w:val="none"/>
        </w:rPr>
      </w:pPr>
      <w:bookmarkStart w:id="19" w:name="_Toc15757"/>
      <w:r>
        <w:rPr>
          <w:rFonts w:hint="eastAsia" w:ascii="仿宋" w:hAnsi="仿宋" w:eastAsia="仿宋" w:cs="仿宋"/>
          <w:b/>
          <w:bCs w:val="0"/>
          <w:color w:val="auto"/>
          <w:sz w:val="28"/>
          <w:szCs w:val="28"/>
          <w:highlight w:val="none"/>
        </w:rPr>
        <w:t>（四）评价原则</w:t>
      </w:r>
      <w:bookmarkEnd w:id="19"/>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一是科学规范原则。严格执行有关程序，按照科学可行的要求，采用定量与定性分析相结合、理论与实践相结合的方法设计评价指标体系。</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二是公正公开原则。符合真实、客观、公正的要求，依法公开并接受监督。</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三是利害关系回避原则。绩效评价工作由</w:t>
      </w:r>
      <w:r>
        <w:rPr>
          <w:rFonts w:hint="eastAsia" w:ascii="仿宋" w:hAnsi="仿宋" w:eastAsia="仿宋" w:cs="仿宋"/>
          <w:bCs/>
          <w:color w:val="auto"/>
          <w:sz w:val="28"/>
          <w:szCs w:val="28"/>
          <w:highlight w:val="none"/>
          <w:lang w:eastAsia="zh-CN"/>
        </w:rPr>
        <w:t>泉州市洛江区</w:t>
      </w:r>
      <w:r>
        <w:rPr>
          <w:rFonts w:hint="eastAsia" w:ascii="仿宋" w:hAnsi="仿宋" w:eastAsia="仿宋" w:cs="仿宋"/>
          <w:bCs/>
          <w:color w:val="auto"/>
          <w:sz w:val="28"/>
          <w:szCs w:val="28"/>
          <w:highlight w:val="none"/>
        </w:rPr>
        <w:t>财政局委托泉州招标咨询中心实施。</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四是绩效相关原则。绩效评价针对</w:t>
      </w:r>
      <w:r>
        <w:rPr>
          <w:rFonts w:hint="eastAsia" w:ascii="仿宋" w:hAnsi="仿宋" w:eastAsia="仿宋" w:cs="仿宋"/>
          <w:bCs/>
          <w:color w:val="auto"/>
          <w:sz w:val="28"/>
          <w:szCs w:val="28"/>
          <w:highlight w:val="none"/>
          <w:lang w:eastAsia="zh-CN"/>
        </w:rPr>
        <w:t>泉州市洛江区</w:t>
      </w:r>
      <w:r>
        <w:rPr>
          <w:rFonts w:hint="eastAsia" w:ascii="仿宋" w:hAnsi="仿宋" w:eastAsia="仿宋" w:cs="仿宋"/>
          <w:bCs/>
          <w:color w:val="auto"/>
          <w:sz w:val="28"/>
          <w:szCs w:val="28"/>
          <w:highlight w:val="none"/>
        </w:rPr>
        <w:t>2020年度垃圾分类专项资金投入及其产出绩效进行，评价结果清晰地反映两者之间的紧密对应关系。</w:t>
      </w:r>
    </w:p>
    <w:p>
      <w:pPr>
        <w:pStyle w:val="3"/>
        <w:pageBreakBefore w:val="0"/>
        <w:widowControl w:val="0"/>
        <w:kinsoku/>
        <w:wordWrap/>
        <w:overflowPunct/>
        <w:topLinePunct w:val="0"/>
        <w:autoSpaceDE/>
        <w:autoSpaceDN/>
        <w:bidi w:val="0"/>
        <w:adjustRightInd/>
        <w:snapToGrid/>
        <w:spacing w:before="0" w:after="0" w:line="240" w:lineRule="auto"/>
        <w:ind w:firstLine="562" w:firstLineChars="200"/>
        <w:textAlignment w:val="auto"/>
        <w:outlineLvl w:val="1"/>
        <w:rPr>
          <w:rFonts w:hint="eastAsia" w:ascii="仿宋" w:hAnsi="仿宋" w:eastAsia="仿宋" w:cs="仿宋"/>
          <w:b/>
          <w:bCs w:val="0"/>
          <w:color w:val="auto"/>
          <w:sz w:val="28"/>
          <w:szCs w:val="28"/>
          <w:highlight w:val="none"/>
        </w:rPr>
      </w:pPr>
      <w:bookmarkStart w:id="20" w:name="_Toc30187"/>
      <w:r>
        <w:rPr>
          <w:rFonts w:hint="eastAsia" w:ascii="仿宋" w:hAnsi="仿宋" w:eastAsia="仿宋" w:cs="仿宋"/>
          <w:b/>
          <w:bCs w:val="0"/>
          <w:color w:val="auto"/>
          <w:sz w:val="28"/>
          <w:szCs w:val="28"/>
          <w:highlight w:val="none"/>
        </w:rPr>
        <w:t>（五）评定方法和等级设定</w:t>
      </w:r>
      <w:bookmarkEnd w:id="20"/>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次绩效评价通过实施单位的数据填报，辅以评价工作小组实地调查、查阅问卷、听取汇报、查看项目管理及财务管理资料等方式收集信息，采用成本效益分析法、比较法、公众评判法、问卷调查法等进行评分，以定量考核与以定性分析为相结合，汇总形成评价综合得分。评价结果分为优、良、中、差四个等级，根据各项指标得分合计分数，确定综合评价等级。具体如下表</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w:t>
      </w:r>
    </w:p>
    <w:p>
      <w:pPr>
        <w:spacing w:line="600" w:lineRule="exact"/>
        <w:jc w:val="center"/>
        <w:outlineLvl w:val="0"/>
        <w:rPr>
          <w:rFonts w:hint="eastAsia" w:ascii="仿宋" w:hAnsi="仿宋" w:eastAsia="仿宋" w:cs="仿宋"/>
          <w:b/>
          <w:color w:val="auto"/>
          <w:sz w:val="28"/>
          <w:szCs w:val="28"/>
          <w:highlight w:val="none"/>
        </w:rPr>
      </w:pPr>
      <w:bookmarkStart w:id="21" w:name="_Toc30380"/>
      <w:r>
        <w:rPr>
          <w:rFonts w:hint="eastAsia" w:ascii="仿宋" w:hAnsi="仿宋" w:eastAsia="仿宋" w:cs="仿宋"/>
          <w:b/>
          <w:color w:val="auto"/>
          <w:sz w:val="28"/>
          <w:szCs w:val="28"/>
          <w:highlight w:val="none"/>
          <w:lang w:val="en-US" w:eastAsia="zh-CN"/>
        </w:rPr>
        <w:t xml:space="preserve">表3 </w:t>
      </w:r>
      <w:r>
        <w:rPr>
          <w:rFonts w:hint="eastAsia" w:ascii="仿宋" w:hAnsi="仿宋" w:eastAsia="仿宋" w:cs="仿宋"/>
          <w:b/>
          <w:color w:val="auto"/>
          <w:sz w:val="28"/>
          <w:szCs w:val="28"/>
          <w:highlight w:val="none"/>
        </w:rPr>
        <w:t>绩效评价等级表</w:t>
      </w:r>
      <w:bookmarkEnd w:id="21"/>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2"/>
        <w:gridCol w:w="1566"/>
        <w:gridCol w:w="1566"/>
        <w:gridCol w:w="1566"/>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52" w:type="dxa"/>
            <w:shd w:val="clear" w:color="auto" w:fill="auto"/>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评价等级</w:t>
            </w:r>
          </w:p>
        </w:tc>
        <w:tc>
          <w:tcPr>
            <w:tcW w:w="1566" w:type="dxa"/>
            <w:shd w:val="clear" w:color="auto" w:fill="auto"/>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优</w:t>
            </w:r>
          </w:p>
        </w:tc>
        <w:tc>
          <w:tcPr>
            <w:tcW w:w="1566" w:type="dxa"/>
            <w:shd w:val="clear" w:color="auto" w:fill="auto"/>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良</w:t>
            </w:r>
          </w:p>
        </w:tc>
        <w:tc>
          <w:tcPr>
            <w:tcW w:w="1566" w:type="dxa"/>
            <w:shd w:val="clear" w:color="auto" w:fill="auto"/>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中</w:t>
            </w:r>
          </w:p>
        </w:tc>
        <w:tc>
          <w:tcPr>
            <w:tcW w:w="1752" w:type="dxa"/>
            <w:shd w:val="clear" w:color="auto" w:fill="auto"/>
            <w:vAlign w:val="center"/>
          </w:tcPr>
          <w:p>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5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参考分值S</w:t>
            </w:r>
          </w:p>
        </w:tc>
        <w:tc>
          <w:tcPr>
            <w:tcW w:w="156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S≥90</w:t>
            </w:r>
          </w:p>
        </w:tc>
        <w:tc>
          <w:tcPr>
            <w:tcW w:w="156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90&gt;S≥80</w:t>
            </w:r>
          </w:p>
        </w:tc>
        <w:tc>
          <w:tcPr>
            <w:tcW w:w="1566"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80&gt;S≥60</w:t>
            </w:r>
          </w:p>
        </w:tc>
        <w:tc>
          <w:tcPr>
            <w:tcW w:w="1752" w:type="dxa"/>
            <w:shd w:val="clear" w:color="auto" w:fill="auto"/>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S&lt;60</w:t>
            </w:r>
          </w:p>
        </w:tc>
      </w:tr>
    </w:tbl>
    <w:p>
      <w:pPr>
        <w:pStyle w:val="3"/>
        <w:pageBreakBefore w:val="0"/>
        <w:widowControl w:val="0"/>
        <w:kinsoku/>
        <w:wordWrap/>
        <w:overflowPunct/>
        <w:topLinePunct w:val="0"/>
        <w:autoSpaceDE/>
        <w:autoSpaceDN/>
        <w:bidi w:val="0"/>
        <w:adjustRightInd/>
        <w:snapToGrid/>
        <w:spacing w:before="0" w:after="0" w:line="240" w:lineRule="auto"/>
        <w:ind w:firstLine="560" w:firstLineChars="200"/>
        <w:textAlignment w:val="auto"/>
        <w:outlineLvl w:val="0"/>
        <w:rPr>
          <w:rFonts w:hint="eastAsia" w:ascii="仿宋" w:hAnsi="仿宋" w:eastAsia="仿宋" w:cs="仿宋"/>
          <w:b w:val="0"/>
          <w:color w:val="auto"/>
          <w:sz w:val="28"/>
          <w:szCs w:val="28"/>
          <w:highlight w:val="none"/>
        </w:rPr>
      </w:pPr>
      <w:bookmarkStart w:id="22" w:name="_Toc19595"/>
      <w:r>
        <w:rPr>
          <w:rFonts w:hint="eastAsia" w:ascii="仿宋" w:hAnsi="仿宋" w:eastAsia="仿宋" w:cs="仿宋"/>
          <w:b w:val="0"/>
          <w:color w:val="auto"/>
          <w:sz w:val="28"/>
          <w:szCs w:val="28"/>
          <w:highlight w:val="none"/>
        </w:rPr>
        <w:t>（六）组织实施</w:t>
      </w:r>
      <w:bookmarkEnd w:id="22"/>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按照评价工作流程，分为准备阶段、基础资料收集阶段</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实施阶段和评价报告撰写阶段等三个步骤实施评价工作。</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1.准备阶段（2021年8月下旬）：</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财政局绩效股牵头、其他相关科室配合，聘请泉州市招标咨询中心地方财政绩效评价所专业人员，组成绩效评价工作小组，拟定项目绩效评价实施方案，制定绩效评价工作计划。</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Calibri" w:hAnsi="Calibri" w:eastAsia="宋体" w:cs="Times New Roman"/>
          <w:color w:val="auto"/>
          <w:highlight w:val="none"/>
          <w:lang w:val="en-US" w:eastAsia="zh-CN"/>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基础资料收集阶段</w:t>
      </w:r>
      <w:r>
        <w:rPr>
          <w:rFonts w:hint="eastAsia" w:ascii="仿宋" w:hAnsi="仿宋" w:eastAsia="仿宋" w:cs="仿宋"/>
          <w:color w:val="auto"/>
          <w:sz w:val="28"/>
          <w:szCs w:val="28"/>
          <w:highlight w:val="none"/>
        </w:rPr>
        <w:t>（2021年</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下</w:t>
      </w:r>
      <w:r>
        <w:rPr>
          <w:rFonts w:hint="eastAsia" w:ascii="仿宋" w:hAnsi="仿宋" w:eastAsia="仿宋" w:cs="仿宋"/>
          <w:color w:val="auto"/>
          <w:sz w:val="28"/>
          <w:szCs w:val="28"/>
          <w:highlight w:val="none"/>
        </w:rPr>
        <w:t>旬至9月</w:t>
      </w:r>
      <w:r>
        <w:rPr>
          <w:rFonts w:hint="eastAsia" w:ascii="仿宋" w:hAnsi="仿宋" w:eastAsia="仿宋" w:cs="仿宋"/>
          <w:color w:val="auto"/>
          <w:sz w:val="28"/>
          <w:szCs w:val="28"/>
          <w:highlight w:val="none"/>
          <w:lang w:val="en-US" w:eastAsia="zh-CN"/>
        </w:rPr>
        <w:t>初</w:t>
      </w:r>
      <w:r>
        <w:rPr>
          <w:rFonts w:hint="eastAsia" w:ascii="仿宋" w:hAnsi="仿宋" w:eastAsia="仿宋" w:cs="仿宋"/>
          <w:color w:val="auto"/>
          <w:sz w:val="28"/>
          <w:szCs w:val="28"/>
          <w:highlight w:val="none"/>
        </w:rPr>
        <w:t>）：根据实施方案，评价工作组提供资料清单给</w:t>
      </w:r>
      <w:r>
        <w:rPr>
          <w:rFonts w:hint="eastAsia" w:ascii="仿宋" w:hAnsi="仿宋" w:eastAsia="仿宋" w:cs="仿宋"/>
          <w:color w:val="auto"/>
          <w:sz w:val="28"/>
          <w:szCs w:val="28"/>
          <w:highlight w:val="none"/>
          <w:lang w:val="en-US" w:eastAsia="zh-CN"/>
        </w:rPr>
        <w:t>区</w:t>
      </w:r>
      <w:r>
        <w:rPr>
          <w:rFonts w:hint="eastAsia" w:ascii="仿宋" w:hAnsi="仿宋" w:eastAsia="仿宋" w:cs="仿宋"/>
          <w:color w:val="auto"/>
          <w:sz w:val="28"/>
          <w:szCs w:val="28"/>
          <w:highlight w:val="none"/>
        </w:rPr>
        <w:t>财政局和</w:t>
      </w:r>
      <w:r>
        <w:rPr>
          <w:rFonts w:hint="eastAsia" w:ascii="仿宋" w:hAnsi="仿宋" w:eastAsia="仿宋" w:cs="仿宋"/>
          <w:color w:val="auto"/>
          <w:sz w:val="28"/>
          <w:szCs w:val="28"/>
          <w:highlight w:val="none"/>
          <w:lang w:val="en-US" w:eastAsia="zh-CN"/>
        </w:rPr>
        <w:t>各项目主管单位</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我中心安排专业人员对个项目单位进行首次调研，解释资料清单所列资料定义、范围，对各被评价项目以及项目单位进行初步了解</w:t>
      </w:r>
      <w:r>
        <w:rPr>
          <w:rFonts w:hint="eastAsia" w:ascii="仿宋" w:hAnsi="仿宋" w:eastAsia="仿宋" w:cs="仿宋"/>
          <w:color w:val="auto"/>
          <w:sz w:val="28"/>
          <w:szCs w:val="28"/>
          <w:highlight w:val="none"/>
        </w:rPr>
        <w:t>。</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.实施阶段（2021年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初</w:t>
      </w:r>
      <w:r>
        <w:rPr>
          <w:rFonts w:hint="eastAsia" w:ascii="仿宋" w:hAnsi="仿宋" w:eastAsia="仿宋" w:cs="仿宋"/>
          <w:color w:val="auto"/>
          <w:sz w:val="28"/>
          <w:szCs w:val="28"/>
          <w:highlight w:val="none"/>
        </w:rPr>
        <w:t>至9月下旬）：根据</w:t>
      </w:r>
      <w:r>
        <w:rPr>
          <w:rFonts w:hint="eastAsia" w:ascii="仿宋" w:hAnsi="仿宋" w:eastAsia="仿宋" w:cs="仿宋"/>
          <w:color w:val="auto"/>
          <w:sz w:val="28"/>
          <w:szCs w:val="28"/>
          <w:highlight w:val="none"/>
          <w:lang w:val="en-US" w:eastAsia="zh-CN"/>
        </w:rPr>
        <w:t>前期收集回来的基础资料进行分析后</w:t>
      </w:r>
      <w:r>
        <w:rPr>
          <w:rFonts w:hint="eastAsia" w:ascii="仿宋" w:hAnsi="仿宋" w:eastAsia="仿宋" w:cs="仿宋"/>
          <w:color w:val="auto"/>
          <w:sz w:val="28"/>
          <w:szCs w:val="28"/>
          <w:highlight w:val="none"/>
        </w:rPr>
        <w:t>，部署开展</w:t>
      </w:r>
      <w:r>
        <w:rPr>
          <w:rFonts w:hint="eastAsia" w:ascii="仿宋" w:hAnsi="仿宋" w:eastAsia="仿宋" w:cs="仿宋"/>
          <w:color w:val="auto"/>
          <w:sz w:val="28"/>
          <w:szCs w:val="28"/>
          <w:highlight w:val="none"/>
          <w:lang w:val="en-US" w:eastAsia="zh-CN"/>
        </w:rPr>
        <w:t>二次现场调研。由评价专家带队</w:t>
      </w:r>
      <w:r>
        <w:rPr>
          <w:rFonts w:hint="eastAsia" w:ascii="仿宋" w:hAnsi="仿宋" w:eastAsia="仿宋" w:cs="仿宋"/>
          <w:color w:val="auto"/>
          <w:sz w:val="28"/>
          <w:szCs w:val="28"/>
          <w:highlight w:val="none"/>
        </w:rPr>
        <w:t>走访项目主管部门和项目实施单位，现场座谈交流，</w:t>
      </w:r>
      <w:r>
        <w:rPr>
          <w:rFonts w:hint="eastAsia" w:ascii="仿宋" w:hAnsi="仿宋" w:eastAsia="仿宋" w:cs="仿宋"/>
          <w:color w:val="auto"/>
          <w:sz w:val="28"/>
          <w:szCs w:val="28"/>
          <w:highlight w:val="none"/>
          <w:lang w:val="en-US" w:eastAsia="zh-CN"/>
        </w:rPr>
        <w:t>进一步</w:t>
      </w:r>
      <w:r>
        <w:rPr>
          <w:rFonts w:hint="eastAsia" w:ascii="仿宋" w:hAnsi="仿宋" w:eastAsia="仿宋" w:cs="仿宋"/>
          <w:color w:val="auto"/>
          <w:sz w:val="28"/>
          <w:szCs w:val="28"/>
          <w:highlight w:val="none"/>
        </w:rPr>
        <w:t>收集</w:t>
      </w:r>
      <w:r>
        <w:rPr>
          <w:rFonts w:hint="eastAsia" w:ascii="仿宋" w:hAnsi="仿宋" w:eastAsia="仿宋" w:cs="仿宋"/>
          <w:color w:val="auto"/>
          <w:sz w:val="28"/>
          <w:szCs w:val="28"/>
          <w:highlight w:val="none"/>
          <w:lang w:val="en-US" w:eastAsia="zh-CN"/>
        </w:rPr>
        <w:t>项目</w:t>
      </w:r>
      <w:r>
        <w:rPr>
          <w:rFonts w:hint="eastAsia" w:ascii="仿宋" w:hAnsi="仿宋" w:eastAsia="仿宋" w:cs="仿宋"/>
          <w:color w:val="auto"/>
          <w:sz w:val="28"/>
          <w:szCs w:val="28"/>
          <w:highlight w:val="none"/>
        </w:rPr>
        <w:t>资料，对项目相关文件进行</w:t>
      </w:r>
      <w:r>
        <w:rPr>
          <w:rFonts w:hint="eastAsia" w:ascii="仿宋" w:hAnsi="仿宋" w:eastAsia="仿宋" w:cs="仿宋"/>
          <w:color w:val="auto"/>
          <w:sz w:val="28"/>
          <w:szCs w:val="28"/>
          <w:highlight w:val="none"/>
          <w:lang w:val="en-US" w:eastAsia="zh-CN"/>
        </w:rPr>
        <w:t>解读</w:t>
      </w:r>
      <w:r>
        <w:rPr>
          <w:rFonts w:hint="eastAsia" w:ascii="仿宋" w:hAnsi="仿宋" w:eastAsia="仿宋" w:cs="仿宋"/>
          <w:color w:val="auto"/>
          <w:sz w:val="28"/>
          <w:szCs w:val="28"/>
          <w:highlight w:val="none"/>
        </w:rPr>
        <w:t>，制定评价指标体系；勘验检查项目现场，听取实施单位情况汇报，查阅核实有关数据资料，开展问卷调查，实施汇总分析。</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color w:val="auto"/>
          <w:highlight w:val="none"/>
        </w:rPr>
      </w:pPr>
      <w:r>
        <w:rPr>
          <w:rFonts w:hint="eastAsia" w:ascii="仿宋" w:hAnsi="仿宋" w:eastAsia="仿宋" w:cs="仿宋"/>
          <w:color w:val="auto"/>
          <w:sz w:val="28"/>
          <w:szCs w:val="28"/>
          <w:highlight w:val="none"/>
        </w:rPr>
        <w:t>3.报告撰写阶段（2021年10月上旬）：经过网络查阅、现场咨询、检查核实等步骤，在收集、整理、汇总、核实、分析相关资料和数据的基础上，对项目管理、政策制度执行以及资金的使用、产生的效果进行综合评价，形成项目绩效评价报告。</w:t>
      </w:r>
    </w:p>
    <w:p>
      <w:pPr>
        <w:pStyle w:val="3"/>
        <w:pageBreakBefore w:val="0"/>
        <w:widowControl w:val="0"/>
        <w:kinsoku/>
        <w:wordWrap/>
        <w:overflowPunct/>
        <w:topLinePunct w:val="0"/>
        <w:autoSpaceDE/>
        <w:autoSpaceDN/>
        <w:bidi w:val="0"/>
        <w:adjustRightInd/>
        <w:snapToGrid/>
        <w:spacing w:before="0" w:after="0" w:line="240" w:lineRule="auto"/>
        <w:ind w:firstLine="643" w:firstLineChars="200"/>
        <w:textAlignment w:val="auto"/>
        <w:rPr>
          <w:rFonts w:hint="eastAsia" w:ascii="仿宋" w:hAnsi="仿宋" w:eastAsia="仿宋" w:cs="仿宋"/>
          <w:b/>
          <w:bCs w:val="0"/>
          <w:color w:val="auto"/>
          <w:sz w:val="32"/>
          <w:szCs w:val="32"/>
          <w:highlight w:val="none"/>
        </w:rPr>
      </w:pPr>
      <w:bookmarkStart w:id="23" w:name="_Toc373"/>
      <w:r>
        <w:rPr>
          <w:rFonts w:hint="eastAsia" w:ascii="仿宋" w:hAnsi="仿宋" w:eastAsia="仿宋" w:cs="仿宋"/>
          <w:b/>
          <w:bCs w:val="0"/>
          <w:color w:val="auto"/>
          <w:sz w:val="32"/>
          <w:szCs w:val="32"/>
          <w:highlight w:val="none"/>
        </w:rPr>
        <w:t>四、项目绩效评价指标体系及得分情况</w:t>
      </w:r>
      <w:bookmarkEnd w:id="23"/>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价工作小组按照相关性、重要性、可比性、系统性及经济性原则，从投入、过程、产出、效果等四个方面设计共性指标体系，共设置“项目立项”、“绩效目标”、“资金投入”、“资金管理”、“组织实施”、“产出质量”、“产出数量”、“产出时效”、“经济效益”、“社会效益”、“生态效益”、“可持续效益”、“服务对象满意度”等13个二级指标和“立项依据充分性”、“立项程序规范性”、“绩效目标合理性”等27个三级指标。各项指标内容及得分情况详见如下表</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w:t>
      </w:r>
    </w:p>
    <w:p>
      <w:pPr>
        <w:pStyle w:val="2"/>
        <w:jc w:val="center"/>
        <w:outlineLvl w:val="0"/>
        <w:rPr>
          <w:rFonts w:hint="default" w:ascii="仿宋" w:hAnsi="仿宋" w:eastAsia="仿宋" w:cs="仿宋"/>
          <w:b/>
          <w:bCs/>
          <w:color w:val="auto"/>
          <w:sz w:val="28"/>
          <w:szCs w:val="28"/>
          <w:highlight w:val="none"/>
          <w:lang w:val="en-US" w:eastAsia="zh-CN"/>
        </w:rPr>
      </w:pPr>
      <w:bookmarkStart w:id="24" w:name="_Toc16978"/>
      <w:r>
        <w:rPr>
          <w:rFonts w:hint="eastAsia" w:ascii="仿宋" w:hAnsi="仿宋" w:eastAsia="仿宋" w:cs="仿宋"/>
          <w:b/>
          <w:bCs/>
          <w:color w:val="auto"/>
          <w:sz w:val="28"/>
          <w:szCs w:val="28"/>
          <w:highlight w:val="none"/>
          <w:lang w:val="en-US" w:eastAsia="zh-CN"/>
        </w:rPr>
        <w:t xml:space="preserve">表4 </w:t>
      </w:r>
      <w:r>
        <w:rPr>
          <w:rFonts w:hint="eastAsia" w:ascii="仿宋" w:hAnsi="仿宋" w:eastAsia="仿宋" w:cs="仿宋"/>
          <w:b/>
          <w:bCs/>
          <w:color w:val="auto"/>
          <w:sz w:val="28"/>
          <w:szCs w:val="28"/>
          <w:highlight w:val="none"/>
        </w:rPr>
        <w:t>2020年度</w:t>
      </w:r>
      <w:r>
        <w:rPr>
          <w:rFonts w:hint="eastAsia" w:ascii="仿宋" w:hAnsi="仿宋" w:eastAsia="仿宋" w:cs="仿宋"/>
          <w:b/>
          <w:bCs/>
          <w:color w:val="auto"/>
          <w:sz w:val="28"/>
          <w:szCs w:val="28"/>
          <w:highlight w:val="none"/>
          <w:lang w:eastAsia="zh-CN"/>
        </w:rPr>
        <w:t>泉州市洛江区</w:t>
      </w:r>
      <w:r>
        <w:rPr>
          <w:rFonts w:hint="eastAsia" w:ascii="仿宋" w:hAnsi="仿宋" w:eastAsia="仿宋" w:cs="仿宋"/>
          <w:b/>
          <w:bCs/>
          <w:color w:val="auto"/>
          <w:sz w:val="28"/>
          <w:szCs w:val="28"/>
          <w:highlight w:val="none"/>
        </w:rPr>
        <w:t>垃圾分类专项资金绩效评价</w:t>
      </w:r>
      <w:r>
        <w:rPr>
          <w:rFonts w:hint="eastAsia" w:ascii="仿宋" w:hAnsi="仿宋" w:eastAsia="仿宋" w:cs="仿宋"/>
          <w:b/>
          <w:bCs/>
          <w:color w:val="auto"/>
          <w:sz w:val="28"/>
          <w:szCs w:val="28"/>
          <w:highlight w:val="none"/>
          <w:lang w:val="en-US" w:eastAsia="zh-CN"/>
        </w:rPr>
        <w:t>指标得分表</w:t>
      </w:r>
      <w:bookmarkEnd w:id="24"/>
    </w:p>
    <w:tbl>
      <w:tblPr>
        <w:tblStyle w:val="15"/>
        <w:tblW w:w="9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810"/>
        <w:gridCol w:w="1005"/>
        <w:gridCol w:w="5025"/>
        <w:gridCol w:w="76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32" w:type="dxa"/>
            <w:vAlign w:val="center"/>
          </w:tcPr>
          <w:p>
            <w:pPr>
              <w:widowControl/>
              <w:textAlignment w:val="center"/>
              <w:rPr>
                <w:rFonts w:hint="eastAsia"/>
                <w:color w:val="auto"/>
                <w:highlight w:val="none"/>
                <w:vertAlign w:val="baseline"/>
              </w:rPr>
            </w:pPr>
            <w:r>
              <w:rPr>
                <w:rFonts w:hint="eastAsia" w:ascii="仿宋" w:hAnsi="仿宋" w:eastAsia="仿宋" w:cs="仿宋"/>
                <w:b/>
                <w:bCs/>
                <w:color w:val="auto"/>
                <w:kern w:val="0"/>
                <w:sz w:val="24"/>
                <w:szCs w:val="24"/>
                <w:highlight w:val="none"/>
                <w:lang w:bidi="ar"/>
              </w:rPr>
              <w:t>一级指标</w:t>
            </w:r>
          </w:p>
        </w:tc>
        <w:tc>
          <w:tcPr>
            <w:tcW w:w="810" w:type="dxa"/>
            <w:vAlign w:val="center"/>
          </w:tcPr>
          <w:p>
            <w:pPr>
              <w:widowControl/>
              <w:jc w:val="center"/>
              <w:textAlignment w:val="center"/>
              <w:rPr>
                <w:rFonts w:hint="eastAsia"/>
                <w:color w:val="auto"/>
                <w:highlight w:val="none"/>
                <w:vertAlign w:val="baseline"/>
              </w:rPr>
            </w:pPr>
            <w:r>
              <w:rPr>
                <w:rFonts w:hint="eastAsia" w:ascii="仿宋" w:hAnsi="仿宋" w:eastAsia="仿宋" w:cs="仿宋"/>
                <w:b/>
                <w:bCs/>
                <w:color w:val="auto"/>
                <w:kern w:val="0"/>
                <w:sz w:val="24"/>
                <w:szCs w:val="24"/>
                <w:highlight w:val="none"/>
                <w:lang w:bidi="ar"/>
              </w:rPr>
              <w:t>二级指标</w:t>
            </w:r>
          </w:p>
        </w:tc>
        <w:tc>
          <w:tcPr>
            <w:tcW w:w="1005" w:type="dxa"/>
            <w:vAlign w:val="center"/>
          </w:tcPr>
          <w:p>
            <w:pPr>
              <w:widowControl/>
              <w:jc w:val="center"/>
              <w:textAlignment w:val="center"/>
              <w:rPr>
                <w:rFonts w:hint="eastAsia" w:ascii="仿宋" w:hAnsi="仿宋" w:eastAsia="仿宋" w:cs="仿宋"/>
                <w:b/>
                <w:bCs/>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三级</w:t>
            </w:r>
          </w:p>
          <w:p>
            <w:pPr>
              <w:widowControl/>
              <w:jc w:val="center"/>
              <w:textAlignment w:val="center"/>
              <w:rPr>
                <w:rFonts w:hint="eastAsia"/>
                <w:color w:val="auto"/>
                <w:highlight w:val="none"/>
                <w:vertAlign w:val="baseline"/>
              </w:rPr>
            </w:pPr>
            <w:r>
              <w:rPr>
                <w:rFonts w:hint="eastAsia" w:ascii="仿宋" w:hAnsi="仿宋" w:eastAsia="仿宋" w:cs="仿宋"/>
                <w:b/>
                <w:bCs/>
                <w:color w:val="auto"/>
                <w:kern w:val="0"/>
                <w:sz w:val="24"/>
                <w:szCs w:val="24"/>
                <w:highlight w:val="none"/>
                <w:lang w:bidi="ar"/>
              </w:rPr>
              <w:t>指标</w:t>
            </w:r>
          </w:p>
        </w:tc>
        <w:tc>
          <w:tcPr>
            <w:tcW w:w="5025" w:type="dxa"/>
            <w:vAlign w:val="center"/>
          </w:tcPr>
          <w:p>
            <w:pPr>
              <w:widowControl/>
              <w:jc w:val="center"/>
              <w:textAlignment w:val="center"/>
              <w:rPr>
                <w:rFonts w:hint="eastAsia" w:eastAsiaTheme="minorEastAsia"/>
                <w:color w:val="auto"/>
                <w:highlight w:val="none"/>
                <w:vertAlign w:val="baseline"/>
                <w:lang w:eastAsia="zh-CN"/>
              </w:rPr>
            </w:pPr>
            <w:r>
              <w:rPr>
                <w:rFonts w:hint="eastAsia" w:ascii="仿宋" w:hAnsi="仿宋" w:eastAsia="仿宋" w:cs="仿宋"/>
                <w:b/>
                <w:bCs/>
                <w:color w:val="auto"/>
                <w:kern w:val="0"/>
                <w:sz w:val="24"/>
                <w:szCs w:val="24"/>
                <w:highlight w:val="none"/>
                <w:lang w:val="en-US" w:eastAsia="zh-CN" w:bidi="ar"/>
              </w:rPr>
              <w:t>评分标准</w:t>
            </w:r>
          </w:p>
        </w:tc>
        <w:tc>
          <w:tcPr>
            <w:tcW w:w="765" w:type="dxa"/>
            <w:vAlign w:val="center"/>
          </w:tcPr>
          <w:p>
            <w:pPr>
              <w:widowControl/>
              <w:jc w:val="center"/>
              <w:textAlignment w:val="center"/>
              <w:rPr>
                <w:rFonts w:hint="eastAsia" w:eastAsiaTheme="minorEastAsia"/>
                <w:color w:val="auto"/>
                <w:highlight w:val="none"/>
                <w:vertAlign w:val="baseline"/>
                <w:lang w:eastAsia="zh-CN"/>
              </w:rPr>
            </w:pPr>
            <w:r>
              <w:rPr>
                <w:rFonts w:hint="eastAsia" w:ascii="仿宋" w:hAnsi="仿宋" w:eastAsia="仿宋" w:cs="仿宋"/>
                <w:b/>
                <w:bCs/>
                <w:color w:val="auto"/>
                <w:kern w:val="0"/>
                <w:sz w:val="24"/>
                <w:szCs w:val="24"/>
                <w:highlight w:val="none"/>
                <w:lang w:val="en-US" w:eastAsia="zh-CN" w:bidi="ar"/>
              </w:rPr>
              <w:t>分值</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b/>
                <w:bCs/>
                <w:color w:val="auto"/>
                <w:kern w:val="0"/>
                <w:sz w:val="24"/>
                <w:szCs w:val="24"/>
                <w:highlight w:val="none"/>
                <w:lang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决策</w:t>
            </w: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项目立项</w:t>
            </w: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立项依据充分性</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项目立项是否符合法律法规、相关政策、发展规划以及部门职责，是否与相关部门或本部门相关项目重复。无依据的，本项不得分，存在其他不规范问题的，每项扣1分。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立项程序规范性</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项目申请、设立过程是否符合相关要求，是否按规定程序申请、审批，是否经过必要的可行性研究、专家论证、风险评估、集体决策等。而未办理立项程序的，不得分。立项程序不规范的，每项扣1分。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绩效目标</w:t>
            </w: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绩效目标合理性</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绩效目标设定依据是否充分，是否与项目实际内容密切相关、是否与所投入资金量相匹配、是否符合正常的预期业绩水平、是否体现一定的挑战性。不满足合理性上述要求的，每项目标扣1分。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绩效指标明确性</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绩效指标是否清晰、细化、可衡量，是否与目标任务数和计划数相对应。不满足明确性要求的，每项指标扣1分。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资金投入</w:t>
            </w: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预算编制科学性</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预算编制是否经过科学论证，预算内容是否与项目内容相匹配，预算额度测算依据是否充分、是否符合相关标准，预算资金量是否与项目工作任务相匹配。不满足编制要求的，每项扣1分。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资金分配合理性</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资金分配是否有充分测算依据，分配额度是否与地方实际相适应，资金分配是否具备公平性。分配不满足合理性要求的，每项扣1分。存在明显不合理且影响较大的，本项不得分。</w:t>
            </w:r>
          </w:p>
        </w:tc>
        <w:tc>
          <w:tcPr>
            <w:tcW w:w="765" w:type="dxa"/>
            <w:vAlign w:val="bottom"/>
          </w:tcPr>
          <w:p>
            <w:pPr>
              <w:widowControl/>
              <w:jc w:val="center"/>
              <w:textAlignment w:val="bottom"/>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bottom"/>
          </w:tcPr>
          <w:p>
            <w:pPr>
              <w:widowControl/>
              <w:jc w:val="center"/>
              <w:textAlignment w:val="bottom"/>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过程</w:t>
            </w: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资金管理</w:t>
            </w: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资金到位率</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实际到位资金与预算资金的比率。到位率100%的，不扣分，偏离每5%扣1分。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预算执行率</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实际支出资金与实际到位资金的比率。执行率100%的不扣分，偏离每超过5%，扣1分，不足5%的，视同5%。本项得分扣完为止。</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5</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资金使用合规性</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资金使用是否符合相关的财务管理制度规定。如有违规、超范围等支出，本项不得分。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组织实施</w:t>
            </w: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管理制度健全性</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是否制定了用以规范项目实施的财务和业务管理、采购制度，制度是否健全，并符合法律、法规及上级有关规定，能否有效指导项目实施。未制定的，本项不得分，不健全的扣1分，存在违规或不具备有效指导意义的，扣2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制度执行有效性</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项目实施是否符合相关法律法规及管理制度规定，是否按有关文件及制度要求对项目实施全过程进行管理，包括对下级单位、项目实施单位的监管等，项目调整及支出调整手续是否完备，项目资料是否及时归档。有违反法律法规行为的，本项不得分。有违反管理制度或手续不完备、未及时归档的情况的，每项扣1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5</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人员保障充足性</w:t>
            </w:r>
          </w:p>
        </w:tc>
        <w:tc>
          <w:tcPr>
            <w:tcW w:w="5025" w:type="dxa"/>
            <w:vAlign w:val="center"/>
          </w:tcPr>
          <w:p>
            <w:pPr>
              <w:widowControl/>
              <w:jc w:val="left"/>
              <w:textAlignment w:val="center"/>
              <w:rPr>
                <w:rFonts w:hint="eastAsia"/>
                <w:color w:val="auto"/>
                <w:highlight w:val="none"/>
                <w:vertAlign w:val="baseline"/>
              </w:rPr>
            </w:pPr>
            <w:r>
              <w:rPr>
                <w:rStyle w:val="26"/>
                <w:rFonts w:hint="eastAsia" w:ascii="仿宋" w:hAnsi="仿宋" w:eastAsia="仿宋" w:cs="仿宋"/>
                <w:color w:val="auto"/>
                <w:sz w:val="24"/>
                <w:szCs w:val="24"/>
                <w:highlight w:val="none"/>
                <w:lang w:bidi="ar"/>
              </w:rPr>
              <w:t>项目实施单位、管理单位投入的人员数量、素质等方面是否满足项目实施的要求，能保证项目实施效果。项目实施实际投入人数占项目需要人数的比例低于</w:t>
            </w:r>
            <w:r>
              <w:rPr>
                <w:rStyle w:val="27"/>
                <w:rFonts w:hint="eastAsia" w:ascii="仿宋" w:hAnsi="仿宋" w:eastAsia="仿宋" w:cs="仿宋"/>
                <w:color w:val="auto"/>
                <w:sz w:val="24"/>
                <w:szCs w:val="24"/>
                <w:highlight w:val="none"/>
                <w:lang w:bidi="ar"/>
              </w:rPr>
              <w:t>100%</w:t>
            </w:r>
            <w:r>
              <w:rPr>
                <w:rStyle w:val="26"/>
                <w:rFonts w:hint="eastAsia" w:ascii="仿宋" w:hAnsi="仿宋" w:eastAsia="仿宋" w:cs="仿宋"/>
                <w:color w:val="auto"/>
                <w:sz w:val="24"/>
                <w:szCs w:val="24"/>
                <w:highlight w:val="none"/>
                <w:lang w:bidi="ar"/>
              </w:rPr>
              <w:t>的，每降低</w:t>
            </w:r>
            <w:r>
              <w:rPr>
                <w:rStyle w:val="27"/>
                <w:rFonts w:hint="eastAsia" w:ascii="仿宋" w:hAnsi="仿宋" w:eastAsia="仿宋" w:cs="仿宋"/>
                <w:color w:val="auto"/>
                <w:sz w:val="24"/>
                <w:szCs w:val="24"/>
                <w:highlight w:val="none"/>
                <w:lang w:bidi="ar"/>
              </w:rPr>
              <w:t>10%</w:t>
            </w:r>
            <w:r>
              <w:rPr>
                <w:rStyle w:val="26"/>
                <w:rFonts w:hint="eastAsia" w:ascii="仿宋" w:hAnsi="仿宋" w:eastAsia="仿宋" w:cs="仿宋"/>
                <w:color w:val="auto"/>
                <w:sz w:val="24"/>
                <w:szCs w:val="24"/>
                <w:highlight w:val="none"/>
                <w:lang w:bidi="ar"/>
              </w:rPr>
              <w:t>扣</w:t>
            </w:r>
            <w:r>
              <w:rPr>
                <w:rStyle w:val="27"/>
                <w:rFonts w:hint="eastAsia" w:ascii="仿宋" w:hAnsi="仿宋" w:eastAsia="仿宋" w:cs="仿宋"/>
                <w:color w:val="auto"/>
                <w:sz w:val="24"/>
                <w:szCs w:val="24"/>
                <w:highlight w:val="none"/>
                <w:lang w:bidi="ar"/>
              </w:rPr>
              <w:t>1</w:t>
            </w:r>
            <w:r>
              <w:rPr>
                <w:rStyle w:val="26"/>
                <w:rFonts w:hint="eastAsia" w:ascii="仿宋" w:hAnsi="仿宋" w:eastAsia="仿宋" w:cs="仿宋"/>
                <w:color w:val="auto"/>
                <w:sz w:val="24"/>
                <w:szCs w:val="24"/>
                <w:highlight w:val="none"/>
                <w:lang w:bidi="ar"/>
              </w:rPr>
              <w:t>分，不足</w:t>
            </w:r>
            <w:r>
              <w:rPr>
                <w:rStyle w:val="27"/>
                <w:rFonts w:hint="eastAsia" w:ascii="仿宋" w:hAnsi="仿宋" w:eastAsia="仿宋" w:cs="仿宋"/>
                <w:color w:val="auto"/>
                <w:sz w:val="24"/>
                <w:szCs w:val="24"/>
                <w:highlight w:val="none"/>
                <w:lang w:bidi="ar"/>
              </w:rPr>
              <w:t>10%</w:t>
            </w:r>
            <w:r>
              <w:rPr>
                <w:rStyle w:val="26"/>
                <w:rFonts w:hint="eastAsia" w:ascii="仿宋" w:hAnsi="仿宋" w:eastAsia="仿宋" w:cs="仿宋"/>
                <w:color w:val="auto"/>
                <w:sz w:val="24"/>
                <w:szCs w:val="24"/>
                <w:highlight w:val="none"/>
                <w:lang w:bidi="ar"/>
              </w:rPr>
              <w:t>的，视同</w:t>
            </w:r>
            <w:r>
              <w:rPr>
                <w:rStyle w:val="27"/>
                <w:rFonts w:hint="eastAsia" w:ascii="仿宋" w:hAnsi="仿宋" w:eastAsia="仿宋" w:cs="仿宋"/>
                <w:color w:val="auto"/>
                <w:sz w:val="24"/>
                <w:szCs w:val="24"/>
                <w:highlight w:val="none"/>
                <w:lang w:bidi="ar"/>
              </w:rPr>
              <w:t>10%</w:t>
            </w:r>
            <w:r>
              <w:rPr>
                <w:rStyle w:val="26"/>
                <w:rFonts w:hint="eastAsia" w:ascii="仿宋" w:hAnsi="仿宋" w:eastAsia="仿宋" w:cs="仿宋"/>
                <w:color w:val="auto"/>
                <w:sz w:val="24"/>
                <w:szCs w:val="24"/>
                <w:highlight w:val="none"/>
                <w:lang w:bidi="ar"/>
              </w:rPr>
              <w:t>，本项得分扣完为止。</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jc w:val="cente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机构保障充分性</w:t>
            </w:r>
          </w:p>
        </w:tc>
        <w:tc>
          <w:tcPr>
            <w:tcW w:w="5025" w:type="dxa"/>
            <w:vAlign w:val="center"/>
          </w:tcPr>
          <w:p>
            <w:pPr>
              <w:widowControl/>
              <w:jc w:val="left"/>
              <w:textAlignment w:val="center"/>
              <w:rPr>
                <w:rFonts w:hint="eastAsia"/>
                <w:color w:val="auto"/>
                <w:highlight w:val="none"/>
                <w:vertAlign w:val="baseline"/>
              </w:rPr>
            </w:pPr>
            <w:r>
              <w:rPr>
                <w:rStyle w:val="26"/>
                <w:rFonts w:hint="eastAsia" w:ascii="仿宋" w:hAnsi="仿宋" w:eastAsia="仿宋" w:cs="仿宋"/>
                <w:color w:val="auto"/>
                <w:sz w:val="24"/>
                <w:szCs w:val="24"/>
                <w:highlight w:val="none"/>
                <w:lang w:bidi="ar"/>
              </w:rPr>
              <w:t>是否成立了项目实施管理的机构或组织，或安排了适当的科室负责，决策机构、执行机构、监督机构、应急机构齐全，分工合理。机构不健全的，扣</w:t>
            </w:r>
            <w:r>
              <w:rPr>
                <w:rStyle w:val="27"/>
                <w:rFonts w:hint="eastAsia" w:ascii="仿宋" w:hAnsi="仿宋" w:eastAsia="仿宋" w:cs="仿宋"/>
                <w:color w:val="auto"/>
                <w:sz w:val="24"/>
                <w:szCs w:val="24"/>
                <w:highlight w:val="none"/>
                <w:lang w:bidi="ar"/>
              </w:rPr>
              <w:t>1</w:t>
            </w:r>
            <w:r>
              <w:rPr>
                <w:rStyle w:val="26"/>
                <w:rFonts w:hint="eastAsia" w:ascii="仿宋" w:hAnsi="仿宋" w:eastAsia="仿宋" w:cs="仿宋"/>
                <w:color w:val="auto"/>
                <w:sz w:val="24"/>
                <w:szCs w:val="24"/>
                <w:highlight w:val="none"/>
                <w:lang w:bidi="ar"/>
              </w:rPr>
              <w:t>分，无项目实施机构的，不得分。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restart"/>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lang w:bidi="ar"/>
              </w:rPr>
              <w:t>产出</w:t>
            </w:r>
            <w:r>
              <w:rPr>
                <w:rFonts w:hint="eastAsia" w:ascii="仿宋" w:hAnsi="仿宋" w:eastAsia="仿宋" w:cs="仿宋"/>
                <w:color w:val="auto"/>
                <w:kern w:val="0"/>
                <w:sz w:val="24"/>
                <w:szCs w:val="24"/>
                <w:highlight w:val="none"/>
                <w:lang w:bidi="ar"/>
              </w:rPr>
              <w:t xml:space="preserve"> </w:t>
            </w: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产出数量</w:t>
            </w: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生活垃圾分类示范片区及示范点数量</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示范片区及示范点数量符合既定标准，得满分；不符合标准，扣1分；无示范片区或示范点不得分。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垃圾分类配套设施数量</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垃圾分类配套设施符合既定标准要求，得满分；未达到要求，扣1分；无配套实施，不得分。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垃圾分类宣传方式</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垃圾分类方式宣传方式≥4 种，得满分；每少1种，扣1分，扣完为止</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2</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产出质量</w:t>
            </w: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垃圾分类准确率</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垃圾分类准确率≥70%，得满分，未达到70%，指标得分=实际完成值/目标值*分值</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垃圾分类覆盖率</w:t>
            </w:r>
          </w:p>
        </w:tc>
        <w:tc>
          <w:tcPr>
            <w:tcW w:w="5025" w:type="dxa"/>
            <w:vAlign w:val="top"/>
          </w:tcPr>
          <w:p>
            <w:pPr>
              <w:widowControl/>
              <w:jc w:val="left"/>
              <w:textAlignment w:val="top"/>
              <w:rPr>
                <w:rFonts w:hint="eastAsia"/>
                <w:color w:val="auto"/>
                <w:highlight w:val="none"/>
                <w:vertAlign w:val="baseline"/>
              </w:rPr>
            </w:pPr>
            <w:r>
              <w:rPr>
                <w:rFonts w:hint="eastAsia" w:ascii="仿宋" w:hAnsi="仿宋" w:eastAsia="仿宋" w:cs="仿宋"/>
                <w:color w:val="auto"/>
                <w:kern w:val="0"/>
                <w:sz w:val="24"/>
                <w:szCs w:val="24"/>
                <w:highlight w:val="none"/>
                <w:lang w:bidi="ar"/>
              </w:rPr>
              <w:t>万安街道全覆盖，全区公共机构垃圾分类全覆盖，得满分；不同时满足时，扣2分；同时不满足时，不得分。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产出时效</w:t>
            </w: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考评问题整改及时性</w:t>
            </w:r>
          </w:p>
        </w:tc>
        <w:tc>
          <w:tcPr>
            <w:tcW w:w="5025" w:type="dxa"/>
            <w:vAlign w:val="top"/>
          </w:tcPr>
          <w:p>
            <w:pPr>
              <w:widowControl/>
              <w:jc w:val="left"/>
              <w:textAlignment w:val="top"/>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垃圾分类考评活动发现问题进行及时规范整改，得满分；整改不及时，扣1分；未整改，不得分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分类垃圾处理的及时性</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分类垃圾处理及时，得满分；处理不及时，扣1分；未处理的不得分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restart"/>
            <w:vAlign w:val="center"/>
          </w:tcPr>
          <w:p>
            <w:pPr>
              <w:rPr>
                <w:rFonts w:hint="eastAsia"/>
                <w:color w:val="auto"/>
                <w:highlight w:val="none"/>
                <w:vertAlign w:val="baseline"/>
              </w:rPr>
            </w:pPr>
            <w:r>
              <w:rPr>
                <w:rFonts w:hint="eastAsia" w:ascii="仿宋" w:hAnsi="仿宋" w:eastAsia="仿宋" w:cs="仿宋"/>
                <w:color w:val="auto"/>
                <w:sz w:val="24"/>
                <w:szCs w:val="24"/>
                <w:highlight w:val="none"/>
              </w:rPr>
              <w:t>效益</w:t>
            </w:r>
          </w:p>
        </w:tc>
        <w:tc>
          <w:tcPr>
            <w:tcW w:w="810" w:type="dxa"/>
            <w:vAlign w:val="center"/>
          </w:tcPr>
          <w:p>
            <w:pPr>
              <w:widowControl/>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经济效益</w:t>
            </w: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生活垃圾回收利用率</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生活垃圾回收利用率≥35%，得满分；未达到35%，指标得分=实际完成值/目标值*分值</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6</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社会效益</w:t>
            </w: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垃圾分类考评覆盖率</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生活垃圾考评覆盖率≥90%，得满分；未达到90%，指标得分=实际完成值/目标值*分值</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生活垃圾无害化处理率</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生活垃圾无害化处理率维持100%，得满分；否则，不得分。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restart"/>
            <w:vAlign w:val="center"/>
          </w:tcPr>
          <w:p>
            <w:pPr>
              <w:widowControl/>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生态效益</w:t>
            </w:r>
          </w:p>
        </w:tc>
        <w:tc>
          <w:tcPr>
            <w:tcW w:w="100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居住环境改善情况</w:t>
            </w:r>
          </w:p>
        </w:tc>
        <w:tc>
          <w:tcPr>
            <w:tcW w:w="502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所在地区市容市貌清洁整齐，环境卫生显著改善，得满分；改善不明显，存在部分脏乱差情况的，扣1分；环境卫生差，未改善，不得分。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3</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widowControl/>
              <w:textAlignment w:val="center"/>
              <w:rPr>
                <w:rFonts w:hint="eastAsia"/>
                <w:color w:val="auto"/>
                <w:highlight w:val="none"/>
                <w:vertAlign w:val="baseline"/>
              </w:rPr>
            </w:pPr>
          </w:p>
        </w:tc>
        <w:tc>
          <w:tcPr>
            <w:tcW w:w="100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环境污染降低情况</w:t>
            </w:r>
          </w:p>
        </w:tc>
        <w:tc>
          <w:tcPr>
            <w:tcW w:w="502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环境污染水平显著下降，得满分；污染情况改善不明显，扣1分；无改善，不得分。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restart"/>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可持续效益</w:t>
            </w:r>
          </w:p>
        </w:tc>
        <w:tc>
          <w:tcPr>
            <w:tcW w:w="100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市民对垃圾分类知晓率</w:t>
            </w:r>
          </w:p>
        </w:tc>
        <w:tc>
          <w:tcPr>
            <w:tcW w:w="502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rPr>
              <w:t>通过各种途径的政策宣传、引导，市民对垃圾分类工作的重要性及意义完全了解，知晓率高，得满分；了解不充分或知晓率不高，扣1分；不了解或不知晓，不得分。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Merge w:val="continue"/>
            <w:vAlign w:val="center"/>
          </w:tcPr>
          <w:p>
            <w:pPr>
              <w:jc w:val="center"/>
              <w:rPr>
                <w:rFonts w:hint="eastAsia"/>
                <w:color w:val="auto"/>
                <w:highlight w:val="none"/>
                <w:vertAlign w:val="baseline"/>
              </w:rPr>
            </w:pPr>
          </w:p>
        </w:tc>
        <w:tc>
          <w:tcPr>
            <w:tcW w:w="100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市民垃圾分类意识提升率</w:t>
            </w:r>
          </w:p>
        </w:tc>
        <w:tc>
          <w:tcPr>
            <w:tcW w:w="5025" w:type="dxa"/>
            <w:vAlign w:val="center"/>
          </w:tcPr>
          <w:p>
            <w:pPr>
              <w:widowControl/>
              <w:jc w:val="left"/>
              <w:textAlignment w:val="center"/>
              <w:rPr>
                <w:rFonts w:hint="eastAsia"/>
                <w:color w:val="auto"/>
                <w:highlight w:val="none"/>
                <w:vertAlign w:val="baseline"/>
              </w:rPr>
            </w:pPr>
            <w:r>
              <w:rPr>
                <w:rFonts w:hint="eastAsia" w:ascii="仿宋" w:hAnsi="仿宋" w:eastAsia="仿宋" w:cs="仿宋"/>
                <w:color w:val="auto"/>
                <w:sz w:val="24"/>
                <w:szCs w:val="24"/>
                <w:highlight w:val="none"/>
              </w:rPr>
              <w:t>市民垃圾分类意识显著提升，自觉进行垃圾分类，得满分；分类意识提升不明显，存在未分类或分类错误情况的，扣1分；分类意识无变化，不得分。</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4</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vMerge w:val="continue"/>
            <w:vAlign w:val="center"/>
          </w:tcPr>
          <w:p>
            <w:pPr>
              <w:rPr>
                <w:rFonts w:hint="eastAsia"/>
                <w:color w:val="auto"/>
                <w:highlight w:val="none"/>
                <w:vertAlign w:val="baseline"/>
              </w:rPr>
            </w:pPr>
          </w:p>
        </w:tc>
        <w:tc>
          <w:tcPr>
            <w:tcW w:w="810" w:type="dxa"/>
            <w:vAlign w:val="center"/>
          </w:tcPr>
          <w:p>
            <w:pPr>
              <w:widowControl/>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服务对象满意度</w:t>
            </w:r>
          </w:p>
        </w:tc>
        <w:tc>
          <w:tcPr>
            <w:tcW w:w="100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市民满意度</w:t>
            </w:r>
          </w:p>
        </w:tc>
        <w:tc>
          <w:tcPr>
            <w:tcW w:w="5025" w:type="dxa"/>
            <w:vAlign w:val="center"/>
          </w:tcPr>
          <w:p>
            <w:pPr>
              <w:widowControl/>
              <w:textAlignment w:val="center"/>
              <w:rPr>
                <w:rFonts w:hint="eastAsia"/>
                <w:color w:val="auto"/>
                <w:highlight w:val="none"/>
                <w:vertAlign w:val="baseline"/>
              </w:rPr>
            </w:pPr>
            <w:r>
              <w:rPr>
                <w:rFonts w:hint="eastAsia" w:ascii="仿宋" w:hAnsi="仿宋" w:eastAsia="仿宋" w:cs="仿宋"/>
                <w:color w:val="auto"/>
                <w:sz w:val="24"/>
                <w:szCs w:val="24"/>
                <w:highlight w:val="none"/>
                <w:lang w:bidi="ar"/>
              </w:rPr>
              <w:t>满意度达到</w:t>
            </w:r>
            <w:r>
              <w:rPr>
                <w:rFonts w:hint="eastAsia" w:ascii="仿宋" w:hAnsi="仿宋" w:eastAsia="仿宋" w:cs="仿宋"/>
                <w:color w:val="auto"/>
                <w:kern w:val="0"/>
                <w:sz w:val="24"/>
                <w:szCs w:val="24"/>
                <w:highlight w:val="none"/>
                <w:lang w:bidi="ar"/>
              </w:rPr>
              <w:t>95%</w:t>
            </w:r>
            <w:r>
              <w:rPr>
                <w:rFonts w:hint="eastAsia" w:ascii="仿宋" w:hAnsi="仿宋" w:eastAsia="仿宋" w:cs="仿宋"/>
                <w:color w:val="auto"/>
                <w:sz w:val="24"/>
                <w:szCs w:val="24"/>
                <w:highlight w:val="none"/>
                <w:lang w:bidi="ar"/>
              </w:rPr>
              <w:t>以上，不扣分；每降低</w:t>
            </w:r>
            <w:r>
              <w:rPr>
                <w:rFonts w:hint="eastAsia" w:ascii="仿宋" w:hAnsi="仿宋" w:eastAsia="仿宋" w:cs="仿宋"/>
                <w:color w:val="auto"/>
                <w:kern w:val="0"/>
                <w:sz w:val="24"/>
                <w:szCs w:val="24"/>
                <w:highlight w:val="none"/>
                <w:lang w:bidi="ar"/>
              </w:rPr>
              <w:t>5%</w:t>
            </w:r>
            <w:r>
              <w:rPr>
                <w:rFonts w:hint="eastAsia" w:ascii="仿宋" w:hAnsi="仿宋" w:eastAsia="仿宋" w:cs="仿宋"/>
                <w:color w:val="auto"/>
                <w:sz w:val="24"/>
                <w:szCs w:val="24"/>
                <w:highlight w:val="none"/>
                <w:lang w:bidi="ar"/>
              </w:rPr>
              <w:t>扣</w:t>
            </w: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sz w:val="24"/>
                <w:szCs w:val="24"/>
                <w:highlight w:val="none"/>
                <w:lang w:bidi="ar"/>
              </w:rPr>
              <w:t>分，扣完为止。</w:t>
            </w:r>
          </w:p>
        </w:tc>
        <w:tc>
          <w:tcPr>
            <w:tcW w:w="765"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kern w:val="0"/>
                <w:sz w:val="24"/>
                <w:szCs w:val="24"/>
                <w:highlight w:val="none"/>
                <w:lang w:bidi="ar"/>
              </w:rPr>
              <w:t>9</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572" w:type="dxa"/>
            <w:gridSpan w:val="4"/>
            <w:vAlign w:val="center"/>
          </w:tcPr>
          <w:p>
            <w:pPr>
              <w:widowControl/>
              <w:jc w:val="center"/>
              <w:textAlignment w:val="center"/>
              <w:rPr>
                <w:rFonts w:hint="eastAsia"/>
                <w:color w:val="auto"/>
                <w:highlight w:val="none"/>
                <w:vertAlign w:val="baseline"/>
              </w:rPr>
            </w:pPr>
            <w:r>
              <w:rPr>
                <w:rFonts w:hint="eastAsia" w:ascii="仿宋" w:hAnsi="仿宋" w:eastAsia="仿宋" w:cs="仿宋"/>
                <w:b/>
                <w:bCs/>
                <w:color w:val="auto"/>
                <w:kern w:val="0"/>
                <w:sz w:val="24"/>
                <w:szCs w:val="24"/>
                <w:highlight w:val="none"/>
                <w:lang w:bidi="ar"/>
              </w:rPr>
              <w:t>合计</w:t>
            </w:r>
          </w:p>
        </w:tc>
        <w:tc>
          <w:tcPr>
            <w:tcW w:w="765" w:type="dxa"/>
            <w:vAlign w:val="center"/>
          </w:tcPr>
          <w:p>
            <w:pPr>
              <w:widowControl/>
              <w:jc w:val="center"/>
              <w:textAlignment w:val="center"/>
              <w:rPr>
                <w:rFonts w:hint="default" w:eastAsiaTheme="minorEastAsia"/>
                <w:color w:val="auto"/>
                <w:highlight w:val="none"/>
                <w:vertAlign w:val="baseline"/>
                <w:lang w:val="en-US" w:eastAsia="zh-CN"/>
              </w:rPr>
            </w:pPr>
            <w:r>
              <w:rPr>
                <w:rFonts w:hint="eastAsia" w:ascii="仿宋" w:hAnsi="仿宋" w:eastAsia="仿宋" w:cs="仿宋"/>
                <w:b/>
                <w:bCs/>
                <w:color w:val="auto"/>
                <w:kern w:val="0"/>
                <w:sz w:val="24"/>
                <w:szCs w:val="24"/>
                <w:highlight w:val="none"/>
                <w:lang w:val="en-US" w:eastAsia="zh-CN" w:bidi="ar"/>
              </w:rPr>
              <w:t>100</w:t>
            </w:r>
          </w:p>
        </w:tc>
        <w:tc>
          <w:tcPr>
            <w:tcW w:w="780" w:type="dxa"/>
            <w:vAlign w:val="center"/>
          </w:tcPr>
          <w:p>
            <w:pPr>
              <w:widowControl/>
              <w:jc w:val="center"/>
              <w:textAlignment w:val="center"/>
              <w:rPr>
                <w:rFonts w:hint="eastAsia"/>
                <w:color w:val="auto"/>
                <w:highlight w:val="none"/>
                <w:vertAlign w:val="baseline"/>
              </w:rPr>
            </w:pPr>
            <w:r>
              <w:rPr>
                <w:rFonts w:hint="eastAsia" w:ascii="仿宋" w:hAnsi="仿宋" w:eastAsia="仿宋" w:cs="仿宋"/>
                <w:b/>
                <w:bCs/>
                <w:color w:val="auto"/>
                <w:sz w:val="24"/>
                <w:szCs w:val="24"/>
                <w:highlight w:val="none"/>
                <w:lang w:val="en-US" w:eastAsia="zh-CN"/>
              </w:rPr>
              <w:t>83</w:t>
            </w:r>
          </w:p>
        </w:tc>
      </w:tr>
    </w:tbl>
    <w:p>
      <w:pPr>
        <w:pStyle w:val="3"/>
        <w:pageBreakBefore w:val="0"/>
        <w:widowControl w:val="0"/>
        <w:kinsoku/>
        <w:wordWrap/>
        <w:overflowPunct/>
        <w:topLinePunct w:val="0"/>
        <w:autoSpaceDE/>
        <w:autoSpaceDN/>
        <w:bidi w:val="0"/>
        <w:adjustRightInd/>
        <w:snapToGrid/>
        <w:spacing w:before="0" w:after="0" w:line="240" w:lineRule="auto"/>
        <w:ind w:firstLine="562" w:firstLineChars="200"/>
        <w:textAlignment w:val="auto"/>
        <w:outlineLvl w:val="9"/>
        <w:rPr>
          <w:rFonts w:hint="eastAsia" w:ascii="仿宋" w:hAnsi="仿宋" w:eastAsia="仿宋" w:cs="仿宋"/>
          <w:b/>
          <w:bCs w:val="0"/>
          <w:color w:val="auto"/>
          <w:sz w:val="28"/>
          <w:szCs w:val="28"/>
          <w:highlight w:val="none"/>
        </w:rPr>
      </w:pPr>
    </w:p>
    <w:p>
      <w:pPr>
        <w:pStyle w:val="3"/>
        <w:pageBreakBefore w:val="0"/>
        <w:widowControl w:val="0"/>
        <w:kinsoku/>
        <w:wordWrap/>
        <w:overflowPunct/>
        <w:topLinePunct w:val="0"/>
        <w:autoSpaceDE/>
        <w:autoSpaceDN/>
        <w:bidi w:val="0"/>
        <w:adjustRightInd/>
        <w:snapToGrid/>
        <w:spacing w:before="0" w:after="0" w:line="240" w:lineRule="auto"/>
        <w:ind w:firstLine="562" w:firstLineChars="200"/>
        <w:textAlignment w:val="auto"/>
        <w:rPr>
          <w:rFonts w:hint="eastAsia" w:ascii="仿宋" w:hAnsi="仿宋" w:eastAsia="仿宋" w:cs="仿宋"/>
          <w:b/>
          <w:bCs w:val="0"/>
          <w:color w:val="auto"/>
          <w:sz w:val="28"/>
          <w:szCs w:val="28"/>
          <w:highlight w:val="none"/>
        </w:rPr>
      </w:pPr>
      <w:bookmarkStart w:id="25" w:name="_Toc5979"/>
      <w:r>
        <w:rPr>
          <w:rFonts w:hint="eastAsia" w:ascii="仿宋" w:hAnsi="仿宋" w:eastAsia="仿宋" w:cs="仿宋"/>
          <w:b/>
          <w:bCs w:val="0"/>
          <w:color w:val="auto"/>
          <w:sz w:val="28"/>
          <w:szCs w:val="28"/>
          <w:highlight w:val="none"/>
        </w:rPr>
        <w:t>五、绩效评价分析</w:t>
      </w:r>
      <w:bookmarkEnd w:id="25"/>
    </w:p>
    <w:p>
      <w:pPr>
        <w:pStyle w:val="3"/>
        <w:pageBreakBefore w:val="0"/>
        <w:widowControl w:val="0"/>
        <w:kinsoku/>
        <w:wordWrap/>
        <w:overflowPunct/>
        <w:topLinePunct w:val="0"/>
        <w:autoSpaceDE/>
        <w:autoSpaceDN/>
        <w:bidi w:val="0"/>
        <w:adjustRightInd/>
        <w:snapToGrid/>
        <w:spacing w:before="0" w:after="0" w:line="240" w:lineRule="auto"/>
        <w:ind w:firstLine="560" w:firstLineChars="200"/>
        <w:textAlignment w:val="auto"/>
        <w:rPr>
          <w:rFonts w:hint="eastAsia" w:ascii="仿宋" w:hAnsi="仿宋" w:eastAsia="仿宋" w:cs="仿宋"/>
          <w:b w:val="0"/>
          <w:color w:val="auto"/>
          <w:sz w:val="28"/>
          <w:szCs w:val="28"/>
          <w:highlight w:val="none"/>
        </w:rPr>
      </w:pPr>
      <w:bookmarkStart w:id="26" w:name="_Toc28177"/>
      <w:r>
        <w:rPr>
          <w:rFonts w:hint="eastAsia" w:ascii="仿宋" w:hAnsi="仿宋" w:eastAsia="仿宋" w:cs="仿宋"/>
          <w:b w:val="0"/>
          <w:color w:val="auto"/>
          <w:sz w:val="28"/>
          <w:szCs w:val="28"/>
          <w:highlight w:val="none"/>
        </w:rPr>
        <w:t>（一）主要成效及经验</w:t>
      </w:r>
      <w:bookmarkEnd w:id="26"/>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1.管理制度健全性方面</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出台《洛江区开展垃圾分类处理工作实施方案（2018-2020年）》、《洛江区加快推进生活垃圾分类工作方案》、《2020年洛江区垃圾分类工作实施意见》、《农村生活垃圾分类实施方案》、《洛江区教育系统生活垃圾分类提升行动工作方案》、《洛江区2021年生活垃圾分类工作意见》等文件，明确工作目标、工作任务、职责分工，落实保障措施，指导垃圾分类工作有序开展。</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成立洛江区垃圾分类工作领导小组，设立领导小组办公室，并配备专门办公场所和专职人员，确保垃圾分类工作组织、人员、机制到位。</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落实日常考评督导，实行“月考评，季通报”制度，并将垃圾分类工作纳入环境卫生考评通报范围。每月对中心城区的小区开展日常考评，每季度对辖区内的小区、公共机构进行检查，督促问题整改，完善分类设施配备，加强宣传氛围。</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2.试点建设情况</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2020年规范中心城区内主次干道、背街小巷的果皮箱、垃圾桶的双分类标识，现已规范中心城区主次干道果皮箱分类标识615处，选定万安街道万福社区为试点社区，实现社区17个小区全覆盖。截止目前万安街道已规范设置改造万福、万盛社区39个小区的垃圾收集点，双阳街道已在阳山、新峰等11个社区新建15座垃圾分类亭配备四分类垃圾桶，规范引导居民自觉参与分类投放。在中心城区各社区、小区及虹山乡全域建成垃圾分类亭72座，改造分类投放点213处，累计配备分类收集容器3969个。虹山乡已建设阳光堆肥房一座，新配置240L和40L垃圾分类桶2000个，建成21个垃圾分类亭，新购置垃圾分类环卫车辆2部、高压清洗车辆1部。</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3.宣传工作方面</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采取多种宣传形式加大宣传教育力度，提高市民知晓率和参与度：通过举办以“垃圾分类 绿色同行 文明生活 齐袋回家”为主题的垃圾分类系列公益活动启动仪式，动员社会各界人士参与其中。制作大型垃圾分类宣传广告牌设置于重要交通路段，在中心城区部分小区、公共机构电梯显示屏上投放垃圾分类宣传视频，在学校、商场等公共场所电子显示屏滚动播放垃圾分类宣传标语，目前已设置宣传栏68处，LED宣传屏44个。举办多场垃圾分类进社区、进小区宣传活动，通过互动小游戏、有奖知识问答等形式提高居民参与度、知晓率。积极参与各单位（比如：世界环境日、世界人口日、创卫创城等）不同形式的志愿者活动，多方位普及宣传垃圾分类。深入推进垃圾分类进校园，在辖区内中小学开展知识普及、手抄报与主题板报评选、垃圾分类种子计划、垃圾分类宣传员职业体验、垃圾分类讲座等活动。印发上万份垃圾分类宣传图册、折页、倡议书，到社区、店铺、家中上门分发、入户宣传。</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4.收运体系完善方面</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万安街道建设可回收物、大件、园林垃圾收集点，双阳街道建设大件、园林、有害垃圾收集点，配套35万元垃圾分类工作经费，并分别配备专门运输车辆，委托第三方企业负责收运。购置2辆餐厨垃圾运输车配备收集桶等设施，委托第三方企业做好中心城区单位食堂、餐馆厨余垃圾的日常应急接收、转运和无害化处理。全区生活垃圾分类的运输车辆均已完成规范配置。</w:t>
      </w:r>
    </w:p>
    <w:p>
      <w:pPr>
        <w:pStyle w:val="3"/>
        <w:pageBreakBefore w:val="0"/>
        <w:widowControl w:val="0"/>
        <w:kinsoku/>
        <w:wordWrap/>
        <w:overflowPunct/>
        <w:topLinePunct w:val="0"/>
        <w:autoSpaceDE/>
        <w:autoSpaceDN/>
        <w:bidi w:val="0"/>
        <w:adjustRightInd/>
        <w:snapToGrid/>
        <w:spacing w:before="0" w:after="0" w:line="240" w:lineRule="auto"/>
        <w:ind w:left="0" w:leftChars="0" w:firstLine="560" w:firstLineChars="200"/>
        <w:textAlignment w:val="auto"/>
        <w:rPr>
          <w:rFonts w:hint="eastAsia" w:ascii="仿宋" w:hAnsi="仿宋" w:eastAsia="仿宋" w:cs="仿宋"/>
          <w:b w:val="0"/>
          <w:color w:val="auto"/>
          <w:sz w:val="28"/>
          <w:szCs w:val="28"/>
          <w:highlight w:val="none"/>
        </w:rPr>
      </w:pPr>
      <w:bookmarkStart w:id="27" w:name="_Toc21099"/>
      <w:r>
        <w:rPr>
          <w:rFonts w:hint="eastAsia" w:ascii="仿宋" w:hAnsi="仿宋" w:eastAsia="仿宋" w:cs="仿宋"/>
          <w:b w:val="0"/>
          <w:color w:val="auto"/>
          <w:sz w:val="28"/>
          <w:szCs w:val="28"/>
          <w:highlight w:val="none"/>
        </w:rPr>
        <w:t>（二）评价指标得分情况分析</w:t>
      </w:r>
      <w:bookmarkEnd w:id="27"/>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1.不扣分评价指标情况描述</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（1）项目立项方面，</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城管局垃圾分类严格按照泉州市人民政府及</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人民政府相关工作要求开展立项工作，立项文件齐全，符合相关政策及发展规划，项目设立按规定程序申请、审批，符合相关要求，</w:t>
      </w:r>
      <w:r>
        <w:rPr>
          <w:rFonts w:hint="eastAsia" w:ascii="仿宋" w:hAnsi="仿宋" w:eastAsia="仿宋" w:cs="仿宋"/>
          <w:color w:val="auto"/>
          <w:sz w:val="28"/>
          <w:szCs w:val="28"/>
          <w:highlight w:val="none"/>
          <w:lang w:val="en-US" w:eastAsia="zh-CN"/>
        </w:rPr>
        <w:t>不予</w:t>
      </w:r>
      <w:r>
        <w:rPr>
          <w:rFonts w:hint="eastAsia" w:ascii="仿宋" w:hAnsi="仿宋" w:eastAsia="仿宋" w:cs="仿宋"/>
          <w:color w:val="auto"/>
          <w:sz w:val="28"/>
          <w:szCs w:val="28"/>
          <w:highlight w:val="none"/>
        </w:rPr>
        <w:t>扣分；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（2）资金管理方面，预算资金338万，实际下达338万，实际下拨款项323万元，资金到位率100%，预算执行率95.6%，资金按照既定用途使用，不存在违规、超范围支出，</w:t>
      </w:r>
      <w:r>
        <w:rPr>
          <w:rFonts w:hint="eastAsia" w:ascii="仿宋" w:hAnsi="仿宋" w:eastAsia="仿宋" w:cs="仿宋"/>
          <w:color w:val="auto"/>
          <w:sz w:val="28"/>
          <w:szCs w:val="28"/>
          <w:highlight w:val="none"/>
          <w:lang w:val="en-US" w:eastAsia="zh-CN"/>
        </w:rPr>
        <w:t>不予</w:t>
      </w:r>
      <w:r>
        <w:rPr>
          <w:rFonts w:hint="eastAsia" w:ascii="仿宋" w:hAnsi="仿宋" w:eastAsia="仿宋" w:cs="仿宋"/>
          <w:color w:val="auto"/>
          <w:sz w:val="28"/>
          <w:szCs w:val="28"/>
          <w:highlight w:val="none"/>
        </w:rPr>
        <w:t>扣分；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产出数量方面，生活垃圾分类示范片区建设标准1个，为万安街道片区，示范点建设标准为3个，为双阳街道办事处、中小学校及区政府大院，截止2020年末也已全部建设完成；城管局采取公益活动、广告牌、电子显示屏、有奖竞答以及入户宣传等多种形式，开展垃圾分类宣传工作，</w:t>
      </w:r>
      <w:r>
        <w:rPr>
          <w:rFonts w:hint="eastAsia" w:ascii="仿宋" w:hAnsi="仿宋" w:eastAsia="仿宋" w:cs="仿宋"/>
          <w:color w:val="auto"/>
          <w:sz w:val="28"/>
          <w:szCs w:val="28"/>
          <w:highlight w:val="none"/>
          <w:lang w:val="en-US" w:eastAsia="zh-CN"/>
        </w:rPr>
        <w:t>不予</w:t>
      </w:r>
      <w:r>
        <w:rPr>
          <w:rFonts w:hint="eastAsia" w:ascii="仿宋" w:hAnsi="仿宋" w:eastAsia="仿宋" w:cs="仿宋"/>
          <w:color w:val="auto"/>
          <w:sz w:val="28"/>
          <w:szCs w:val="28"/>
          <w:highlight w:val="none"/>
        </w:rPr>
        <w:t>扣分；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（4）垃圾分类覆盖率方面，实现了万安街道，全区公共机构垃圾分类全覆盖的绩效目标，</w:t>
      </w:r>
      <w:r>
        <w:rPr>
          <w:rFonts w:hint="eastAsia" w:ascii="仿宋" w:hAnsi="仿宋" w:eastAsia="仿宋" w:cs="仿宋"/>
          <w:color w:val="auto"/>
          <w:sz w:val="28"/>
          <w:szCs w:val="28"/>
          <w:highlight w:val="none"/>
          <w:lang w:val="en-US" w:eastAsia="zh-CN"/>
        </w:rPr>
        <w:t>不予</w:t>
      </w:r>
      <w:r>
        <w:rPr>
          <w:rFonts w:hint="eastAsia" w:ascii="仿宋" w:hAnsi="仿宋" w:eastAsia="仿宋" w:cs="仿宋"/>
          <w:color w:val="auto"/>
          <w:sz w:val="28"/>
          <w:szCs w:val="28"/>
          <w:highlight w:val="none"/>
        </w:rPr>
        <w:t>扣分；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（5）分类垃圾处理及时性方面，根据</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城管局2020年垃圾分类专项满意度调查问卷显示，回收的293份问卷中230人选择是早上，6人选择中午，24人选择晚上，33人回答不清楚时间，垃圾处理总体比较及时，</w:t>
      </w:r>
      <w:r>
        <w:rPr>
          <w:rFonts w:hint="eastAsia" w:ascii="仿宋" w:hAnsi="仿宋" w:eastAsia="仿宋" w:cs="仿宋"/>
          <w:color w:val="auto"/>
          <w:sz w:val="28"/>
          <w:szCs w:val="28"/>
          <w:highlight w:val="none"/>
          <w:lang w:val="en-US" w:eastAsia="zh-CN"/>
        </w:rPr>
        <w:t>不予</w:t>
      </w:r>
      <w:r>
        <w:rPr>
          <w:rFonts w:hint="eastAsia" w:ascii="仿宋" w:hAnsi="仿宋" w:eastAsia="仿宋" w:cs="仿宋"/>
          <w:color w:val="auto"/>
          <w:sz w:val="28"/>
          <w:szCs w:val="28"/>
          <w:highlight w:val="none"/>
        </w:rPr>
        <w:t>扣分；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（6）生活垃圾无害化处理率方面，根据2019年、2020年泉州市洛江区国民经济和社会发展统计公报显示，生活垃圾无害化处理率维持100%，</w:t>
      </w:r>
      <w:r>
        <w:rPr>
          <w:rFonts w:hint="eastAsia" w:ascii="仿宋" w:hAnsi="仿宋" w:eastAsia="仿宋" w:cs="仿宋"/>
          <w:color w:val="auto"/>
          <w:sz w:val="28"/>
          <w:szCs w:val="28"/>
          <w:highlight w:val="none"/>
          <w:lang w:val="en-US" w:eastAsia="zh-CN"/>
        </w:rPr>
        <w:t>不予</w:t>
      </w:r>
      <w:r>
        <w:rPr>
          <w:rFonts w:hint="eastAsia" w:ascii="仿宋" w:hAnsi="仿宋" w:eastAsia="仿宋" w:cs="仿宋"/>
          <w:color w:val="auto"/>
          <w:sz w:val="28"/>
          <w:szCs w:val="28"/>
          <w:highlight w:val="none"/>
        </w:rPr>
        <w:t>扣分；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（7）居住环境方面，根据</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城管局2020年垃圾分类专项满意度调查问卷显示，在居住环境改善上，回收的293份问卷中145人认为居住环境显著改善，136人认为有改善，12人认为无改善或没感觉，居住环境改善显著，</w:t>
      </w:r>
      <w:r>
        <w:rPr>
          <w:rFonts w:hint="eastAsia" w:ascii="仿宋" w:hAnsi="仿宋" w:eastAsia="仿宋" w:cs="仿宋"/>
          <w:color w:val="auto"/>
          <w:sz w:val="28"/>
          <w:szCs w:val="28"/>
          <w:highlight w:val="none"/>
          <w:lang w:val="en-US" w:eastAsia="zh-CN"/>
        </w:rPr>
        <w:t>不予</w:t>
      </w:r>
      <w:r>
        <w:rPr>
          <w:rFonts w:hint="eastAsia" w:ascii="仿宋" w:hAnsi="仿宋" w:eastAsia="仿宋" w:cs="仿宋"/>
          <w:color w:val="auto"/>
          <w:sz w:val="28"/>
          <w:szCs w:val="28"/>
          <w:highlight w:val="none"/>
        </w:rPr>
        <w:t>扣分；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2.主要扣分事项及原因分析</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共性指标分值40分，扣5分，评价得分35分；个性指标分值60分，扣12分，评价得分48分。总评得分83分，扣分17人，主要扣分事项如下： </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（1）绩效目标管理方面，绩效目标部分指标未量化，未反映出目标任务数和计划数，未能涵盖项目应完成的产出和效益任务，不满足明确性要求，扣1分。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资金预算编制科学性与分配合理性方面，除区政府大院、万安街道吉源小区、双阳街道办事处根据合同预算外，学校预算为参照市里补助标准测算，其他几个收集点是依据人员工资大概测算，预算编制未经过科学论证，测算依据不充分，扣1分。资金分配按照资金预算执行，资金预算编制存在的科学性及充分性问题，导致在资金分配不合理，扣1分。合计扣2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（3）管理制度健全性方面。未制定针对垃圾分类专项资金的使用与管理制度，扣1分。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在制度执行有效性方面，从泉州市洛江区城市管理考评中心提供的6月—11月通报的卫生考评结果来看（泉洛城考函〔2020〕14号—泉洛城考函〔2020〕22号），对比分析铭基新天地及隆恩尚城两小区七月通报信息及十一月份信息可以看出，垃圾分类工作考评披露的问题未得到及时整改，其他小区暂无对比信息，在项目实施过程中，存在监管不到位的问题，扣1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（5）在垃圾分类配套设施数量方面，垃圾分类配套设施建设标准参照《泉州市生活垃圾分类设施设备配置及作业规范（试行）》（泉分类办[2019]25号），但无具体的配套标准数量信息，扣1分。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在垃圾分类准确率方面，从泉州市洛江区城市管理考评中心提供的6-11月份通报的卫生考评结果来看（泉洛城考函〔2020〕14号—泉洛城考函〔2020〕22号），检查涉及的所有小区垃圾分类投放准确率低下，无量化数据信息，基于准确率要求不低于70%的要求，酌情扣2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在考评问题整改及时性方面，从泉州市洛江区城市管理考评中心按月通报的卫生考评结果来看（泉洛城考函〔2020〕14号—泉洛城考函〔2020〕22号），对比分析铭基新天地及隆恩尚城两小区七月通报信息及十一月份信息可以看出，垃圾分类工作考评披露的问题未得到及时整改，相关整改图片资料仅能提供已整改说明，无法体现问题整改的及时性，扣1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在生活垃圾回收利用率方面，根据提供的相关数据资料显示，洛江区生活垃圾收运总量约为510.584吨，可回收物垃圾收运总量约为8479.25吨，其他垃圾收运总量约为27322.5吨，“四类”垃圾收运总量合计为36312.334吨，垃圾回收利用率约为24.8%，按标准计算得分为4分，扣2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（9）在垃圾分类考评覆盖率方面，</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城市管理局于2020年6月至12月对生活垃圾分类情况进行了考核，考核月份数占比41.7%，考评覆盖率未达到90%的标准值，虽受到疫情影响，但并未采取任何突发情况应急处理措施，酌情扣1分。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在环境污染降低情况方面，根据2019年、2020年泉州市洛江区国民经济和社会发展统计公报显示，全年空气质量优良天数比例由94.4%上升至96.8%，两年水质总体而言均达标，但北渠洛江段杏宅水闸市控监测断面因受上游来水水质影响，水质未能达到二类，无其他环境污染降低情况佐证材料，酌情扣1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（11）在市民垃圾分类意识提升率方面，根据</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城管局发放并回收的垃圾分类满意度调查问卷结果显示，大部分市民已形成自觉进行垃圾分类意识，但仍然存在未进行垃圾分类的情况，此部分人数占比高达27.65%，扣1分。</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（12）在市民满意度方面，根据2020年泉州市洛江区国民经济和社会发展统计公报显示，市民对环境的满意度为91.7%；根据</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城管局发放并回收的293份垃圾分类满意度调查问卷结果显示，经过分值折算，市民满意度平均分值约为70.5分，未达到95%及以上要求，综合比较信息，扣3分。</w:t>
      </w:r>
    </w:p>
    <w:p>
      <w:pPr>
        <w:pStyle w:val="3"/>
        <w:pageBreakBefore w:val="0"/>
        <w:widowControl w:val="0"/>
        <w:kinsoku/>
        <w:wordWrap/>
        <w:overflowPunct/>
        <w:topLinePunct w:val="0"/>
        <w:autoSpaceDE/>
        <w:autoSpaceDN/>
        <w:bidi w:val="0"/>
        <w:adjustRightInd/>
        <w:snapToGrid/>
        <w:spacing w:before="0" w:after="0" w:line="240" w:lineRule="auto"/>
        <w:ind w:left="0" w:leftChars="0" w:firstLine="560" w:firstLineChars="200"/>
        <w:textAlignment w:val="auto"/>
        <w:rPr>
          <w:rFonts w:hint="eastAsia" w:ascii="仿宋" w:hAnsi="仿宋" w:eastAsia="仿宋" w:cs="仿宋"/>
          <w:b w:val="0"/>
          <w:color w:val="auto"/>
          <w:sz w:val="28"/>
          <w:szCs w:val="28"/>
          <w:highlight w:val="none"/>
        </w:rPr>
      </w:pPr>
      <w:bookmarkStart w:id="28" w:name="_Toc28187"/>
      <w:r>
        <w:rPr>
          <w:rFonts w:hint="eastAsia" w:ascii="仿宋" w:hAnsi="仿宋" w:eastAsia="仿宋" w:cs="仿宋"/>
          <w:b w:val="0"/>
          <w:color w:val="auto"/>
          <w:sz w:val="28"/>
          <w:szCs w:val="28"/>
          <w:highlight w:val="none"/>
        </w:rPr>
        <w:t>（二）评价结论</w:t>
      </w:r>
      <w:bookmarkEnd w:id="28"/>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2020年度</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垃圾分类专项资金支出绩效评价从项目决策、过程、产出、效果四个方面进行评价，得分83分，总体评价等级为“良”。从评价结果来看，2020年度垃圾分类专项涉及的各项工作均得到了有效落实，在垃圾分类配套设施配置上、宣传工作等方面取得了一定成绩，但仍存在以下问题：</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 绩效目标管理环节薄弱。作为主要负责项目具体实施工作的单位，</w:t>
      </w:r>
      <w:r>
        <w:rPr>
          <w:rFonts w:hint="eastAsia" w:ascii="仿宋" w:hAnsi="仿宋" w:eastAsia="仿宋" w:cs="仿宋"/>
          <w:color w:val="auto"/>
          <w:sz w:val="28"/>
          <w:szCs w:val="28"/>
          <w:highlight w:val="none"/>
          <w:lang w:eastAsia="zh-CN"/>
        </w:rPr>
        <w:t>泉州市洛江区</w:t>
      </w:r>
      <w:r>
        <w:rPr>
          <w:rFonts w:hint="eastAsia" w:ascii="仿宋" w:hAnsi="仿宋" w:eastAsia="仿宋" w:cs="仿宋"/>
          <w:color w:val="auto"/>
          <w:sz w:val="28"/>
          <w:szCs w:val="28"/>
          <w:highlight w:val="none"/>
        </w:rPr>
        <w:t>城管局在垃圾分类工作开展过程中，绩效目标部分指标未量化，未反映出目标任务数和计划数，未能涵盖项目应有产出和效益任务；预算编制未经过科学论证，测算依据不充分，导致在资金分配上存在不合理问题；对专项资金的使用仅关注合规性，对资金投入所需达到的产出和效益关注不足。绩效评价小组在评价过程中，通过对相关工作人员及负责人的调研，发现相关人员对财政资金使用应有的效益认识不足，无法对财政资金使用的预期效益进行有效规划、设定及有效追踪，绩效目标管理的意识和能力均需要加强。</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 专项资金管理制度不健全，资金使用管理制度化意识不强。2020年度，垃圾分类专项资金在支出使用时，均经过部门相关领导的审批，确保了资金使用合规性，但项目实施单位未能建立专项资金使用和管理的资金管理制度，未能将专项资金的使用管理制度化。</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 垃圾分类宣传与指导工作存在不足。城管局虽采取多样形式开展垃圾分类专项宣传工作，使垃圾分类深入人心，但从调查结果可以看出，市民垃圾分类意识仍未有效建立，对垃圾分类工作的满意度较低，仍有提升和改进的空间。</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4.监管工作</w:t>
      </w:r>
      <w:r>
        <w:rPr>
          <w:rFonts w:hint="eastAsia" w:ascii="仿宋" w:hAnsi="仿宋" w:eastAsia="仿宋" w:cs="仿宋"/>
          <w:color w:val="auto"/>
          <w:sz w:val="28"/>
          <w:szCs w:val="28"/>
          <w:highlight w:val="none"/>
          <w:lang w:val="en-US" w:eastAsia="zh-CN"/>
        </w:rPr>
        <w:t>有待加强</w:t>
      </w:r>
      <w:r>
        <w:rPr>
          <w:rFonts w:hint="eastAsia" w:ascii="仿宋" w:hAnsi="仿宋" w:eastAsia="仿宋" w:cs="仿宋"/>
          <w:color w:val="auto"/>
          <w:sz w:val="28"/>
          <w:szCs w:val="28"/>
          <w:highlight w:val="none"/>
        </w:rPr>
        <w:t>。根据泉州市洛江区城市管理考评中心卫生考评结果显示，在垃圾分类工作考评过程中，发现存在未配备督导员、相关标志设置不健全、分类准确率低下等问题，且部分小区对发现的问题整改不及时，相关部门对垃圾分类工作负有监管不到位的责任。</w:t>
      </w:r>
    </w:p>
    <w:p>
      <w:pPr>
        <w:pStyle w:val="3"/>
        <w:pageBreakBefore w:val="0"/>
        <w:widowControl w:val="0"/>
        <w:kinsoku/>
        <w:wordWrap/>
        <w:overflowPunct/>
        <w:topLinePunct w:val="0"/>
        <w:autoSpaceDE/>
        <w:autoSpaceDN/>
        <w:bidi w:val="0"/>
        <w:adjustRightInd/>
        <w:snapToGrid/>
        <w:spacing w:before="0" w:after="0" w:line="240" w:lineRule="auto"/>
        <w:ind w:left="0" w:leftChars="0" w:firstLine="562" w:firstLineChars="200"/>
        <w:textAlignment w:val="auto"/>
        <w:rPr>
          <w:rFonts w:hint="eastAsia" w:ascii="仿宋" w:hAnsi="仿宋" w:eastAsia="仿宋" w:cs="仿宋"/>
          <w:b/>
          <w:bCs w:val="0"/>
          <w:color w:val="auto"/>
          <w:sz w:val="28"/>
          <w:szCs w:val="28"/>
          <w:highlight w:val="none"/>
        </w:rPr>
      </w:pPr>
      <w:bookmarkStart w:id="29" w:name="_Toc31293"/>
      <w:r>
        <w:rPr>
          <w:rFonts w:hint="eastAsia" w:ascii="仿宋" w:hAnsi="仿宋" w:eastAsia="仿宋" w:cs="仿宋"/>
          <w:b/>
          <w:bCs w:val="0"/>
          <w:color w:val="auto"/>
          <w:sz w:val="28"/>
          <w:szCs w:val="28"/>
          <w:highlight w:val="none"/>
        </w:rPr>
        <w:t>六、意见建议</w:t>
      </w:r>
      <w:bookmarkEnd w:id="29"/>
    </w:p>
    <w:p>
      <w:pPr>
        <w:pStyle w:val="3"/>
        <w:pageBreakBefore w:val="0"/>
        <w:widowControl w:val="0"/>
        <w:kinsoku/>
        <w:wordWrap/>
        <w:overflowPunct/>
        <w:topLinePunct w:val="0"/>
        <w:autoSpaceDE/>
        <w:autoSpaceDN/>
        <w:bidi w:val="0"/>
        <w:adjustRightInd/>
        <w:snapToGrid/>
        <w:spacing w:before="0" w:after="0" w:line="240" w:lineRule="auto"/>
        <w:ind w:left="0" w:leftChars="0" w:firstLine="560" w:firstLineChars="200"/>
        <w:textAlignment w:val="auto"/>
        <w:outlineLvl w:val="1"/>
        <w:rPr>
          <w:rFonts w:hint="eastAsia" w:ascii="仿宋" w:hAnsi="仿宋" w:eastAsia="仿宋" w:cs="仿宋"/>
          <w:b w:val="0"/>
          <w:color w:val="auto"/>
          <w:sz w:val="28"/>
          <w:szCs w:val="28"/>
          <w:highlight w:val="none"/>
        </w:rPr>
      </w:pPr>
      <w:bookmarkStart w:id="30" w:name="_Toc19445"/>
      <w:r>
        <w:rPr>
          <w:rFonts w:hint="eastAsia" w:ascii="仿宋" w:hAnsi="仿宋" w:eastAsia="仿宋" w:cs="仿宋"/>
          <w:b w:val="0"/>
          <w:color w:val="auto"/>
          <w:sz w:val="28"/>
          <w:szCs w:val="28"/>
          <w:highlight w:val="none"/>
        </w:rPr>
        <w:t>（一）加强绩效目标管理意识和能力</w:t>
      </w:r>
      <w:bookmarkEnd w:id="30"/>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项目实施单位及相关人员，加强专项资金绩效目标管理相关政策的宣传和培训，使工作人员理解绩效目标管理的意义和作用，专项资金使用过程中不仅关注工作过程和合规性，更要关注产出和效益，提高绩效目标管理的意识和能力。</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建立专项资金绩效目标管理的监督约束机制。加大对专项资金绩效目标管理的全过程监督力度，建立以产出和效益为导向专项资金绩效目标管理激励制度，引导项目实施单位和工作人员不断加强专项资金绩效目标管理工作水平，提升财政资金使用效率和效益。</w:t>
      </w:r>
    </w:p>
    <w:p>
      <w:pPr>
        <w:pStyle w:val="3"/>
        <w:pageBreakBefore w:val="0"/>
        <w:widowControl w:val="0"/>
        <w:kinsoku/>
        <w:wordWrap/>
        <w:overflowPunct/>
        <w:topLinePunct w:val="0"/>
        <w:autoSpaceDE/>
        <w:autoSpaceDN/>
        <w:bidi w:val="0"/>
        <w:adjustRightInd/>
        <w:snapToGrid/>
        <w:spacing w:before="0" w:after="0" w:line="240" w:lineRule="auto"/>
        <w:ind w:left="0" w:leftChars="0" w:firstLine="560" w:firstLineChars="200"/>
        <w:textAlignment w:val="auto"/>
        <w:outlineLvl w:val="1"/>
        <w:rPr>
          <w:rFonts w:hint="eastAsia" w:ascii="仿宋" w:hAnsi="仿宋" w:eastAsia="仿宋" w:cs="仿宋"/>
          <w:b w:val="0"/>
          <w:color w:val="auto"/>
          <w:sz w:val="28"/>
          <w:szCs w:val="28"/>
          <w:highlight w:val="none"/>
        </w:rPr>
      </w:pPr>
      <w:bookmarkStart w:id="31" w:name="_Toc31080"/>
      <w:r>
        <w:rPr>
          <w:rFonts w:hint="eastAsia" w:ascii="仿宋" w:hAnsi="仿宋" w:eastAsia="仿宋" w:cs="仿宋"/>
          <w:b w:val="0"/>
          <w:color w:val="auto"/>
          <w:sz w:val="28"/>
          <w:szCs w:val="28"/>
          <w:highlight w:val="none"/>
        </w:rPr>
        <w:t>（二）提高专项资金制度化管理水平</w:t>
      </w:r>
      <w:bookmarkEnd w:id="31"/>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督促项目实施单位尽快制定专项资金使用和管理制度，严格落实和执行，并根据实际情况实时做出调整，提高专项资金制度化管理水平。</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项目实施单位主要负责人员和财务人员，加强资金制度化管理宣传培训，提高制度化管理意识和能力。探索建立专项资金制度化管理的长效机制，将专项资金制度化管理纳入单位考核范围，逐步让专项资金制度化管理成为“新常态”。</w:t>
      </w:r>
    </w:p>
    <w:p>
      <w:pPr>
        <w:pStyle w:val="3"/>
        <w:pageBreakBefore w:val="0"/>
        <w:widowControl w:val="0"/>
        <w:kinsoku/>
        <w:wordWrap/>
        <w:overflowPunct/>
        <w:topLinePunct w:val="0"/>
        <w:autoSpaceDE/>
        <w:autoSpaceDN/>
        <w:bidi w:val="0"/>
        <w:adjustRightInd/>
        <w:snapToGrid/>
        <w:spacing w:before="0" w:after="0" w:line="240" w:lineRule="auto"/>
        <w:ind w:left="0" w:leftChars="0" w:firstLine="560" w:firstLineChars="200"/>
        <w:textAlignment w:val="auto"/>
        <w:outlineLvl w:val="1"/>
        <w:rPr>
          <w:rFonts w:hint="eastAsia" w:ascii="仿宋" w:hAnsi="仿宋" w:eastAsia="仿宋" w:cs="仿宋"/>
          <w:b w:val="0"/>
          <w:color w:val="auto"/>
          <w:sz w:val="28"/>
          <w:szCs w:val="28"/>
          <w:highlight w:val="none"/>
        </w:rPr>
      </w:pPr>
      <w:bookmarkStart w:id="32" w:name="_Toc14960"/>
      <w:r>
        <w:rPr>
          <w:rFonts w:hint="eastAsia" w:ascii="仿宋" w:hAnsi="仿宋" w:eastAsia="仿宋" w:cs="仿宋"/>
          <w:b w:val="0"/>
          <w:color w:val="auto"/>
          <w:sz w:val="28"/>
          <w:szCs w:val="28"/>
          <w:highlight w:val="none"/>
        </w:rPr>
        <w:t>（三）加强宣传与指导工作</w:t>
      </w:r>
      <w:bookmarkEnd w:id="32"/>
      <w:r>
        <w:rPr>
          <w:rFonts w:hint="eastAsia" w:ascii="仿宋" w:hAnsi="仿宋" w:eastAsia="仿宋" w:cs="仿宋"/>
          <w:b w:val="0"/>
          <w:color w:val="auto"/>
          <w:sz w:val="28"/>
          <w:szCs w:val="28"/>
          <w:highlight w:val="none"/>
        </w:rPr>
        <w:t xml:space="preserve"> </w:t>
      </w:r>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方面，进一步加大宣传力度，借助媒体力量，组织志愿者队伍，通过入户宣传、发放宣传手册、开展宣讲团、举办“主题日”活动等多形式、多渠道，抓好垃圾分类相关知识的宣传，普及垃圾分类工作的重要性，提高市民垃圾分类的知晓率，提升市民垃圾分类的意识；另一方面，应重视垃圾分类专项工作的指导与培训，积极创造有利条件实现“手把手”式的教会市民如何进行垃圾分类，积极引导干部、群众共同参与生活垃圾源头减量和分类预处理，增强市民垃圾分类的自觉性。</w:t>
      </w:r>
    </w:p>
    <w:p>
      <w:pPr>
        <w:pStyle w:val="3"/>
        <w:pageBreakBefore w:val="0"/>
        <w:widowControl w:val="0"/>
        <w:kinsoku/>
        <w:wordWrap/>
        <w:overflowPunct/>
        <w:topLinePunct w:val="0"/>
        <w:autoSpaceDE/>
        <w:autoSpaceDN/>
        <w:bidi w:val="0"/>
        <w:adjustRightInd/>
        <w:snapToGrid/>
        <w:spacing w:before="0" w:after="0" w:line="240" w:lineRule="auto"/>
        <w:ind w:left="0" w:leftChars="0" w:firstLine="560" w:firstLineChars="200"/>
        <w:textAlignment w:val="auto"/>
        <w:outlineLvl w:val="1"/>
        <w:rPr>
          <w:rFonts w:hint="eastAsia" w:ascii="仿宋" w:hAnsi="仿宋" w:eastAsia="仿宋" w:cs="仿宋"/>
          <w:b w:val="0"/>
          <w:color w:val="auto"/>
          <w:sz w:val="28"/>
          <w:szCs w:val="28"/>
          <w:highlight w:val="none"/>
        </w:rPr>
      </w:pPr>
      <w:bookmarkStart w:id="33" w:name="_Toc18342"/>
      <w:r>
        <w:rPr>
          <w:rFonts w:hint="eastAsia" w:ascii="仿宋" w:hAnsi="仿宋" w:eastAsia="仿宋" w:cs="仿宋"/>
          <w:b w:val="0"/>
          <w:color w:val="auto"/>
          <w:sz w:val="28"/>
          <w:szCs w:val="28"/>
          <w:highlight w:val="none"/>
        </w:rPr>
        <w:t>（四）加强对社区垃圾分类工作的监控力度</w:t>
      </w:r>
      <w:bookmarkEnd w:id="33"/>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充分发挥垃圾分类专项督导员的作用，定期或不定期开展巡查工作，保障监控到位，加强对社区居民垃圾分类实施情况的追踪与监控力度，及时督促并引导居民自觉实施垃圾分类处理，并提供实时指导服务，逐步实现市民垃圾分类成习惯，成自觉行为。</w:t>
      </w:r>
    </w:p>
    <w:p>
      <w:pPr>
        <w:pageBreakBefore w:val="0"/>
        <w:widowControl w:val="0"/>
        <w:kinsoku/>
        <w:wordWrap/>
        <w:overflowPunct/>
        <w:topLinePunct w:val="0"/>
        <w:autoSpaceDE/>
        <w:autoSpaceDN/>
        <w:bidi w:val="0"/>
        <w:adjustRightInd/>
        <w:snapToGrid/>
        <w:spacing w:line="240" w:lineRule="auto"/>
        <w:ind w:left="0" w:leftChars="0" w:firstLine="562" w:firstLineChars="200"/>
        <w:textAlignment w:val="auto"/>
        <w:outlineLvl w:val="0"/>
        <w:rPr>
          <w:rFonts w:hint="eastAsia" w:ascii="仿宋" w:hAnsi="仿宋" w:eastAsia="仿宋" w:cs="仿宋"/>
          <w:b/>
          <w:bCs/>
          <w:color w:val="auto"/>
          <w:sz w:val="28"/>
          <w:szCs w:val="28"/>
          <w:highlight w:val="none"/>
        </w:rPr>
      </w:pPr>
      <w:bookmarkStart w:id="34" w:name="_Toc18237"/>
      <w:bookmarkStart w:id="35" w:name="_Toc15429"/>
      <w:bookmarkStart w:id="36" w:name="_Toc10206"/>
      <w:bookmarkStart w:id="37" w:name="_Toc3011"/>
      <w:bookmarkStart w:id="38" w:name="_Toc17399"/>
      <w:bookmarkStart w:id="39" w:name="_Toc27077"/>
      <w:bookmarkStart w:id="40" w:name="_Toc32454"/>
      <w:bookmarkStart w:id="41" w:name="_Toc6286"/>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rPr>
        <w:t>、其他需说明的事项</w:t>
      </w:r>
      <w:bookmarkEnd w:id="34"/>
      <w:bookmarkEnd w:id="35"/>
      <w:bookmarkEnd w:id="36"/>
      <w:bookmarkEnd w:id="37"/>
      <w:bookmarkEnd w:id="38"/>
      <w:bookmarkEnd w:id="39"/>
      <w:bookmarkEnd w:id="40"/>
      <w:bookmarkEnd w:id="41"/>
    </w:p>
    <w:p>
      <w:pPr>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1.本绩效评价报告</w:t>
      </w:r>
      <w:r>
        <w:rPr>
          <w:rFonts w:hint="eastAsia" w:ascii="仿宋" w:hAnsi="仿宋" w:eastAsia="仿宋" w:cs="仿宋"/>
          <w:color w:val="auto"/>
          <w:sz w:val="28"/>
          <w:szCs w:val="28"/>
          <w:highlight w:val="none"/>
          <w:lang w:eastAsia="zh-CN"/>
        </w:rPr>
        <w:t>在</w:t>
      </w:r>
      <w:r>
        <w:rPr>
          <w:rFonts w:hint="eastAsia" w:ascii="仿宋" w:hAnsi="仿宋" w:eastAsia="仿宋" w:cs="仿宋"/>
          <w:color w:val="auto"/>
          <w:sz w:val="28"/>
          <w:szCs w:val="28"/>
          <w:highlight w:val="none"/>
        </w:rPr>
        <w:t>泉州市洛江区</w:t>
      </w:r>
      <w:r>
        <w:rPr>
          <w:rFonts w:hint="eastAsia" w:ascii="仿宋" w:hAnsi="仿宋" w:eastAsia="仿宋" w:cs="仿宋"/>
          <w:color w:val="auto"/>
          <w:sz w:val="28"/>
          <w:szCs w:val="28"/>
          <w:highlight w:val="none"/>
          <w:lang w:val="en-US" w:eastAsia="zh-CN"/>
        </w:rPr>
        <w:t>财政局、</w:t>
      </w:r>
      <w:r>
        <w:rPr>
          <w:rFonts w:hint="eastAsia" w:ascii="仿宋" w:hAnsi="仿宋" w:eastAsia="仿宋" w:cs="仿宋"/>
          <w:color w:val="auto"/>
          <w:sz w:val="28"/>
          <w:szCs w:val="28"/>
          <w:highlight w:val="none"/>
          <w:lang w:eastAsia="zh-CN"/>
        </w:rPr>
        <w:t>泉州市洛江区城市管理局</w:t>
      </w:r>
      <w:r>
        <w:rPr>
          <w:rFonts w:hint="eastAsia" w:ascii="仿宋" w:hAnsi="仿宋" w:eastAsia="仿宋" w:cs="仿宋"/>
          <w:color w:val="auto"/>
          <w:kern w:val="0"/>
          <w:sz w:val="28"/>
          <w:szCs w:val="28"/>
          <w:highlight w:val="none"/>
          <w:lang w:val="en-US" w:eastAsia="zh-CN"/>
        </w:rPr>
        <w:t>等相关各单位</w:t>
      </w:r>
      <w:r>
        <w:rPr>
          <w:rFonts w:hint="eastAsia" w:ascii="仿宋" w:hAnsi="仿宋" w:eastAsia="仿宋" w:cs="仿宋"/>
          <w:color w:val="auto"/>
          <w:sz w:val="28"/>
          <w:szCs w:val="28"/>
          <w:highlight w:val="none"/>
        </w:rPr>
        <w:t>提供资料</w:t>
      </w:r>
      <w:r>
        <w:rPr>
          <w:rFonts w:hint="eastAsia" w:ascii="仿宋" w:hAnsi="仿宋" w:eastAsia="仿宋" w:cs="仿宋"/>
          <w:color w:val="auto"/>
          <w:sz w:val="28"/>
          <w:szCs w:val="28"/>
          <w:highlight w:val="none"/>
          <w:lang w:val="en-US" w:eastAsia="zh-CN"/>
        </w:rPr>
        <w:t>及回收</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lang w:val="en-US" w:eastAsia="zh-CN"/>
        </w:rPr>
        <w:t>问卷统计数据</w:t>
      </w:r>
      <w:r>
        <w:rPr>
          <w:rFonts w:hint="eastAsia" w:ascii="仿宋" w:hAnsi="仿宋" w:eastAsia="仿宋" w:cs="仿宋"/>
          <w:color w:val="auto"/>
          <w:sz w:val="28"/>
          <w:szCs w:val="28"/>
          <w:highlight w:val="none"/>
        </w:rPr>
        <w:t>基础上形成的。</w:t>
      </w:r>
    </w:p>
    <w:p>
      <w:pPr>
        <w:pageBreakBefore w:val="0"/>
        <w:widowControl w:val="0"/>
        <w:kinsoku/>
        <w:wordWrap/>
        <w:overflowPunct/>
        <w:topLinePunct w:val="0"/>
        <w:autoSpaceDE/>
        <w:autoSpaceDN/>
        <w:bidi w:val="0"/>
        <w:adjustRightInd/>
        <w:snapToGrid/>
        <w:spacing w:after="0" w:line="240" w:lineRule="auto"/>
        <w:ind w:left="0" w:leftChars="0" w:right="0" w:firstLine="560" w:firstLineChars="200"/>
        <w:jc w:val="both"/>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2.本绩效评价报告仅供泉州市洛江区财政局和</w:t>
      </w:r>
      <w:r>
        <w:rPr>
          <w:rFonts w:hint="eastAsia" w:ascii="仿宋" w:hAnsi="仿宋" w:eastAsia="仿宋" w:cs="仿宋"/>
          <w:color w:val="auto"/>
          <w:sz w:val="28"/>
          <w:szCs w:val="28"/>
          <w:highlight w:val="none"/>
          <w:lang w:eastAsia="zh-CN"/>
        </w:rPr>
        <w:t>泉州市洛江区城市管理局</w:t>
      </w:r>
      <w:r>
        <w:rPr>
          <w:rFonts w:hint="eastAsia" w:ascii="仿宋" w:hAnsi="仿宋" w:eastAsia="仿宋" w:cs="仿宋"/>
          <w:color w:val="auto"/>
          <w:kern w:val="2"/>
          <w:sz w:val="28"/>
          <w:szCs w:val="28"/>
          <w:highlight w:val="none"/>
          <w:lang w:val="en-US" w:eastAsia="zh-CN" w:bidi="ar-SA"/>
        </w:rPr>
        <w:t>开展泉州市洛江区2020年度垃圾分类专项资金绩效评价相关工作使用，不作他用。</w:t>
      </w:r>
    </w:p>
    <w:p>
      <w:pPr>
        <w:pageBreakBefore w:val="0"/>
        <w:widowControl w:val="0"/>
        <w:kinsoku/>
        <w:wordWrap/>
        <w:overflowPunct/>
        <w:topLinePunct w:val="0"/>
        <w:autoSpaceDE/>
        <w:autoSpaceDN/>
        <w:bidi w:val="0"/>
        <w:adjustRightInd/>
        <w:snapToGrid/>
        <w:spacing w:after="0" w:line="240" w:lineRule="auto"/>
        <w:ind w:left="0" w:leftChars="0" w:right="0" w:firstLine="562" w:firstLineChars="200"/>
        <w:jc w:val="both"/>
        <w:textAlignment w:val="auto"/>
        <w:outlineLvl w:val="0"/>
        <w:rPr>
          <w:rFonts w:hint="eastAsia" w:ascii="仿宋" w:hAnsi="仿宋" w:eastAsia="仿宋" w:cs="仿宋"/>
          <w:b/>
          <w:bCs/>
          <w:color w:val="auto"/>
          <w:kern w:val="2"/>
          <w:sz w:val="28"/>
          <w:szCs w:val="28"/>
          <w:highlight w:val="none"/>
          <w:lang w:val="en-US" w:eastAsia="zh-CN" w:bidi="ar-SA"/>
        </w:rPr>
      </w:pPr>
      <w:bookmarkStart w:id="42" w:name="_Toc19596"/>
      <w:bookmarkStart w:id="43" w:name="_Toc27474"/>
      <w:bookmarkStart w:id="44" w:name="_Toc30789"/>
      <w:bookmarkStart w:id="45" w:name="_Toc13839"/>
      <w:bookmarkStart w:id="46" w:name="_Toc23930"/>
      <w:r>
        <w:rPr>
          <w:rFonts w:hint="eastAsia" w:ascii="仿宋" w:hAnsi="仿宋" w:eastAsia="仿宋" w:cs="仿宋"/>
          <w:b/>
          <w:bCs/>
          <w:color w:val="auto"/>
          <w:kern w:val="2"/>
          <w:sz w:val="28"/>
          <w:szCs w:val="28"/>
          <w:highlight w:val="none"/>
          <w:lang w:val="en-US" w:eastAsia="zh-CN" w:bidi="ar-SA"/>
        </w:rPr>
        <w:t>八、附件说明</w:t>
      </w:r>
      <w:bookmarkEnd w:id="42"/>
      <w:bookmarkEnd w:id="43"/>
      <w:bookmarkEnd w:id="44"/>
      <w:bookmarkEnd w:id="45"/>
      <w:bookmarkEnd w:id="46"/>
    </w:p>
    <w:p>
      <w:pPr>
        <w:keepNext w:val="0"/>
        <w:keepLines w:val="0"/>
        <w:pageBreakBefore w:val="0"/>
        <w:widowControl w:val="0"/>
        <w:shd w:val="clear" w:fill="FFFFFF"/>
        <w:kinsoku/>
        <w:wordWrap/>
        <w:overflowPunct/>
        <w:topLinePunct w:val="0"/>
        <w:autoSpaceDE/>
        <w:autoSpaceDN/>
        <w:bidi w:val="0"/>
        <w:adjustRightInd/>
        <w:snapToGrid/>
        <w:spacing w:line="240" w:lineRule="auto"/>
        <w:ind w:left="0" w:leftChars="0" w:right="0" w:firstLine="560" w:firstLineChars="200"/>
        <w:jc w:val="both"/>
        <w:textAlignment w:val="auto"/>
        <w:outlineLvl w:val="0"/>
        <w:rPr>
          <w:rFonts w:hint="eastAsia" w:ascii="仿宋" w:hAnsi="仿宋" w:eastAsia="仿宋" w:cs="仿宋"/>
          <w:color w:val="auto"/>
          <w:kern w:val="2"/>
          <w:sz w:val="28"/>
          <w:szCs w:val="28"/>
          <w:highlight w:val="none"/>
          <w:lang w:val="en-US" w:eastAsia="zh-CN" w:bidi="zh-CN"/>
        </w:rPr>
      </w:pPr>
      <w:bookmarkStart w:id="47" w:name="_Toc26143"/>
      <w:bookmarkStart w:id="48" w:name="_Toc28717"/>
      <w:bookmarkStart w:id="49" w:name="_Toc15082"/>
      <w:bookmarkStart w:id="50" w:name="_Toc16815"/>
      <w:bookmarkStart w:id="51" w:name="_Toc31194"/>
      <w:bookmarkStart w:id="52" w:name="_Toc27509"/>
      <w:bookmarkStart w:id="53" w:name="_Toc25851"/>
      <w:bookmarkStart w:id="54" w:name="_Toc18800"/>
      <w:r>
        <w:rPr>
          <w:rFonts w:hint="eastAsia" w:ascii="仿宋" w:hAnsi="仿宋" w:eastAsia="仿宋" w:cs="仿宋"/>
          <w:color w:val="auto"/>
          <w:kern w:val="0"/>
          <w:sz w:val="28"/>
          <w:szCs w:val="28"/>
          <w:highlight w:val="none"/>
          <w:lang w:val="en-US" w:eastAsia="zh-CN" w:bidi="ar-SA"/>
        </w:rPr>
        <w:t>附件1  泉州市</w:t>
      </w:r>
      <w:r>
        <w:rPr>
          <w:rFonts w:hint="eastAsia" w:ascii="仿宋" w:hAnsi="仿宋" w:eastAsia="仿宋" w:cs="仿宋"/>
          <w:color w:val="auto"/>
          <w:kern w:val="2"/>
          <w:sz w:val="28"/>
          <w:szCs w:val="28"/>
          <w:highlight w:val="none"/>
          <w:lang w:val="en-US" w:eastAsia="zh-CN" w:bidi="ar-SA"/>
        </w:rPr>
        <w:t>洛江区2020年度垃圾分类专项资金绩效评价</w:t>
      </w:r>
      <w:r>
        <w:rPr>
          <w:rFonts w:hint="eastAsia" w:ascii="仿宋" w:hAnsi="仿宋" w:eastAsia="仿宋" w:cs="仿宋"/>
          <w:color w:val="auto"/>
          <w:kern w:val="0"/>
          <w:sz w:val="28"/>
          <w:szCs w:val="28"/>
          <w:highlight w:val="none"/>
          <w:lang w:val="en-US" w:eastAsia="zh-CN" w:bidi="ar-SA"/>
        </w:rPr>
        <w:t>调查问卷</w:t>
      </w:r>
      <w:bookmarkEnd w:id="47"/>
      <w:bookmarkEnd w:id="48"/>
      <w:bookmarkEnd w:id="49"/>
      <w:bookmarkEnd w:id="50"/>
      <w:bookmarkEnd w:id="51"/>
      <w:bookmarkEnd w:id="52"/>
      <w:bookmarkEnd w:id="53"/>
      <w:bookmarkEnd w:id="54"/>
    </w:p>
    <w:p>
      <w:pPr>
        <w:keepNext w:val="0"/>
        <w:keepLines w:val="0"/>
        <w:pageBreakBefore w:val="0"/>
        <w:widowControl w:val="0"/>
        <w:shd w:val="clear" w:fill="FFFFFF"/>
        <w:kinsoku/>
        <w:wordWrap/>
        <w:overflowPunct/>
        <w:topLinePunct w:val="0"/>
        <w:autoSpaceDE/>
        <w:autoSpaceDN/>
        <w:bidi w:val="0"/>
        <w:adjustRightInd/>
        <w:snapToGrid/>
        <w:spacing w:line="240" w:lineRule="auto"/>
        <w:ind w:left="0" w:leftChars="0" w:right="0" w:firstLine="560" w:firstLineChars="200"/>
        <w:jc w:val="both"/>
        <w:textAlignment w:val="auto"/>
        <w:outlineLvl w:val="0"/>
        <w:rPr>
          <w:rFonts w:hint="eastAsia" w:ascii="仿宋" w:hAnsi="仿宋" w:eastAsia="仿宋" w:cs="仿宋"/>
          <w:color w:val="auto"/>
          <w:kern w:val="0"/>
          <w:sz w:val="28"/>
          <w:szCs w:val="28"/>
          <w:highlight w:val="none"/>
          <w:lang w:val="en-US" w:eastAsia="zh-CN" w:bidi="ar-SA"/>
        </w:rPr>
      </w:pPr>
      <w:bookmarkStart w:id="55" w:name="_Toc10087"/>
      <w:bookmarkStart w:id="56" w:name="_Toc6316"/>
      <w:bookmarkStart w:id="57" w:name="_Toc13829"/>
      <w:bookmarkStart w:id="58" w:name="_Toc29018"/>
      <w:bookmarkStart w:id="59" w:name="_Toc12401"/>
      <w:bookmarkStart w:id="60" w:name="_Toc32491"/>
      <w:bookmarkStart w:id="61" w:name="_Toc10514"/>
      <w:bookmarkStart w:id="62" w:name="_Toc14851"/>
      <w:r>
        <w:rPr>
          <w:rFonts w:hint="eastAsia" w:ascii="仿宋" w:hAnsi="仿宋" w:eastAsia="仿宋" w:cs="仿宋"/>
          <w:color w:val="auto"/>
          <w:kern w:val="0"/>
          <w:sz w:val="28"/>
          <w:szCs w:val="28"/>
          <w:highlight w:val="none"/>
          <w:lang w:val="en-US" w:eastAsia="zh-CN" w:bidi="ar-SA"/>
        </w:rPr>
        <w:t>附件2  现场调研照片</w:t>
      </w:r>
      <w:bookmarkEnd w:id="55"/>
      <w:bookmarkEnd w:id="56"/>
      <w:bookmarkEnd w:id="57"/>
      <w:bookmarkEnd w:id="58"/>
      <w:bookmarkEnd w:id="59"/>
      <w:bookmarkEnd w:id="60"/>
      <w:bookmarkEnd w:id="61"/>
      <w:bookmarkEnd w:id="62"/>
    </w:p>
    <w:p>
      <w:pPr>
        <w:pStyle w:val="2"/>
        <w:rPr>
          <w:rFonts w:hint="eastAsia" w:ascii="仿宋" w:hAnsi="仿宋" w:eastAsia="仿宋" w:cs="仿宋"/>
          <w:color w:val="auto"/>
          <w:kern w:val="0"/>
          <w:sz w:val="28"/>
          <w:szCs w:val="28"/>
          <w:highlight w:val="none"/>
          <w:lang w:val="en-US" w:eastAsia="zh-CN" w:bidi="ar-SA"/>
        </w:rPr>
      </w:pPr>
    </w:p>
    <w:p>
      <w:pPr>
        <w:rPr>
          <w:rFonts w:hint="eastAsia" w:ascii="仿宋" w:hAnsi="仿宋" w:eastAsia="仿宋" w:cs="仿宋"/>
          <w:color w:val="auto"/>
          <w:kern w:val="0"/>
          <w:sz w:val="28"/>
          <w:szCs w:val="28"/>
          <w:highlight w:val="none"/>
          <w:lang w:val="en-US" w:eastAsia="zh-CN" w:bidi="ar-SA"/>
        </w:rPr>
      </w:pPr>
    </w:p>
    <w:p>
      <w:pPr>
        <w:pStyle w:val="2"/>
        <w:rPr>
          <w:rFonts w:hint="eastAsia" w:ascii="仿宋" w:hAnsi="仿宋" w:eastAsia="仿宋" w:cs="仿宋"/>
          <w:color w:val="auto"/>
          <w:kern w:val="0"/>
          <w:sz w:val="28"/>
          <w:szCs w:val="28"/>
          <w:highlight w:val="none"/>
          <w:lang w:val="en-US" w:eastAsia="zh-CN" w:bidi="ar-SA"/>
        </w:rPr>
      </w:pPr>
    </w:p>
    <w:p>
      <w:pPr>
        <w:rPr>
          <w:rFonts w:hint="eastAsia" w:ascii="仿宋" w:hAnsi="仿宋" w:eastAsia="仿宋" w:cs="仿宋"/>
          <w:color w:val="auto"/>
          <w:kern w:val="0"/>
          <w:sz w:val="28"/>
          <w:szCs w:val="28"/>
          <w:highlight w:val="none"/>
          <w:lang w:val="en-US" w:eastAsia="zh-CN" w:bidi="ar-SA"/>
        </w:rPr>
      </w:pPr>
    </w:p>
    <w:p>
      <w:pPr>
        <w:pStyle w:val="2"/>
        <w:rPr>
          <w:rFonts w:hint="eastAsia" w:ascii="仿宋" w:hAnsi="仿宋" w:eastAsia="仿宋" w:cs="仿宋"/>
          <w:color w:val="auto"/>
          <w:kern w:val="0"/>
          <w:sz w:val="28"/>
          <w:szCs w:val="28"/>
          <w:highlight w:val="none"/>
          <w:lang w:val="en-US" w:eastAsia="zh-CN" w:bidi="ar-SA"/>
        </w:rPr>
      </w:pPr>
    </w:p>
    <w:p>
      <w:pPr>
        <w:rPr>
          <w:rFonts w:hint="eastAsia" w:ascii="仿宋" w:hAnsi="仿宋" w:eastAsia="仿宋" w:cs="仿宋"/>
          <w:color w:val="auto"/>
          <w:kern w:val="0"/>
          <w:sz w:val="28"/>
          <w:szCs w:val="28"/>
          <w:highlight w:val="none"/>
          <w:lang w:val="en-US" w:eastAsia="zh-CN" w:bidi="ar-SA"/>
        </w:rPr>
      </w:pPr>
    </w:p>
    <w:p>
      <w:pPr>
        <w:rPr>
          <w:rFonts w:hint="eastAsia"/>
          <w:color w:val="auto"/>
          <w:highlight w:val="none"/>
          <w:lang w:val="en-US" w:eastAsia="zh-CN"/>
        </w:rPr>
      </w:pPr>
    </w:p>
    <w:p>
      <w:pPr>
        <w:spacing w:line="600" w:lineRule="exact"/>
        <w:ind w:firstLine="643" w:firstLineChars="200"/>
        <w:jc w:val="center"/>
        <w:outlineLvl w:val="0"/>
        <w:rPr>
          <w:rFonts w:hint="eastAsia" w:ascii="仿宋" w:hAnsi="仿宋" w:eastAsia="仿宋" w:cs="仿宋"/>
          <w:b/>
          <w:bCs/>
          <w:color w:val="auto"/>
          <w:kern w:val="0"/>
          <w:sz w:val="32"/>
          <w:szCs w:val="32"/>
          <w:highlight w:val="none"/>
          <w:lang w:val="en-US" w:eastAsia="zh-CN" w:bidi="ar-SA"/>
        </w:rPr>
      </w:pPr>
      <w:bookmarkStart w:id="63" w:name="_Toc3531"/>
      <w:r>
        <w:rPr>
          <w:rFonts w:hint="eastAsia" w:ascii="仿宋" w:hAnsi="仿宋" w:eastAsia="仿宋" w:cs="仿宋"/>
          <w:b/>
          <w:bCs/>
          <w:color w:val="auto"/>
          <w:kern w:val="0"/>
          <w:sz w:val="32"/>
          <w:szCs w:val="32"/>
          <w:highlight w:val="none"/>
          <w:lang w:val="en-US" w:eastAsia="zh-CN" w:bidi="ar-SA"/>
        </w:rPr>
        <w:t>附件1   泉州市</w:t>
      </w:r>
      <w:r>
        <w:rPr>
          <w:rFonts w:hint="eastAsia" w:ascii="仿宋" w:hAnsi="仿宋" w:eastAsia="仿宋" w:cs="仿宋"/>
          <w:b/>
          <w:bCs/>
          <w:color w:val="auto"/>
          <w:kern w:val="2"/>
          <w:sz w:val="32"/>
          <w:szCs w:val="32"/>
          <w:highlight w:val="none"/>
          <w:lang w:val="en-US" w:eastAsia="zh-CN" w:bidi="ar-SA"/>
        </w:rPr>
        <w:t>洛江区2020年度垃圾分类专项资金绩效评价</w:t>
      </w:r>
      <w:r>
        <w:rPr>
          <w:rFonts w:hint="eastAsia" w:ascii="仿宋" w:hAnsi="仿宋" w:eastAsia="仿宋" w:cs="仿宋"/>
          <w:b/>
          <w:bCs/>
          <w:color w:val="auto"/>
          <w:kern w:val="0"/>
          <w:sz w:val="32"/>
          <w:szCs w:val="32"/>
          <w:highlight w:val="none"/>
          <w:lang w:val="en-US" w:eastAsia="zh-CN" w:bidi="ar-SA"/>
        </w:rPr>
        <w:t>调查问卷</w:t>
      </w:r>
      <w:bookmarkEnd w:id="63"/>
    </w:p>
    <w:p>
      <w:pPr>
        <w:pStyle w:val="2"/>
        <w:jc w:val="both"/>
        <w:rPr>
          <w:rFonts w:hint="eastAsia"/>
          <w:color w:val="auto"/>
          <w:sz w:val="22"/>
          <w:szCs w:val="22"/>
          <w:highlight w:val="none"/>
        </w:rPr>
      </w:pPr>
    </w:p>
    <w:p>
      <w:pPr>
        <w:rPr>
          <w:b/>
          <w:color w:val="auto"/>
          <w:sz w:val="32"/>
          <w:highlight w:val="none"/>
        </w:rPr>
      </w:pPr>
      <w:r>
        <w:rPr>
          <w:b w:val="0"/>
          <w:color w:val="auto"/>
          <w:sz w:val="24"/>
          <w:highlight w:val="none"/>
        </w:rPr>
        <w:t>第1题   你对垃圾分类工作的目的和意义了解吗？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非常了解</w:t>
            </w:r>
          </w:p>
        </w:tc>
        <w:tc>
          <w:tcPr>
            <w:shd w:val="clear" w:color="auto" w:fill="FFFFFF"/>
            <w:vAlign w:val="center"/>
          </w:tcPr>
          <w:p>
            <w:pPr>
              <w:jc w:val="center"/>
              <w:rPr>
                <w:color w:val="auto"/>
                <w:highlight w:val="none"/>
              </w:rPr>
            </w:pPr>
            <w:r>
              <w:rPr>
                <w:color w:val="auto"/>
                <w:highlight w:val="none"/>
              </w:rPr>
              <w:t>121</w:t>
            </w:r>
          </w:p>
        </w:tc>
        <w:tc>
          <w:tcPr>
            <w:shd w:val="clear" w:color="auto" w:fill="FFFFFF"/>
            <w:vAlign w:val="center"/>
          </w:tcPr>
          <w:p>
            <w:pPr>
              <w:jc w:val="left"/>
              <w:rPr>
                <w:color w:val="auto"/>
                <w:highlight w:val="none"/>
              </w:rPr>
            </w:pPr>
            <w:r>
              <w:rPr>
                <w:color w:val="auto"/>
                <w:highlight w:val="none"/>
              </w:rPr>
              <w:drawing>
                <wp:inline distT="0" distB="0" distL="114300" distR="114300">
                  <wp:extent cx="552450" cy="114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2450" cy="114300"/>
                          </a:xfrm>
                          <a:prstGeom prst="rect">
                            <a:avLst/>
                          </a:prstGeom>
                          <a:noFill/>
                          <a:ln>
                            <a:noFill/>
                          </a:ln>
                        </pic:spPr>
                      </pic:pic>
                    </a:graphicData>
                  </a:graphic>
                </wp:inline>
              </w:drawing>
            </w:r>
            <w:r>
              <w:rPr>
                <w:color w:val="auto"/>
                <w:highlight w:val="none"/>
              </w:rPr>
              <w:drawing>
                <wp:inline distT="0" distB="0" distL="114300" distR="114300">
                  <wp:extent cx="800100" cy="1143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800100" cy="114300"/>
                          </a:xfrm>
                          <a:prstGeom prst="rect">
                            <a:avLst/>
                          </a:prstGeom>
                          <a:noFill/>
                          <a:ln>
                            <a:noFill/>
                          </a:ln>
                        </pic:spPr>
                      </pic:pic>
                    </a:graphicData>
                  </a:graphic>
                </wp:inline>
              </w:drawing>
            </w:r>
            <w:r>
              <w:rPr>
                <w:color w:val="auto"/>
                <w:highlight w:val="none"/>
              </w:rPr>
              <w:t>41.3%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了解</w:t>
            </w:r>
          </w:p>
        </w:tc>
        <w:tc>
          <w:tcPr>
            <w:shd w:val="clear" w:color="auto" w:fill="F9F9F9"/>
            <w:vAlign w:val="center"/>
          </w:tcPr>
          <w:p>
            <w:pPr>
              <w:jc w:val="center"/>
              <w:rPr>
                <w:color w:val="auto"/>
                <w:highlight w:val="none"/>
              </w:rPr>
            </w:pPr>
            <w:r>
              <w:rPr>
                <w:color w:val="auto"/>
                <w:highlight w:val="none"/>
              </w:rPr>
              <w:t>121</w:t>
            </w:r>
          </w:p>
        </w:tc>
        <w:tc>
          <w:tcPr>
            <w:shd w:val="clear" w:color="auto" w:fill="F9F9F9"/>
            <w:vAlign w:val="center"/>
          </w:tcPr>
          <w:p>
            <w:pPr>
              <w:jc w:val="left"/>
              <w:rPr>
                <w:color w:val="auto"/>
                <w:highlight w:val="none"/>
              </w:rPr>
            </w:pPr>
            <w:r>
              <w:rPr>
                <w:color w:val="auto"/>
                <w:highlight w:val="none"/>
              </w:rPr>
              <w:drawing>
                <wp:inline distT="0" distB="0" distL="114300" distR="114300">
                  <wp:extent cx="552450" cy="114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52450" cy="114300"/>
                          </a:xfrm>
                          <a:prstGeom prst="rect">
                            <a:avLst/>
                          </a:prstGeom>
                          <a:noFill/>
                          <a:ln>
                            <a:noFill/>
                          </a:ln>
                        </pic:spPr>
                      </pic:pic>
                    </a:graphicData>
                  </a:graphic>
                </wp:inline>
              </w:drawing>
            </w:r>
            <w:r>
              <w:rPr>
                <w:color w:val="auto"/>
                <w:highlight w:val="none"/>
              </w:rPr>
              <w:drawing>
                <wp:inline distT="0" distB="0" distL="114300" distR="114300">
                  <wp:extent cx="800100" cy="11430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800100" cy="114300"/>
                          </a:xfrm>
                          <a:prstGeom prst="rect">
                            <a:avLst/>
                          </a:prstGeom>
                          <a:noFill/>
                          <a:ln>
                            <a:noFill/>
                          </a:ln>
                        </pic:spPr>
                      </pic:pic>
                    </a:graphicData>
                  </a:graphic>
                </wp:inline>
              </w:drawing>
            </w:r>
            <w:r>
              <w:rPr>
                <w:color w:val="auto"/>
                <w:highlight w:val="none"/>
              </w:rPr>
              <w:t>41.3%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一般</w:t>
            </w:r>
          </w:p>
        </w:tc>
        <w:tc>
          <w:tcPr>
            <w:shd w:val="clear" w:color="auto" w:fill="FFFFFF"/>
            <w:vAlign w:val="center"/>
          </w:tcPr>
          <w:p>
            <w:pPr>
              <w:jc w:val="center"/>
              <w:rPr>
                <w:color w:val="auto"/>
                <w:highlight w:val="none"/>
              </w:rPr>
            </w:pPr>
            <w:r>
              <w:rPr>
                <w:color w:val="auto"/>
                <w:highlight w:val="none"/>
              </w:rPr>
              <w:t>49</w:t>
            </w:r>
          </w:p>
        </w:tc>
        <w:tc>
          <w:tcPr>
            <w:shd w:val="clear" w:color="auto" w:fill="FFFFFF"/>
            <w:vAlign w:val="center"/>
          </w:tcPr>
          <w:p>
            <w:pPr>
              <w:jc w:val="left"/>
              <w:rPr>
                <w:color w:val="auto"/>
                <w:highlight w:val="none"/>
              </w:rPr>
            </w:pPr>
            <w:r>
              <w:rPr>
                <w:color w:val="auto"/>
                <w:highlight w:val="none"/>
              </w:rPr>
              <w:drawing>
                <wp:inline distT="0" distB="0" distL="114300" distR="114300">
                  <wp:extent cx="219075" cy="114300"/>
                  <wp:effectExtent l="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219075" cy="114300"/>
                          </a:xfrm>
                          <a:prstGeom prst="rect">
                            <a:avLst/>
                          </a:prstGeom>
                          <a:noFill/>
                          <a:ln>
                            <a:noFill/>
                          </a:ln>
                        </pic:spPr>
                      </pic:pic>
                    </a:graphicData>
                  </a:graphic>
                </wp:inline>
              </w:drawing>
            </w:r>
            <w:r>
              <w:rPr>
                <w:color w:val="auto"/>
                <w:highlight w:val="none"/>
              </w:rPr>
              <w:drawing>
                <wp:inline distT="0" distB="0" distL="114300" distR="114300">
                  <wp:extent cx="1133475" cy="114300"/>
                  <wp:effectExtent l="0" t="0" r="952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1133475" cy="114300"/>
                          </a:xfrm>
                          <a:prstGeom prst="rect">
                            <a:avLst/>
                          </a:prstGeom>
                          <a:noFill/>
                          <a:ln>
                            <a:noFill/>
                          </a:ln>
                        </pic:spPr>
                      </pic:pic>
                    </a:graphicData>
                  </a:graphic>
                </wp:inline>
              </w:drawing>
            </w:r>
            <w:r>
              <w:rPr>
                <w:color w:val="auto"/>
                <w:highlight w:val="none"/>
              </w:rPr>
              <w:t>16.72%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不了解</w:t>
            </w:r>
          </w:p>
        </w:tc>
        <w:tc>
          <w:tcPr>
            <w:shd w:val="clear" w:color="auto" w:fill="F9F9F9"/>
            <w:vAlign w:val="center"/>
          </w:tcPr>
          <w:p>
            <w:pPr>
              <w:jc w:val="center"/>
              <w:rPr>
                <w:color w:val="auto"/>
                <w:highlight w:val="none"/>
              </w:rPr>
            </w:pPr>
            <w:r>
              <w:rPr>
                <w:color w:val="auto"/>
                <w:highlight w:val="none"/>
              </w:rPr>
              <w:t>2</w:t>
            </w:r>
          </w:p>
        </w:tc>
        <w:tc>
          <w:tcPr>
            <w:shd w:val="clear" w:color="auto" w:fill="F9F9F9"/>
            <w:vAlign w:val="center"/>
          </w:tcPr>
          <w:p>
            <w:pPr>
              <w:jc w:val="left"/>
              <w:rPr>
                <w:color w:val="auto"/>
                <w:highlight w:val="none"/>
              </w:rPr>
            </w:pPr>
            <w:r>
              <w:rPr>
                <w:color w:val="auto"/>
                <w:highlight w:val="none"/>
              </w:rPr>
              <w:drawing>
                <wp:inline distT="0" distB="0" distL="114300" distR="114300">
                  <wp:extent cx="1352550" cy="11430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1352550" cy="114300"/>
                          </a:xfrm>
                          <a:prstGeom prst="rect">
                            <a:avLst/>
                          </a:prstGeom>
                          <a:noFill/>
                          <a:ln>
                            <a:noFill/>
                          </a:ln>
                        </pic:spPr>
                      </pic:pic>
                    </a:graphicData>
                  </a:graphic>
                </wp:inline>
              </w:drawing>
            </w:r>
            <w:r>
              <w:rPr>
                <w:color w:val="auto"/>
                <w:highlight w:val="none"/>
              </w:rPr>
              <w:t>0.68%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第2题   你认为垃圾分类工作是否必要？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20"/>
        <w:gridCol w:w="1046"/>
        <w:gridCol w:w="489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非常必要</w:t>
            </w:r>
          </w:p>
        </w:tc>
        <w:tc>
          <w:tcPr>
            <w:shd w:val="clear" w:color="auto" w:fill="FFFFFF"/>
            <w:vAlign w:val="center"/>
          </w:tcPr>
          <w:p>
            <w:pPr>
              <w:jc w:val="center"/>
              <w:rPr>
                <w:color w:val="auto"/>
                <w:highlight w:val="none"/>
              </w:rPr>
            </w:pPr>
            <w:r>
              <w:rPr>
                <w:color w:val="auto"/>
                <w:highlight w:val="none"/>
              </w:rPr>
              <w:t>186</w:t>
            </w:r>
          </w:p>
        </w:tc>
        <w:tc>
          <w:tcPr>
            <w:shd w:val="clear" w:color="auto" w:fill="FFFFFF"/>
            <w:vAlign w:val="center"/>
          </w:tcPr>
          <w:p>
            <w:pPr>
              <w:jc w:val="left"/>
              <w:rPr>
                <w:color w:val="auto"/>
                <w:highlight w:val="none"/>
              </w:rPr>
            </w:pPr>
            <w:r>
              <w:rPr>
                <w:color w:val="auto"/>
                <w:highlight w:val="none"/>
              </w:rPr>
              <w:drawing>
                <wp:inline distT="0" distB="0" distL="114300" distR="114300">
                  <wp:extent cx="857250" cy="114300"/>
                  <wp:effectExtent l="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1"/>
                          <a:stretch>
                            <a:fillRect/>
                          </a:stretch>
                        </pic:blipFill>
                        <pic:spPr>
                          <a:xfrm>
                            <a:off x="0" y="0"/>
                            <a:ext cx="857250" cy="114300"/>
                          </a:xfrm>
                          <a:prstGeom prst="rect">
                            <a:avLst/>
                          </a:prstGeom>
                          <a:noFill/>
                          <a:ln>
                            <a:noFill/>
                          </a:ln>
                        </pic:spPr>
                      </pic:pic>
                    </a:graphicData>
                  </a:graphic>
                </wp:inline>
              </w:drawing>
            </w:r>
            <w:r>
              <w:rPr>
                <w:color w:val="auto"/>
                <w:highlight w:val="none"/>
              </w:rPr>
              <w:drawing>
                <wp:inline distT="0" distB="0" distL="114300" distR="114300">
                  <wp:extent cx="495300" cy="114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95300" cy="114300"/>
                          </a:xfrm>
                          <a:prstGeom prst="rect">
                            <a:avLst/>
                          </a:prstGeom>
                          <a:noFill/>
                          <a:ln>
                            <a:noFill/>
                          </a:ln>
                        </pic:spPr>
                      </pic:pic>
                    </a:graphicData>
                  </a:graphic>
                </wp:inline>
              </w:drawing>
            </w:r>
            <w:r>
              <w:rPr>
                <w:color w:val="auto"/>
                <w:highlight w:val="none"/>
              </w:rPr>
              <w:t>63.48%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必要</w:t>
            </w:r>
          </w:p>
        </w:tc>
        <w:tc>
          <w:tcPr>
            <w:shd w:val="clear" w:color="auto" w:fill="F9F9F9"/>
            <w:vAlign w:val="center"/>
          </w:tcPr>
          <w:p>
            <w:pPr>
              <w:jc w:val="center"/>
              <w:rPr>
                <w:color w:val="auto"/>
                <w:highlight w:val="none"/>
              </w:rPr>
            </w:pPr>
            <w:r>
              <w:rPr>
                <w:color w:val="auto"/>
                <w:highlight w:val="none"/>
              </w:rPr>
              <w:t>101</w:t>
            </w:r>
          </w:p>
        </w:tc>
        <w:tc>
          <w:tcPr>
            <w:shd w:val="clear" w:color="auto" w:fill="F9F9F9"/>
            <w:vAlign w:val="center"/>
          </w:tcPr>
          <w:p>
            <w:pPr>
              <w:jc w:val="left"/>
              <w:rPr>
                <w:color w:val="auto"/>
                <w:highlight w:val="none"/>
              </w:rPr>
            </w:pPr>
            <w:r>
              <w:rPr>
                <w:color w:val="auto"/>
                <w:highlight w:val="none"/>
              </w:rPr>
              <w:drawing>
                <wp:inline distT="0" distB="0" distL="114300" distR="114300">
                  <wp:extent cx="457200" cy="114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57200" cy="114300"/>
                          </a:xfrm>
                          <a:prstGeom prst="rect">
                            <a:avLst/>
                          </a:prstGeom>
                          <a:noFill/>
                          <a:ln>
                            <a:noFill/>
                          </a:ln>
                        </pic:spPr>
                      </pic:pic>
                    </a:graphicData>
                  </a:graphic>
                </wp:inline>
              </w:drawing>
            </w:r>
            <w:r>
              <w:rPr>
                <w:color w:val="auto"/>
                <w:highlight w:val="none"/>
              </w:rPr>
              <w:drawing>
                <wp:inline distT="0" distB="0" distL="114300" distR="114300">
                  <wp:extent cx="895350" cy="114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895350" cy="114300"/>
                          </a:xfrm>
                          <a:prstGeom prst="rect">
                            <a:avLst/>
                          </a:prstGeom>
                          <a:noFill/>
                          <a:ln>
                            <a:noFill/>
                          </a:ln>
                        </pic:spPr>
                      </pic:pic>
                    </a:graphicData>
                  </a:graphic>
                </wp:inline>
              </w:drawing>
            </w:r>
            <w:r>
              <w:rPr>
                <w:color w:val="auto"/>
                <w:highlight w:val="none"/>
              </w:rPr>
              <w:t>34.47%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一般</w:t>
            </w:r>
          </w:p>
        </w:tc>
        <w:tc>
          <w:tcPr>
            <w:shd w:val="clear" w:color="auto" w:fill="FFFFFF"/>
            <w:vAlign w:val="center"/>
          </w:tcPr>
          <w:p>
            <w:pPr>
              <w:jc w:val="center"/>
              <w:rPr>
                <w:color w:val="auto"/>
                <w:highlight w:val="none"/>
              </w:rPr>
            </w:pPr>
            <w:r>
              <w:rPr>
                <w:color w:val="auto"/>
                <w:highlight w:val="none"/>
              </w:rPr>
              <w:t>6</w:t>
            </w:r>
          </w:p>
        </w:tc>
        <w:tc>
          <w:tcPr>
            <w:shd w:val="clear" w:color="auto" w:fill="FFFFFF"/>
            <w:vAlign w:val="center"/>
          </w:tcPr>
          <w:p>
            <w:pPr>
              <w:jc w:val="left"/>
              <w:rPr>
                <w:color w:val="auto"/>
                <w:highlight w:val="none"/>
              </w:rPr>
            </w:pPr>
            <w:r>
              <w:rPr>
                <w:color w:val="auto"/>
                <w:highlight w:val="none"/>
              </w:rPr>
              <w:drawing>
                <wp:inline distT="0" distB="0" distL="114300" distR="114300">
                  <wp:extent cx="19050" cy="114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19050" cy="114300"/>
                          </a:xfrm>
                          <a:prstGeom prst="rect">
                            <a:avLst/>
                          </a:prstGeom>
                          <a:noFill/>
                          <a:ln>
                            <a:noFill/>
                          </a:ln>
                        </pic:spPr>
                      </pic:pic>
                    </a:graphicData>
                  </a:graphic>
                </wp:inline>
              </w:drawing>
            </w:r>
            <w:r>
              <w:rPr>
                <w:color w:val="auto"/>
                <w:highlight w:val="none"/>
              </w:rPr>
              <w:drawing>
                <wp:inline distT="0" distB="0" distL="114300" distR="114300">
                  <wp:extent cx="1333500" cy="114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1333500" cy="114300"/>
                          </a:xfrm>
                          <a:prstGeom prst="rect">
                            <a:avLst/>
                          </a:prstGeom>
                          <a:noFill/>
                          <a:ln>
                            <a:noFill/>
                          </a:ln>
                        </pic:spPr>
                      </pic:pic>
                    </a:graphicData>
                  </a:graphic>
                </wp:inline>
              </w:drawing>
            </w:r>
            <w:r>
              <w:rPr>
                <w:color w:val="auto"/>
                <w:highlight w:val="none"/>
              </w:rPr>
              <w:t>2.05%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没必要</w:t>
            </w:r>
          </w:p>
        </w:tc>
        <w:tc>
          <w:tcPr>
            <w:shd w:val="clear" w:color="auto" w:fill="F9F9F9"/>
            <w:vAlign w:val="center"/>
          </w:tcPr>
          <w:p>
            <w:pPr>
              <w:jc w:val="center"/>
              <w:rPr>
                <w:color w:val="auto"/>
                <w:highlight w:val="none"/>
              </w:rPr>
            </w:pPr>
            <w:r>
              <w:rPr>
                <w:color w:val="auto"/>
                <w:highlight w:val="none"/>
              </w:rPr>
              <w:t>0</w:t>
            </w:r>
          </w:p>
        </w:tc>
        <w:tc>
          <w:tcPr>
            <w:shd w:val="clear" w:color="auto" w:fill="F9F9F9"/>
            <w:vAlign w:val="center"/>
          </w:tcPr>
          <w:p>
            <w:pPr>
              <w:jc w:val="left"/>
              <w:rPr>
                <w:color w:val="auto"/>
                <w:highlight w:val="none"/>
              </w:rPr>
            </w:pPr>
            <w:r>
              <w:rPr>
                <w:color w:val="auto"/>
                <w:highlight w:val="none"/>
              </w:rPr>
              <w:drawing>
                <wp:inline distT="0" distB="0" distL="114300" distR="114300">
                  <wp:extent cx="1352550" cy="114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1352550" cy="114300"/>
                          </a:xfrm>
                          <a:prstGeom prst="rect">
                            <a:avLst/>
                          </a:prstGeom>
                          <a:noFill/>
                          <a:ln>
                            <a:noFill/>
                          </a:ln>
                        </pic:spPr>
                      </pic:pic>
                    </a:graphicData>
                  </a:graphic>
                </wp:inline>
              </w:drawing>
            </w:r>
            <w:r>
              <w:rPr>
                <w:color w:val="auto"/>
                <w:highlight w:val="none"/>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第3题   对于</w:t>
      </w:r>
      <w:r>
        <w:rPr>
          <w:rFonts w:hint="eastAsia"/>
          <w:b w:val="0"/>
          <w:color w:val="auto"/>
          <w:sz w:val="24"/>
          <w:highlight w:val="none"/>
          <w:lang w:eastAsia="zh-CN"/>
        </w:rPr>
        <w:t>泉州市洛江区</w:t>
      </w:r>
      <w:r>
        <w:rPr>
          <w:b w:val="0"/>
          <w:color w:val="auto"/>
          <w:sz w:val="24"/>
          <w:highlight w:val="none"/>
        </w:rPr>
        <w:t>垃圾分类工作的相关政策（比如垃圾分类实施方案等），你了解吗？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非常了解</w:t>
            </w:r>
          </w:p>
        </w:tc>
        <w:tc>
          <w:tcPr>
            <w:shd w:val="clear" w:color="auto" w:fill="FFFFFF"/>
            <w:vAlign w:val="center"/>
          </w:tcPr>
          <w:p>
            <w:pPr>
              <w:jc w:val="center"/>
              <w:rPr>
                <w:color w:val="auto"/>
                <w:highlight w:val="none"/>
              </w:rPr>
            </w:pPr>
            <w:r>
              <w:rPr>
                <w:color w:val="auto"/>
                <w:highlight w:val="none"/>
              </w:rPr>
              <w:t>131</w:t>
            </w:r>
          </w:p>
        </w:tc>
        <w:tc>
          <w:tcPr>
            <w:shd w:val="clear" w:color="auto" w:fill="FFFFFF"/>
            <w:vAlign w:val="center"/>
          </w:tcPr>
          <w:p>
            <w:pPr>
              <w:jc w:val="left"/>
              <w:rPr>
                <w:color w:val="auto"/>
                <w:highlight w:val="none"/>
              </w:rPr>
            </w:pPr>
            <w:r>
              <w:rPr>
                <w:color w:val="auto"/>
                <w:highlight w:val="none"/>
              </w:rPr>
              <w:drawing>
                <wp:inline distT="0" distB="0" distL="114300" distR="114300">
                  <wp:extent cx="600075" cy="1143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600075" cy="114300"/>
                          </a:xfrm>
                          <a:prstGeom prst="rect">
                            <a:avLst/>
                          </a:prstGeom>
                          <a:noFill/>
                          <a:ln>
                            <a:noFill/>
                          </a:ln>
                        </pic:spPr>
                      </pic:pic>
                    </a:graphicData>
                  </a:graphic>
                </wp:inline>
              </w:drawing>
            </w:r>
            <w:r>
              <w:rPr>
                <w:color w:val="auto"/>
                <w:highlight w:val="none"/>
              </w:rPr>
              <w:drawing>
                <wp:inline distT="0" distB="0" distL="114300" distR="114300">
                  <wp:extent cx="752475" cy="1143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752475" cy="114300"/>
                          </a:xfrm>
                          <a:prstGeom prst="rect">
                            <a:avLst/>
                          </a:prstGeom>
                          <a:noFill/>
                          <a:ln>
                            <a:noFill/>
                          </a:ln>
                        </pic:spPr>
                      </pic:pic>
                    </a:graphicData>
                  </a:graphic>
                </wp:inline>
              </w:drawing>
            </w:r>
            <w:r>
              <w:rPr>
                <w:color w:val="auto"/>
                <w:highlight w:val="none"/>
              </w:rPr>
              <w:t>44.71%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必要</w:t>
            </w:r>
          </w:p>
        </w:tc>
        <w:tc>
          <w:tcPr>
            <w:shd w:val="clear" w:color="auto" w:fill="F9F9F9"/>
            <w:vAlign w:val="center"/>
          </w:tcPr>
          <w:p>
            <w:pPr>
              <w:jc w:val="center"/>
              <w:rPr>
                <w:color w:val="auto"/>
                <w:highlight w:val="none"/>
              </w:rPr>
            </w:pPr>
            <w:r>
              <w:rPr>
                <w:color w:val="auto"/>
                <w:highlight w:val="none"/>
              </w:rPr>
              <w:t>71</w:t>
            </w:r>
          </w:p>
        </w:tc>
        <w:tc>
          <w:tcPr>
            <w:shd w:val="clear" w:color="auto" w:fill="F9F9F9"/>
            <w:vAlign w:val="center"/>
          </w:tcPr>
          <w:p>
            <w:pPr>
              <w:jc w:val="left"/>
              <w:rPr>
                <w:color w:val="auto"/>
                <w:highlight w:val="none"/>
              </w:rPr>
            </w:pPr>
            <w:r>
              <w:rPr>
                <w:color w:val="auto"/>
                <w:highlight w:val="none"/>
              </w:rPr>
              <w:drawing>
                <wp:inline distT="0" distB="0" distL="114300" distR="114300">
                  <wp:extent cx="323850" cy="114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323850" cy="114300"/>
                          </a:xfrm>
                          <a:prstGeom prst="rect">
                            <a:avLst/>
                          </a:prstGeom>
                          <a:noFill/>
                          <a:ln>
                            <a:noFill/>
                          </a:ln>
                        </pic:spPr>
                      </pic:pic>
                    </a:graphicData>
                  </a:graphic>
                </wp:inline>
              </w:drawing>
            </w:r>
            <w:r>
              <w:rPr>
                <w:color w:val="auto"/>
                <w:highlight w:val="none"/>
              </w:rPr>
              <w:drawing>
                <wp:inline distT="0" distB="0" distL="114300" distR="114300">
                  <wp:extent cx="1028700" cy="1143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1028700" cy="114300"/>
                          </a:xfrm>
                          <a:prstGeom prst="rect">
                            <a:avLst/>
                          </a:prstGeom>
                          <a:noFill/>
                          <a:ln>
                            <a:noFill/>
                          </a:ln>
                        </pic:spPr>
                      </pic:pic>
                    </a:graphicData>
                  </a:graphic>
                </wp:inline>
              </w:drawing>
            </w:r>
            <w:r>
              <w:rPr>
                <w:color w:val="auto"/>
                <w:highlight w:val="none"/>
              </w:rPr>
              <w:t>24.23%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一般</w:t>
            </w:r>
          </w:p>
        </w:tc>
        <w:tc>
          <w:tcPr>
            <w:shd w:val="clear" w:color="auto" w:fill="FFFFFF"/>
            <w:vAlign w:val="center"/>
          </w:tcPr>
          <w:p>
            <w:pPr>
              <w:jc w:val="center"/>
              <w:rPr>
                <w:color w:val="auto"/>
                <w:highlight w:val="none"/>
              </w:rPr>
            </w:pPr>
            <w:r>
              <w:rPr>
                <w:color w:val="auto"/>
                <w:highlight w:val="none"/>
              </w:rPr>
              <w:t>70</w:t>
            </w:r>
          </w:p>
        </w:tc>
        <w:tc>
          <w:tcPr>
            <w:shd w:val="clear" w:color="auto" w:fill="FFFFFF"/>
            <w:vAlign w:val="center"/>
          </w:tcPr>
          <w:p>
            <w:pPr>
              <w:jc w:val="left"/>
              <w:rPr>
                <w:color w:val="auto"/>
                <w:highlight w:val="none"/>
              </w:rPr>
            </w:pPr>
            <w:r>
              <w:rPr>
                <w:color w:val="auto"/>
                <w:highlight w:val="none"/>
              </w:rPr>
              <w:drawing>
                <wp:inline distT="0" distB="0" distL="114300" distR="114300">
                  <wp:extent cx="314325" cy="1143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314325" cy="114300"/>
                          </a:xfrm>
                          <a:prstGeom prst="rect">
                            <a:avLst/>
                          </a:prstGeom>
                          <a:noFill/>
                          <a:ln>
                            <a:noFill/>
                          </a:ln>
                        </pic:spPr>
                      </pic:pic>
                    </a:graphicData>
                  </a:graphic>
                </wp:inline>
              </w:drawing>
            </w:r>
            <w:r>
              <w:rPr>
                <w:color w:val="auto"/>
                <w:highlight w:val="none"/>
              </w:rPr>
              <w:drawing>
                <wp:inline distT="0" distB="0" distL="114300" distR="114300">
                  <wp:extent cx="1038225" cy="1143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1038225" cy="114300"/>
                          </a:xfrm>
                          <a:prstGeom prst="rect">
                            <a:avLst/>
                          </a:prstGeom>
                          <a:noFill/>
                          <a:ln>
                            <a:noFill/>
                          </a:ln>
                        </pic:spPr>
                      </pic:pic>
                    </a:graphicData>
                  </a:graphic>
                </wp:inline>
              </w:drawing>
            </w:r>
            <w:r>
              <w:rPr>
                <w:color w:val="auto"/>
                <w:highlight w:val="none"/>
              </w:rPr>
              <w:t>23.89%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不了解</w:t>
            </w:r>
          </w:p>
        </w:tc>
        <w:tc>
          <w:tcPr>
            <w:shd w:val="clear" w:color="auto" w:fill="F9F9F9"/>
            <w:vAlign w:val="center"/>
          </w:tcPr>
          <w:p>
            <w:pPr>
              <w:jc w:val="center"/>
              <w:rPr>
                <w:color w:val="auto"/>
                <w:highlight w:val="none"/>
              </w:rPr>
            </w:pPr>
            <w:r>
              <w:rPr>
                <w:color w:val="auto"/>
                <w:highlight w:val="none"/>
              </w:rPr>
              <w:t>21</w:t>
            </w:r>
          </w:p>
        </w:tc>
        <w:tc>
          <w:tcPr>
            <w:shd w:val="clear" w:color="auto" w:fill="F9F9F9"/>
            <w:vAlign w:val="center"/>
          </w:tcPr>
          <w:p>
            <w:pPr>
              <w:jc w:val="left"/>
              <w:rPr>
                <w:color w:val="auto"/>
                <w:highlight w:val="none"/>
              </w:rPr>
            </w:pPr>
            <w:r>
              <w:rPr>
                <w:color w:val="auto"/>
                <w:highlight w:val="none"/>
              </w:rPr>
              <w:drawing>
                <wp:inline distT="0" distB="0" distL="114300" distR="114300">
                  <wp:extent cx="95250" cy="114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95250" cy="114300"/>
                          </a:xfrm>
                          <a:prstGeom prst="rect">
                            <a:avLst/>
                          </a:prstGeom>
                          <a:noFill/>
                          <a:ln>
                            <a:noFill/>
                          </a:ln>
                        </pic:spPr>
                      </pic:pic>
                    </a:graphicData>
                  </a:graphic>
                </wp:inline>
              </w:drawing>
            </w:r>
            <w:r>
              <w:rPr>
                <w:color w:val="auto"/>
                <w:highlight w:val="none"/>
              </w:rPr>
              <w:drawing>
                <wp:inline distT="0" distB="0" distL="114300" distR="114300">
                  <wp:extent cx="1257300" cy="1143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1257300" cy="114300"/>
                          </a:xfrm>
                          <a:prstGeom prst="rect">
                            <a:avLst/>
                          </a:prstGeom>
                          <a:noFill/>
                          <a:ln>
                            <a:noFill/>
                          </a:ln>
                        </pic:spPr>
                      </pic:pic>
                    </a:graphicData>
                  </a:graphic>
                </wp:inline>
              </w:drawing>
            </w:r>
            <w:r>
              <w:rPr>
                <w:color w:val="auto"/>
                <w:highlight w:val="none"/>
              </w:rPr>
              <w:t>7.17%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第4题   您是否清楚目前的垃圾分类方法？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非常赞同</w:t>
            </w:r>
          </w:p>
        </w:tc>
        <w:tc>
          <w:tcPr>
            <w:shd w:val="clear" w:color="auto" w:fill="FFFFFF"/>
            <w:vAlign w:val="center"/>
          </w:tcPr>
          <w:p>
            <w:pPr>
              <w:jc w:val="center"/>
              <w:rPr>
                <w:color w:val="auto"/>
                <w:highlight w:val="none"/>
              </w:rPr>
            </w:pPr>
            <w:r>
              <w:rPr>
                <w:color w:val="auto"/>
                <w:highlight w:val="none"/>
              </w:rPr>
              <w:t>156</w:t>
            </w:r>
          </w:p>
        </w:tc>
        <w:tc>
          <w:tcPr>
            <w:shd w:val="clear" w:color="auto" w:fill="FFFFFF"/>
            <w:vAlign w:val="center"/>
          </w:tcPr>
          <w:p>
            <w:pPr>
              <w:jc w:val="left"/>
              <w:rPr>
                <w:color w:val="auto"/>
                <w:highlight w:val="none"/>
              </w:rPr>
            </w:pPr>
            <w:r>
              <w:rPr>
                <w:color w:val="auto"/>
                <w:highlight w:val="none"/>
              </w:rPr>
              <w:drawing>
                <wp:inline distT="0" distB="0" distL="114300" distR="114300">
                  <wp:extent cx="714375" cy="1143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714375" cy="114300"/>
                          </a:xfrm>
                          <a:prstGeom prst="rect">
                            <a:avLst/>
                          </a:prstGeom>
                          <a:noFill/>
                          <a:ln>
                            <a:noFill/>
                          </a:ln>
                        </pic:spPr>
                      </pic:pic>
                    </a:graphicData>
                  </a:graphic>
                </wp:inline>
              </w:drawing>
            </w:r>
            <w:r>
              <w:rPr>
                <w:color w:val="auto"/>
                <w:highlight w:val="none"/>
              </w:rPr>
              <w:drawing>
                <wp:inline distT="0" distB="0" distL="114300" distR="114300">
                  <wp:extent cx="638175" cy="1143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638175" cy="114300"/>
                          </a:xfrm>
                          <a:prstGeom prst="rect">
                            <a:avLst/>
                          </a:prstGeom>
                          <a:noFill/>
                          <a:ln>
                            <a:noFill/>
                          </a:ln>
                        </pic:spPr>
                      </pic:pic>
                    </a:graphicData>
                  </a:graphic>
                </wp:inline>
              </w:drawing>
            </w:r>
            <w:r>
              <w:rPr>
                <w:color w:val="auto"/>
                <w:highlight w:val="none"/>
              </w:rPr>
              <w:t>53.24%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赞同</w:t>
            </w:r>
          </w:p>
        </w:tc>
        <w:tc>
          <w:tcPr>
            <w:shd w:val="clear" w:color="auto" w:fill="F9F9F9"/>
            <w:vAlign w:val="center"/>
          </w:tcPr>
          <w:p>
            <w:pPr>
              <w:jc w:val="center"/>
              <w:rPr>
                <w:color w:val="auto"/>
                <w:highlight w:val="none"/>
              </w:rPr>
            </w:pPr>
            <w:r>
              <w:rPr>
                <w:color w:val="auto"/>
                <w:highlight w:val="none"/>
              </w:rPr>
              <w:t>116</w:t>
            </w:r>
          </w:p>
        </w:tc>
        <w:tc>
          <w:tcPr>
            <w:shd w:val="clear" w:color="auto" w:fill="F9F9F9"/>
            <w:vAlign w:val="center"/>
          </w:tcPr>
          <w:p>
            <w:pPr>
              <w:jc w:val="left"/>
              <w:rPr>
                <w:color w:val="auto"/>
                <w:highlight w:val="none"/>
              </w:rPr>
            </w:pPr>
            <w:r>
              <w:rPr>
                <w:color w:val="auto"/>
                <w:highlight w:val="none"/>
              </w:rPr>
              <w:drawing>
                <wp:inline distT="0" distB="0" distL="114300" distR="114300">
                  <wp:extent cx="533400" cy="1143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33400" cy="114300"/>
                          </a:xfrm>
                          <a:prstGeom prst="rect">
                            <a:avLst/>
                          </a:prstGeom>
                          <a:noFill/>
                          <a:ln>
                            <a:noFill/>
                          </a:ln>
                        </pic:spPr>
                      </pic:pic>
                    </a:graphicData>
                  </a:graphic>
                </wp:inline>
              </w:drawing>
            </w:r>
            <w:r>
              <w:rPr>
                <w:color w:val="auto"/>
                <w:highlight w:val="none"/>
              </w:rPr>
              <w:drawing>
                <wp:inline distT="0" distB="0" distL="114300" distR="114300">
                  <wp:extent cx="819150" cy="1143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819150" cy="114300"/>
                          </a:xfrm>
                          <a:prstGeom prst="rect">
                            <a:avLst/>
                          </a:prstGeom>
                          <a:noFill/>
                          <a:ln>
                            <a:noFill/>
                          </a:ln>
                        </pic:spPr>
                      </pic:pic>
                    </a:graphicData>
                  </a:graphic>
                </wp:inline>
              </w:drawing>
            </w:r>
            <w:r>
              <w:rPr>
                <w:color w:val="auto"/>
                <w:highlight w:val="none"/>
              </w:rPr>
              <w:t>39.59%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不赞同</w:t>
            </w:r>
          </w:p>
        </w:tc>
        <w:tc>
          <w:tcPr>
            <w:shd w:val="clear" w:color="auto" w:fill="FFFFFF"/>
            <w:vAlign w:val="center"/>
          </w:tcPr>
          <w:p>
            <w:pPr>
              <w:jc w:val="center"/>
              <w:rPr>
                <w:color w:val="auto"/>
                <w:highlight w:val="none"/>
              </w:rPr>
            </w:pPr>
            <w:r>
              <w:rPr>
                <w:color w:val="auto"/>
                <w:highlight w:val="none"/>
              </w:rPr>
              <w:t>4</w:t>
            </w:r>
          </w:p>
        </w:tc>
        <w:tc>
          <w:tcPr>
            <w:shd w:val="clear" w:color="auto" w:fill="FFFFFF"/>
            <w:vAlign w:val="center"/>
          </w:tcPr>
          <w:p>
            <w:pPr>
              <w:jc w:val="left"/>
              <w:rPr>
                <w:color w:val="auto"/>
                <w:highlight w:val="none"/>
              </w:rPr>
            </w:pPr>
            <w:r>
              <w:rPr>
                <w:color w:val="auto"/>
                <w:highlight w:val="none"/>
              </w:rPr>
              <w:drawing>
                <wp:inline distT="0" distB="0" distL="114300" distR="114300">
                  <wp:extent cx="9525" cy="1143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9525" cy="114300"/>
                          </a:xfrm>
                          <a:prstGeom prst="rect">
                            <a:avLst/>
                          </a:prstGeom>
                          <a:noFill/>
                          <a:ln>
                            <a:noFill/>
                          </a:ln>
                        </pic:spPr>
                      </pic:pic>
                    </a:graphicData>
                  </a:graphic>
                </wp:inline>
              </w:drawing>
            </w:r>
            <w:r>
              <w:rPr>
                <w:color w:val="auto"/>
                <w:highlight w:val="none"/>
              </w:rPr>
              <w:drawing>
                <wp:inline distT="0" distB="0" distL="114300" distR="114300">
                  <wp:extent cx="1343025" cy="1143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1343025" cy="114300"/>
                          </a:xfrm>
                          <a:prstGeom prst="rect">
                            <a:avLst/>
                          </a:prstGeom>
                          <a:noFill/>
                          <a:ln>
                            <a:noFill/>
                          </a:ln>
                        </pic:spPr>
                      </pic:pic>
                    </a:graphicData>
                  </a:graphic>
                </wp:inline>
              </w:drawing>
            </w:r>
            <w:r>
              <w:rPr>
                <w:color w:val="auto"/>
                <w:highlight w:val="none"/>
              </w:rPr>
              <w:t>1.37%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中立</w:t>
            </w:r>
          </w:p>
        </w:tc>
        <w:tc>
          <w:tcPr>
            <w:shd w:val="clear" w:color="auto" w:fill="F9F9F9"/>
            <w:vAlign w:val="center"/>
          </w:tcPr>
          <w:p>
            <w:pPr>
              <w:jc w:val="center"/>
              <w:rPr>
                <w:color w:val="auto"/>
                <w:highlight w:val="none"/>
              </w:rPr>
            </w:pPr>
            <w:r>
              <w:rPr>
                <w:color w:val="auto"/>
                <w:highlight w:val="none"/>
              </w:rPr>
              <w:t>17</w:t>
            </w:r>
          </w:p>
        </w:tc>
        <w:tc>
          <w:tcPr>
            <w:shd w:val="clear" w:color="auto" w:fill="F9F9F9"/>
            <w:vAlign w:val="center"/>
          </w:tcPr>
          <w:p>
            <w:pPr>
              <w:jc w:val="left"/>
              <w:rPr>
                <w:color w:val="auto"/>
                <w:highlight w:val="none"/>
              </w:rPr>
            </w:pPr>
            <w:r>
              <w:rPr>
                <w:color w:val="auto"/>
                <w:highlight w:val="none"/>
              </w:rPr>
              <w:drawing>
                <wp:inline distT="0" distB="0" distL="114300" distR="114300">
                  <wp:extent cx="76200" cy="1143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76200" cy="114300"/>
                          </a:xfrm>
                          <a:prstGeom prst="rect">
                            <a:avLst/>
                          </a:prstGeom>
                          <a:noFill/>
                          <a:ln>
                            <a:noFill/>
                          </a:ln>
                        </pic:spPr>
                      </pic:pic>
                    </a:graphicData>
                  </a:graphic>
                </wp:inline>
              </w:drawing>
            </w:r>
            <w:r>
              <w:rPr>
                <w:color w:val="auto"/>
                <w:highlight w:val="none"/>
              </w:rPr>
              <w:drawing>
                <wp:inline distT="0" distB="0" distL="114300" distR="114300">
                  <wp:extent cx="1276350" cy="114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1276350" cy="114300"/>
                          </a:xfrm>
                          <a:prstGeom prst="rect">
                            <a:avLst/>
                          </a:prstGeom>
                          <a:noFill/>
                          <a:ln>
                            <a:noFill/>
                          </a:ln>
                        </pic:spPr>
                      </pic:pic>
                    </a:graphicData>
                  </a:graphic>
                </wp:inline>
              </w:drawing>
            </w:r>
            <w:r>
              <w:rPr>
                <w:color w:val="auto"/>
                <w:highlight w:val="none"/>
              </w:rPr>
              <w:t>5.8%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第5题   在您日常生活中，垃圾一般是如何处理的？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638"/>
        <w:gridCol w:w="779"/>
        <w:gridCol w:w="3644"/>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除废品出售外，其余分类后投进垃圾箱</w:t>
            </w:r>
          </w:p>
        </w:tc>
        <w:tc>
          <w:tcPr>
            <w:shd w:val="clear" w:color="auto" w:fill="FFFFFF"/>
            <w:vAlign w:val="center"/>
          </w:tcPr>
          <w:p>
            <w:pPr>
              <w:jc w:val="center"/>
              <w:rPr>
                <w:color w:val="auto"/>
                <w:highlight w:val="none"/>
              </w:rPr>
            </w:pPr>
            <w:r>
              <w:rPr>
                <w:color w:val="auto"/>
                <w:highlight w:val="none"/>
              </w:rPr>
              <w:t>212</w:t>
            </w:r>
          </w:p>
        </w:tc>
        <w:tc>
          <w:tcPr>
            <w:shd w:val="clear" w:color="auto" w:fill="FFFFFF"/>
            <w:vAlign w:val="center"/>
          </w:tcPr>
          <w:p>
            <w:pPr>
              <w:jc w:val="left"/>
              <w:rPr>
                <w:color w:val="auto"/>
                <w:highlight w:val="none"/>
              </w:rPr>
            </w:pPr>
            <w:r>
              <w:rPr>
                <w:color w:val="auto"/>
                <w:highlight w:val="none"/>
              </w:rPr>
              <w:drawing>
                <wp:inline distT="0" distB="0" distL="114300" distR="114300">
                  <wp:extent cx="971550" cy="1143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971550" cy="114300"/>
                          </a:xfrm>
                          <a:prstGeom prst="rect">
                            <a:avLst/>
                          </a:prstGeom>
                          <a:noFill/>
                          <a:ln>
                            <a:noFill/>
                          </a:ln>
                        </pic:spPr>
                      </pic:pic>
                    </a:graphicData>
                  </a:graphic>
                </wp:inline>
              </w:drawing>
            </w:r>
            <w:r>
              <w:rPr>
                <w:color w:val="auto"/>
                <w:highlight w:val="none"/>
              </w:rPr>
              <w:drawing>
                <wp:inline distT="0" distB="0" distL="114300" distR="114300">
                  <wp:extent cx="381000" cy="1143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81000" cy="114300"/>
                          </a:xfrm>
                          <a:prstGeom prst="rect">
                            <a:avLst/>
                          </a:prstGeom>
                          <a:noFill/>
                          <a:ln>
                            <a:noFill/>
                          </a:ln>
                        </pic:spPr>
                      </pic:pic>
                    </a:graphicData>
                  </a:graphic>
                </wp:inline>
              </w:drawing>
            </w:r>
            <w:r>
              <w:rPr>
                <w:color w:val="auto"/>
                <w:highlight w:val="none"/>
              </w:rPr>
              <w:t>72.35%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除废品出售外，其余全部投进垃圾箱</w:t>
            </w:r>
          </w:p>
        </w:tc>
        <w:tc>
          <w:tcPr>
            <w:shd w:val="clear" w:color="auto" w:fill="F9F9F9"/>
            <w:vAlign w:val="center"/>
          </w:tcPr>
          <w:p>
            <w:pPr>
              <w:jc w:val="center"/>
              <w:rPr>
                <w:color w:val="auto"/>
                <w:highlight w:val="none"/>
              </w:rPr>
            </w:pPr>
            <w:r>
              <w:rPr>
                <w:color w:val="auto"/>
                <w:highlight w:val="none"/>
              </w:rPr>
              <w:t>55</w:t>
            </w:r>
          </w:p>
        </w:tc>
        <w:tc>
          <w:tcPr>
            <w:shd w:val="clear" w:color="auto" w:fill="F9F9F9"/>
            <w:vAlign w:val="center"/>
          </w:tcPr>
          <w:p>
            <w:pPr>
              <w:jc w:val="left"/>
              <w:rPr>
                <w:color w:val="auto"/>
                <w:highlight w:val="none"/>
              </w:rPr>
            </w:pPr>
            <w:r>
              <w:rPr>
                <w:color w:val="auto"/>
                <w:highlight w:val="none"/>
              </w:rPr>
              <w:drawing>
                <wp:inline distT="0" distB="0" distL="114300" distR="114300">
                  <wp:extent cx="247650" cy="1143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247650" cy="114300"/>
                          </a:xfrm>
                          <a:prstGeom prst="rect">
                            <a:avLst/>
                          </a:prstGeom>
                          <a:noFill/>
                          <a:ln>
                            <a:noFill/>
                          </a:ln>
                        </pic:spPr>
                      </pic:pic>
                    </a:graphicData>
                  </a:graphic>
                </wp:inline>
              </w:drawing>
            </w:r>
            <w:r>
              <w:rPr>
                <w:color w:val="auto"/>
                <w:highlight w:val="none"/>
              </w:rPr>
              <w:drawing>
                <wp:inline distT="0" distB="0" distL="114300" distR="114300">
                  <wp:extent cx="1104900" cy="114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1104900" cy="114300"/>
                          </a:xfrm>
                          <a:prstGeom prst="rect">
                            <a:avLst/>
                          </a:prstGeom>
                          <a:noFill/>
                          <a:ln>
                            <a:noFill/>
                          </a:ln>
                        </pic:spPr>
                      </pic:pic>
                    </a:graphicData>
                  </a:graphic>
                </wp:inline>
              </w:drawing>
            </w:r>
            <w:r>
              <w:rPr>
                <w:color w:val="auto"/>
                <w:highlight w:val="none"/>
              </w:rPr>
              <w:t>18.77%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未出售也未处理，全部倒进垃圾箱</w:t>
            </w:r>
          </w:p>
        </w:tc>
        <w:tc>
          <w:tcPr>
            <w:shd w:val="clear" w:color="auto" w:fill="FFFFFF"/>
            <w:vAlign w:val="center"/>
          </w:tcPr>
          <w:p>
            <w:pPr>
              <w:jc w:val="center"/>
              <w:rPr>
                <w:color w:val="auto"/>
                <w:highlight w:val="none"/>
              </w:rPr>
            </w:pPr>
            <w:r>
              <w:rPr>
                <w:color w:val="auto"/>
                <w:highlight w:val="none"/>
              </w:rPr>
              <w:t>19</w:t>
            </w:r>
          </w:p>
        </w:tc>
        <w:tc>
          <w:tcPr>
            <w:shd w:val="clear" w:color="auto" w:fill="FFFFFF"/>
            <w:vAlign w:val="center"/>
          </w:tcPr>
          <w:p>
            <w:pPr>
              <w:jc w:val="left"/>
              <w:rPr>
                <w:color w:val="auto"/>
                <w:highlight w:val="none"/>
              </w:rPr>
            </w:pPr>
            <w:r>
              <w:rPr>
                <w:color w:val="auto"/>
                <w:highlight w:val="none"/>
              </w:rPr>
              <w:drawing>
                <wp:inline distT="0" distB="0" distL="114300" distR="114300">
                  <wp:extent cx="85725" cy="1143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85725" cy="114300"/>
                          </a:xfrm>
                          <a:prstGeom prst="rect">
                            <a:avLst/>
                          </a:prstGeom>
                          <a:noFill/>
                          <a:ln>
                            <a:noFill/>
                          </a:ln>
                        </pic:spPr>
                      </pic:pic>
                    </a:graphicData>
                  </a:graphic>
                </wp:inline>
              </w:drawing>
            </w:r>
            <w:r>
              <w:rPr>
                <w:color w:val="auto"/>
                <w:highlight w:val="none"/>
              </w:rPr>
              <w:drawing>
                <wp:inline distT="0" distB="0" distL="114300" distR="114300">
                  <wp:extent cx="1266825" cy="1143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1266825" cy="114300"/>
                          </a:xfrm>
                          <a:prstGeom prst="rect">
                            <a:avLst/>
                          </a:prstGeom>
                          <a:noFill/>
                          <a:ln>
                            <a:noFill/>
                          </a:ln>
                        </pic:spPr>
                      </pic:pic>
                    </a:graphicData>
                  </a:graphic>
                </wp:inline>
              </w:drawing>
            </w:r>
            <w:r>
              <w:rPr>
                <w:color w:val="auto"/>
                <w:highlight w:val="none"/>
              </w:rPr>
              <w:t>6.48%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其他</w:t>
            </w:r>
          </w:p>
        </w:tc>
        <w:tc>
          <w:tcPr>
            <w:shd w:val="clear" w:color="auto" w:fill="F9F9F9"/>
            <w:vAlign w:val="center"/>
          </w:tcPr>
          <w:p>
            <w:pPr>
              <w:jc w:val="center"/>
              <w:rPr>
                <w:color w:val="auto"/>
                <w:highlight w:val="none"/>
              </w:rPr>
            </w:pPr>
            <w:r>
              <w:rPr>
                <w:color w:val="auto"/>
                <w:highlight w:val="none"/>
              </w:rPr>
              <w:t>7</w:t>
            </w:r>
          </w:p>
        </w:tc>
        <w:tc>
          <w:tcPr>
            <w:shd w:val="clear" w:color="auto" w:fill="F9F9F9"/>
            <w:vAlign w:val="center"/>
          </w:tcPr>
          <w:p>
            <w:pPr>
              <w:jc w:val="left"/>
              <w:rPr>
                <w:color w:val="auto"/>
                <w:highlight w:val="none"/>
              </w:rPr>
            </w:pPr>
            <w:r>
              <w:rPr>
                <w:color w:val="auto"/>
                <w:highlight w:val="none"/>
              </w:rPr>
              <w:drawing>
                <wp:inline distT="0" distB="0" distL="114300" distR="114300">
                  <wp:extent cx="28575" cy="1143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stretch>
                            <a:fillRect/>
                          </a:stretch>
                        </pic:blipFill>
                        <pic:spPr>
                          <a:xfrm>
                            <a:off x="0" y="0"/>
                            <a:ext cx="28575" cy="114300"/>
                          </a:xfrm>
                          <a:prstGeom prst="rect">
                            <a:avLst/>
                          </a:prstGeom>
                          <a:noFill/>
                          <a:ln>
                            <a:noFill/>
                          </a:ln>
                        </pic:spPr>
                      </pic:pic>
                    </a:graphicData>
                  </a:graphic>
                </wp:inline>
              </w:drawing>
            </w:r>
            <w:r>
              <w:rPr>
                <w:color w:val="auto"/>
                <w:highlight w:val="none"/>
              </w:rPr>
              <w:drawing>
                <wp:inline distT="0" distB="0" distL="114300" distR="114300">
                  <wp:extent cx="1323975" cy="1143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1323975" cy="114300"/>
                          </a:xfrm>
                          <a:prstGeom prst="rect">
                            <a:avLst/>
                          </a:prstGeom>
                          <a:noFill/>
                          <a:ln>
                            <a:noFill/>
                          </a:ln>
                        </pic:spPr>
                      </pic:pic>
                    </a:graphicData>
                  </a:graphic>
                </wp:inline>
              </w:drawing>
            </w:r>
            <w:r>
              <w:rPr>
                <w:color w:val="auto"/>
                <w:highlight w:val="none"/>
              </w:rPr>
              <w:t>2.39%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第6题   你所在小区垃圾一般什么时候清理？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早上</w:t>
            </w:r>
          </w:p>
        </w:tc>
        <w:tc>
          <w:tcPr>
            <w:shd w:val="clear" w:color="auto" w:fill="FFFFFF"/>
            <w:vAlign w:val="center"/>
          </w:tcPr>
          <w:p>
            <w:pPr>
              <w:jc w:val="center"/>
              <w:rPr>
                <w:color w:val="auto"/>
                <w:highlight w:val="none"/>
              </w:rPr>
            </w:pPr>
            <w:r>
              <w:rPr>
                <w:color w:val="auto"/>
                <w:highlight w:val="none"/>
              </w:rPr>
              <w:t>230</w:t>
            </w:r>
          </w:p>
        </w:tc>
        <w:tc>
          <w:tcPr>
            <w:shd w:val="clear" w:color="auto" w:fill="FFFFFF"/>
            <w:vAlign w:val="center"/>
          </w:tcPr>
          <w:p>
            <w:pPr>
              <w:jc w:val="left"/>
              <w:rPr>
                <w:color w:val="auto"/>
                <w:highlight w:val="none"/>
              </w:rPr>
            </w:pPr>
            <w:r>
              <w:rPr>
                <w:color w:val="auto"/>
                <w:highlight w:val="none"/>
              </w:rPr>
              <w:drawing>
                <wp:inline distT="0" distB="0" distL="114300" distR="114300">
                  <wp:extent cx="1057275" cy="11430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1057275" cy="114300"/>
                          </a:xfrm>
                          <a:prstGeom prst="rect">
                            <a:avLst/>
                          </a:prstGeom>
                          <a:noFill/>
                          <a:ln>
                            <a:noFill/>
                          </a:ln>
                        </pic:spPr>
                      </pic:pic>
                    </a:graphicData>
                  </a:graphic>
                </wp:inline>
              </w:drawing>
            </w:r>
            <w:r>
              <w:rPr>
                <w:color w:val="auto"/>
                <w:highlight w:val="none"/>
              </w:rPr>
              <w:drawing>
                <wp:inline distT="0" distB="0" distL="114300" distR="114300">
                  <wp:extent cx="295275" cy="1143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295275" cy="114300"/>
                          </a:xfrm>
                          <a:prstGeom prst="rect">
                            <a:avLst/>
                          </a:prstGeom>
                          <a:noFill/>
                          <a:ln>
                            <a:noFill/>
                          </a:ln>
                        </pic:spPr>
                      </pic:pic>
                    </a:graphicData>
                  </a:graphic>
                </wp:inline>
              </w:drawing>
            </w:r>
            <w:r>
              <w:rPr>
                <w:color w:val="auto"/>
                <w:highlight w:val="none"/>
              </w:rPr>
              <w:t>78.5%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中午</w:t>
            </w:r>
          </w:p>
        </w:tc>
        <w:tc>
          <w:tcPr>
            <w:shd w:val="clear" w:color="auto" w:fill="F9F9F9"/>
            <w:vAlign w:val="center"/>
          </w:tcPr>
          <w:p>
            <w:pPr>
              <w:jc w:val="center"/>
              <w:rPr>
                <w:color w:val="auto"/>
                <w:highlight w:val="none"/>
              </w:rPr>
            </w:pPr>
            <w:r>
              <w:rPr>
                <w:color w:val="auto"/>
                <w:highlight w:val="none"/>
              </w:rPr>
              <w:t>6</w:t>
            </w:r>
          </w:p>
        </w:tc>
        <w:tc>
          <w:tcPr>
            <w:shd w:val="clear" w:color="auto" w:fill="F9F9F9"/>
            <w:vAlign w:val="center"/>
          </w:tcPr>
          <w:p>
            <w:pPr>
              <w:jc w:val="left"/>
              <w:rPr>
                <w:color w:val="auto"/>
                <w:highlight w:val="none"/>
              </w:rPr>
            </w:pPr>
            <w:r>
              <w:rPr>
                <w:color w:val="auto"/>
                <w:highlight w:val="none"/>
              </w:rPr>
              <w:drawing>
                <wp:inline distT="0" distB="0" distL="114300" distR="114300">
                  <wp:extent cx="19050" cy="1143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5"/>
                          <a:stretch>
                            <a:fillRect/>
                          </a:stretch>
                        </pic:blipFill>
                        <pic:spPr>
                          <a:xfrm>
                            <a:off x="0" y="0"/>
                            <a:ext cx="19050" cy="114300"/>
                          </a:xfrm>
                          <a:prstGeom prst="rect">
                            <a:avLst/>
                          </a:prstGeom>
                          <a:noFill/>
                          <a:ln>
                            <a:noFill/>
                          </a:ln>
                        </pic:spPr>
                      </pic:pic>
                    </a:graphicData>
                  </a:graphic>
                </wp:inline>
              </w:drawing>
            </w:r>
            <w:r>
              <w:rPr>
                <w:color w:val="auto"/>
                <w:highlight w:val="none"/>
              </w:rPr>
              <w:drawing>
                <wp:inline distT="0" distB="0" distL="114300" distR="114300">
                  <wp:extent cx="1333500" cy="1143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6"/>
                          <a:stretch>
                            <a:fillRect/>
                          </a:stretch>
                        </pic:blipFill>
                        <pic:spPr>
                          <a:xfrm>
                            <a:off x="0" y="0"/>
                            <a:ext cx="1333500" cy="114300"/>
                          </a:xfrm>
                          <a:prstGeom prst="rect">
                            <a:avLst/>
                          </a:prstGeom>
                          <a:noFill/>
                          <a:ln>
                            <a:noFill/>
                          </a:ln>
                        </pic:spPr>
                      </pic:pic>
                    </a:graphicData>
                  </a:graphic>
                </wp:inline>
              </w:drawing>
            </w:r>
            <w:r>
              <w:rPr>
                <w:color w:val="auto"/>
                <w:highlight w:val="none"/>
              </w:rPr>
              <w:t>2.05%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晚上</w:t>
            </w:r>
          </w:p>
        </w:tc>
        <w:tc>
          <w:tcPr>
            <w:shd w:val="clear" w:color="auto" w:fill="FFFFFF"/>
            <w:vAlign w:val="center"/>
          </w:tcPr>
          <w:p>
            <w:pPr>
              <w:jc w:val="center"/>
              <w:rPr>
                <w:color w:val="auto"/>
                <w:highlight w:val="none"/>
              </w:rPr>
            </w:pPr>
            <w:r>
              <w:rPr>
                <w:color w:val="auto"/>
                <w:highlight w:val="none"/>
              </w:rPr>
              <w:t>24</w:t>
            </w:r>
          </w:p>
        </w:tc>
        <w:tc>
          <w:tcPr>
            <w:shd w:val="clear" w:color="auto" w:fill="FFFFFF"/>
            <w:vAlign w:val="center"/>
          </w:tcPr>
          <w:p>
            <w:pPr>
              <w:jc w:val="left"/>
              <w:rPr>
                <w:color w:val="auto"/>
                <w:highlight w:val="none"/>
              </w:rPr>
            </w:pPr>
            <w:r>
              <w:rPr>
                <w:color w:val="auto"/>
                <w:highlight w:val="none"/>
              </w:rPr>
              <w:drawing>
                <wp:inline distT="0" distB="0" distL="114300" distR="114300">
                  <wp:extent cx="104775" cy="11430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3"/>
                          <a:stretch>
                            <a:fillRect/>
                          </a:stretch>
                        </pic:blipFill>
                        <pic:spPr>
                          <a:xfrm>
                            <a:off x="0" y="0"/>
                            <a:ext cx="104775" cy="114300"/>
                          </a:xfrm>
                          <a:prstGeom prst="rect">
                            <a:avLst/>
                          </a:prstGeom>
                          <a:noFill/>
                          <a:ln>
                            <a:noFill/>
                          </a:ln>
                        </pic:spPr>
                      </pic:pic>
                    </a:graphicData>
                  </a:graphic>
                </wp:inline>
              </w:drawing>
            </w:r>
            <w:r>
              <w:rPr>
                <w:color w:val="auto"/>
                <w:highlight w:val="none"/>
              </w:rPr>
              <w:drawing>
                <wp:inline distT="0" distB="0" distL="114300" distR="114300">
                  <wp:extent cx="1247775" cy="1143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4"/>
                          <a:stretch>
                            <a:fillRect/>
                          </a:stretch>
                        </pic:blipFill>
                        <pic:spPr>
                          <a:xfrm>
                            <a:off x="0" y="0"/>
                            <a:ext cx="1247775" cy="114300"/>
                          </a:xfrm>
                          <a:prstGeom prst="rect">
                            <a:avLst/>
                          </a:prstGeom>
                          <a:noFill/>
                          <a:ln>
                            <a:noFill/>
                          </a:ln>
                        </pic:spPr>
                      </pic:pic>
                    </a:graphicData>
                  </a:graphic>
                </wp:inline>
              </w:drawing>
            </w:r>
            <w:r>
              <w:rPr>
                <w:color w:val="auto"/>
                <w:highlight w:val="none"/>
              </w:rPr>
              <w:t>8.19%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不清楚</w:t>
            </w:r>
          </w:p>
        </w:tc>
        <w:tc>
          <w:tcPr>
            <w:shd w:val="clear" w:color="auto" w:fill="F9F9F9"/>
            <w:vAlign w:val="center"/>
          </w:tcPr>
          <w:p>
            <w:pPr>
              <w:jc w:val="center"/>
              <w:rPr>
                <w:color w:val="auto"/>
                <w:highlight w:val="none"/>
              </w:rPr>
            </w:pPr>
            <w:r>
              <w:rPr>
                <w:color w:val="auto"/>
                <w:highlight w:val="none"/>
              </w:rPr>
              <w:t>33</w:t>
            </w:r>
          </w:p>
        </w:tc>
        <w:tc>
          <w:tcPr>
            <w:shd w:val="clear" w:color="auto" w:fill="F9F9F9"/>
            <w:vAlign w:val="center"/>
          </w:tcPr>
          <w:p>
            <w:pPr>
              <w:jc w:val="left"/>
              <w:rPr>
                <w:color w:val="auto"/>
                <w:highlight w:val="none"/>
              </w:rPr>
            </w:pPr>
            <w:r>
              <w:rPr>
                <w:color w:val="auto"/>
                <w:highlight w:val="none"/>
              </w:rPr>
              <w:drawing>
                <wp:inline distT="0" distB="0" distL="114300" distR="114300">
                  <wp:extent cx="142875" cy="11430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5"/>
                          <a:stretch>
                            <a:fillRect/>
                          </a:stretch>
                        </pic:blipFill>
                        <pic:spPr>
                          <a:xfrm>
                            <a:off x="0" y="0"/>
                            <a:ext cx="142875" cy="114300"/>
                          </a:xfrm>
                          <a:prstGeom prst="rect">
                            <a:avLst/>
                          </a:prstGeom>
                          <a:noFill/>
                          <a:ln>
                            <a:noFill/>
                          </a:ln>
                        </pic:spPr>
                      </pic:pic>
                    </a:graphicData>
                  </a:graphic>
                </wp:inline>
              </w:drawing>
            </w:r>
            <w:r>
              <w:rPr>
                <w:color w:val="auto"/>
                <w:highlight w:val="none"/>
              </w:rPr>
              <w:drawing>
                <wp:inline distT="0" distB="0" distL="114300" distR="114300">
                  <wp:extent cx="1209675" cy="1143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6"/>
                          <a:stretch>
                            <a:fillRect/>
                          </a:stretch>
                        </pic:blipFill>
                        <pic:spPr>
                          <a:xfrm>
                            <a:off x="0" y="0"/>
                            <a:ext cx="1209675" cy="114300"/>
                          </a:xfrm>
                          <a:prstGeom prst="rect">
                            <a:avLst/>
                          </a:prstGeom>
                          <a:noFill/>
                          <a:ln>
                            <a:noFill/>
                          </a:ln>
                        </pic:spPr>
                      </pic:pic>
                    </a:graphicData>
                  </a:graphic>
                </wp:inline>
              </w:drawing>
            </w:r>
            <w:r>
              <w:rPr>
                <w:color w:val="auto"/>
                <w:highlight w:val="none"/>
              </w:rPr>
              <w:t>11.26%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第7题   目前</w:t>
      </w:r>
      <w:r>
        <w:rPr>
          <w:rFonts w:hint="eastAsia"/>
          <w:b w:val="0"/>
          <w:color w:val="auto"/>
          <w:sz w:val="24"/>
          <w:highlight w:val="none"/>
          <w:lang w:eastAsia="zh-CN"/>
        </w:rPr>
        <w:t>泉州市洛江区</w:t>
      </w:r>
      <w:r>
        <w:rPr>
          <w:b w:val="0"/>
          <w:color w:val="auto"/>
          <w:sz w:val="24"/>
          <w:highlight w:val="none"/>
        </w:rPr>
        <w:t>的环境卫生是否有显著改善？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711"/>
        <w:gridCol w:w="934"/>
        <w:gridCol w:w="441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显著改善，非常清洁整齐</w:t>
            </w:r>
          </w:p>
        </w:tc>
        <w:tc>
          <w:tcPr>
            <w:shd w:val="clear" w:color="auto" w:fill="FFFFFF"/>
            <w:vAlign w:val="center"/>
          </w:tcPr>
          <w:p>
            <w:pPr>
              <w:jc w:val="center"/>
              <w:rPr>
                <w:color w:val="auto"/>
                <w:highlight w:val="none"/>
              </w:rPr>
            </w:pPr>
            <w:r>
              <w:rPr>
                <w:color w:val="auto"/>
                <w:highlight w:val="none"/>
              </w:rPr>
              <w:t>145</w:t>
            </w:r>
          </w:p>
        </w:tc>
        <w:tc>
          <w:tcPr>
            <w:shd w:val="clear" w:color="auto" w:fill="FFFFFF"/>
            <w:vAlign w:val="center"/>
          </w:tcPr>
          <w:p>
            <w:pPr>
              <w:jc w:val="left"/>
              <w:rPr>
                <w:color w:val="auto"/>
                <w:highlight w:val="none"/>
              </w:rPr>
            </w:pPr>
            <w:r>
              <w:rPr>
                <w:color w:val="auto"/>
                <w:highlight w:val="none"/>
              </w:rPr>
              <w:drawing>
                <wp:inline distT="0" distB="0" distL="114300" distR="114300">
                  <wp:extent cx="666750" cy="1143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7"/>
                          <a:stretch>
                            <a:fillRect/>
                          </a:stretch>
                        </pic:blipFill>
                        <pic:spPr>
                          <a:xfrm>
                            <a:off x="0" y="0"/>
                            <a:ext cx="666750" cy="114300"/>
                          </a:xfrm>
                          <a:prstGeom prst="rect">
                            <a:avLst/>
                          </a:prstGeom>
                          <a:noFill/>
                          <a:ln>
                            <a:noFill/>
                          </a:ln>
                        </pic:spPr>
                      </pic:pic>
                    </a:graphicData>
                  </a:graphic>
                </wp:inline>
              </w:drawing>
            </w:r>
            <w:r>
              <w:rPr>
                <w:color w:val="auto"/>
                <w:highlight w:val="none"/>
              </w:rPr>
              <w:drawing>
                <wp:inline distT="0" distB="0" distL="114300" distR="114300">
                  <wp:extent cx="685800" cy="1143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8"/>
                          <a:stretch>
                            <a:fillRect/>
                          </a:stretch>
                        </pic:blipFill>
                        <pic:spPr>
                          <a:xfrm>
                            <a:off x="0" y="0"/>
                            <a:ext cx="685800" cy="114300"/>
                          </a:xfrm>
                          <a:prstGeom prst="rect">
                            <a:avLst/>
                          </a:prstGeom>
                          <a:noFill/>
                          <a:ln>
                            <a:noFill/>
                          </a:ln>
                        </pic:spPr>
                      </pic:pic>
                    </a:graphicData>
                  </a:graphic>
                </wp:inline>
              </w:drawing>
            </w:r>
            <w:r>
              <w:rPr>
                <w:color w:val="auto"/>
                <w:highlight w:val="none"/>
              </w:rPr>
              <w:t>49.49%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有改善，清洁整齐了许多</w:t>
            </w:r>
          </w:p>
        </w:tc>
        <w:tc>
          <w:tcPr>
            <w:shd w:val="clear" w:color="auto" w:fill="F9F9F9"/>
            <w:vAlign w:val="center"/>
          </w:tcPr>
          <w:p>
            <w:pPr>
              <w:jc w:val="center"/>
              <w:rPr>
                <w:color w:val="auto"/>
                <w:highlight w:val="none"/>
              </w:rPr>
            </w:pPr>
            <w:r>
              <w:rPr>
                <w:color w:val="auto"/>
                <w:highlight w:val="none"/>
              </w:rPr>
              <w:t>136</w:t>
            </w:r>
          </w:p>
        </w:tc>
        <w:tc>
          <w:tcPr>
            <w:shd w:val="clear" w:color="auto" w:fill="F9F9F9"/>
            <w:vAlign w:val="center"/>
          </w:tcPr>
          <w:p>
            <w:pPr>
              <w:jc w:val="left"/>
              <w:rPr>
                <w:color w:val="auto"/>
                <w:highlight w:val="none"/>
              </w:rPr>
            </w:pPr>
            <w:r>
              <w:rPr>
                <w:color w:val="auto"/>
                <w:highlight w:val="none"/>
              </w:rPr>
              <w:drawing>
                <wp:inline distT="0" distB="0" distL="114300" distR="114300">
                  <wp:extent cx="619125" cy="1143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9"/>
                          <a:stretch>
                            <a:fillRect/>
                          </a:stretch>
                        </pic:blipFill>
                        <pic:spPr>
                          <a:xfrm>
                            <a:off x="0" y="0"/>
                            <a:ext cx="619125" cy="114300"/>
                          </a:xfrm>
                          <a:prstGeom prst="rect">
                            <a:avLst/>
                          </a:prstGeom>
                          <a:noFill/>
                          <a:ln>
                            <a:noFill/>
                          </a:ln>
                        </pic:spPr>
                      </pic:pic>
                    </a:graphicData>
                  </a:graphic>
                </wp:inline>
              </w:drawing>
            </w:r>
            <w:r>
              <w:rPr>
                <w:color w:val="auto"/>
                <w:highlight w:val="none"/>
              </w:rPr>
              <w:drawing>
                <wp:inline distT="0" distB="0" distL="114300" distR="114300">
                  <wp:extent cx="733425" cy="11430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0"/>
                          <a:stretch>
                            <a:fillRect/>
                          </a:stretch>
                        </pic:blipFill>
                        <pic:spPr>
                          <a:xfrm>
                            <a:off x="0" y="0"/>
                            <a:ext cx="733425" cy="114300"/>
                          </a:xfrm>
                          <a:prstGeom prst="rect">
                            <a:avLst/>
                          </a:prstGeom>
                          <a:noFill/>
                          <a:ln>
                            <a:noFill/>
                          </a:ln>
                        </pic:spPr>
                      </pic:pic>
                    </a:graphicData>
                  </a:graphic>
                </wp:inline>
              </w:drawing>
            </w:r>
            <w:r>
              <w:rPr>
                <w:color w:val="auto"/>
                <w:highlight w:val="none"/>
              </w:rPr>
              <w:t>46.42%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无明显改善</w:t>
            </w:r>
          </w:p>
        </w:tc>
        <w:tc>
          <w:tcPr>
            <w:shd w:val="clear" w:color="auto" w:fill="FFFFFF"/>
            <w:vAlign w:val="center"/>
          </w:tcPr>
          <w:p>
            <w:pPr>
              <w:jc w:val="center"/>
              <w:rPr>
                <w:color w:val="auto"/>
                <w:highlight w:val="none"/>
              </w:rPr>
            </w:pPr>
            <w:r>
              <w:rPr>
                <w:color w:val="auto"/>
                <w:highlight w:val="none"/>
              </w:rPr>
              <w:t>7</w:t>
            </w:r>
          </w:p>
        </w:tc>
        <w:tc>
          <w:tcPr>
            <w:shd w:val="clear" w:color="auto" w:fill="FFFFFF"/>
            <w:vAlign w:val="center"/>
          </w:tcPr>
          <w:p>
            <w:pPr>
              <w:jc w:val="left"/>
              <w:rPr>
                <w:color w:val="auto"/>
                <w:highlight w:val="none"/>
              </w:rPr>
            </w:pPr>
            <w:r>
              <w:rPr>
                <w:color w:val="auto"/>
                <w:highlight w:val="none"/>
              </w:rPr>
              <w:drawing>
                <wp:inline distT="0" distB="0" distL="114300" distR="114300">
                  <wp:extent cx="28575" cy="1143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9"/>
                          <a:stretch>
                            <a:fillRect/>
                          </a:stretch>
                        </pic:blipFill>
                        <pic:spPr>
                          <a:xfrm>
                            <a:off x="0" y="0"/>
                            <a:ext cx="28575" cy="114300"/>
                          </a:xfrm>
                          <a:prstGeom prst="rect">
                            <a:avLst/>
                          </a:prstGeom>
                          <a:noFill/>
                          <a:ln>
                            <a:noFill/>
                          </a:ln>
                        </pic:spPr>
                      </pic:pic>
                    </a:graphicData>
                  </a:graphic>
                </wp:inline>
              </w:drawing>
            </w:r>
            <w:r>
              <w:rPr>
                <w:color w:val="auto"/>
                <w:highlight w:val="none"/>
              </w:rPr>
              <w:drawing>
                <wp:inline distT="0" distB="0" distL="114300" distR="114300">
                  <wp:extent cx="1323975" cy="1143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0"/>
                          <a:stretch>
                            <a:fillRect/>
                          </a:stretch>
                        </pic:blipFill>
                        <pic:spPr>
                          <a:xfrm>
                            <a:off x="0" y="0"/>
                            <a:ext cx="1323975" cy="114300"/>
                          </a:xfrm>
                          <a:prstGeom prst="rect">
                            <a:avLst/>
                          </a:prstGeom>
                          <a:noFill/>
                          <a:ln>
                            <a:noFill/>
                          </a:ln>
                        </pic:spPr>
                      </pic:pic>
                    </a:graphicData>
                  </a:graphic>
                </wp:inline>
              </w:drawing>
            </w:r>
            <w:r>
              <w:rPr>
                <w:color w:val="auto"/>
                <w:highlight w:val="none"/>
              </w:rPr>
              <w:t>2.39%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没感觉</w:t>
            </w:r>
          </w:p>
        </w:tc>
        <w:tc>
          <w:tcPr>
            <w:shd w:val="clear" w:color="auto" w:fill="F9F9F9"/>
            <w:vAlign w:val="center"/>
          </w:tcPr>
          <w:p>
            <w:pPr>
              <w:jc w:val="center"/>
              <w:rPr>
                <w:color w:val="auto"/>
                <w:highlight w:val="none"/>
              </w:rPr>
            </w:pPr>
            <w:r>
              <w:rPr>
                <w:color w:val="auto"/>
                <w:highlight w:val="none"/>
              </w:rPr>
              <w:t>5</w:t>
            </w:r>
          </w:p>
        </w:tc>
        <w:tc>
          <w:tcPr>
            <w:shd w:val="clear" w:color="auto" w:fill="F9F9F9"/>
            <w:vAlign w:val="center"/>
          </w:tcPr>
          <w:p>
            <w:pPr>
              <w:jc w:val="left"/>
              <w:rPr>
                <w:color w:val="auto"/>
                <w:highlight w:val="none"/>
              </w:rPr>
            </w:pPr>
            <w:r>
              <w:rPr>
                <w:color w:val="auto"/>
                <w:highlight w:val="none"/>
              </w:rPr>
              <w:drawing>
                <wp:inline distT="0" distB="0" distL="114300" distR="114300">
                  <wp:extent cx="19050" cy="1143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
                          <a:stretch>
                            <a:fillRect/>
                          </a:stretch>
                        </pic:blipFill>
                        <pic:spPr>
                          <a:xfrm>
                            <a:off x="0" y="0"/>
                            <a:ext cx="19050" cy="114300"/>
                          </a:xfrm>
                          <a:prstGeom prst="rect">
                            <a:avLst/>
                          </a:prstGeom>
                          <a:noFill/>
                          <a:ln>
                            <a:noFill/>
                          </a:ln>
                        </pic:spPr>
                      </pic:pic>
                    </a:graphicData>
                  </a:graphic>
                </wp:inline>
              </w:drawing>
            </w:r>
            <w:r>
              <w:rPr>
                <w:color w:val="auto"/>
                <w:highlight w:val="none"/>
              </w:rPr>
              <w:drawing>
                <wp:inline distT="0" distB="0" distL="114300" distR="114300">
                  <wp:extent cx="1333500" cy="1143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a:stretch>
                            <a:fillRect/>
                          </a:stretch>
                        </pic:blipFill>
                        <pic:spPr>
                          <a:xfrm>
                            <a:off x="0" y="0"/>
                            <a:ext cx="1333500" cy="114300"/>
                          </a:xfrm>
                          <a:prstGeom prst="rect">
                            <a:avLst/>
                          </a:prstGeom>
                          <a:noFill/>
                          <a:ln>
                            <a:noFill/>
                          </a:ln>
                        </pic:spPr>
                      </pic:pic>
                    </a:graphicData>
                  </a:graphic>
                </wp:inline>
              </w:drawing>
            </w:r>
            <w:r>
              <w:rPr>
                <w:color w:val="auto"/>
                <w:highlight w:val="none"/>
              </w:rPr>
              <w:t>1.71%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第8题   对于</w:t>
      </w:r>
      <w:r>
        <w:rPr>
          <w:rFonts w:hint="eastAsia"/>
          <w:b w:val="0"/>
          <w:color w:val="auto"/>
          <w:sz w:val="24"/>
          <w:highlight w:val="none"/>
          <w:lang w:eastAsia="zh-CN"/>
        </w:rPr>
        <w:t>泉州市洛江区</w:t>
      </w:r>
      <w:r>
        <w:rPr>
          <w:b w:val="0"/>
          <w:color w:val="auto"/>
          <w:sz w:val="24"/>
          <w:highlight w:val="none"/>
        </w:rPr>
        <w:t>垃圾分类工作开展情况，你满意吗？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20"/>
        <w:gridCol w:w="1046"/>
        <w:gridCol w:w="489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非常满意</w:t>
            </w:r>
          </w:p>
        </w:tc>
        <w:tc>
          <w:tcPr>
            <w:shd w:val="clear" w:color="auto" w:fill="FFFFFF"/>
            <w:vAlign w:val="center"/>
          </w:tcPr>
          <w:p>
            <w:pPr>
              <w:jc w:val="center"/>
              <w:rPr>
                <w:color w:val="auto"/>
                <w:highlight w:val="none"/>
              </w:rPr>
            </w:pPr>
            <w:r>
              <w:rPr>
                <w:color w:val="auto"/>
                <w:highlight w:val="none"/>
              </w:rPr>
              <w:t>138</w:t>
            </w:r>
          </w:p>
        </w:tc>
        <w:tc>
          <w:tcPr>
            <w:shd w:val="clear" w:color="auto" w:fill="FFFFFF"/>
            <w:vAlign w:val="center"/>
          </w:tcPr>
          <w:p>
            <w:pPr>
              <w:jc w:val="left"/>
              <w:rPr>
                <w:color w:val="auto"/>
                <w:highlight w:val="none"/>
              </w:rPr>
            </w:pPr>
            <w:r>
              <w:rPr>
                <w:color w:val="auto"/>
                <w:highlight w:val="none"/>
              </w:rPr>
              <w:drawing>
                <wp:inline distT="0" distB="0" distL="114300" distR="114300">
                  <wp:extent cx="628650" cy="1143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1"/>
                          <a:stretch>
                            <a:fillRect/>
                          </a:stretch>
                        </pic:blipFill>
                        <pic:spPr>
                          <a:xfrm>
                            <a:off x="0" y="0"/>
                            <a:ext cx="628650" cy="114300"/>
                          </a:xfrm>
                          <a:prstGeom prst="rect">
                            <a:avLst/>
                          </a:prstGeom>
                          <a:noFill/>
                          <a:ln>
                            <a:noFill/>
                          </a:ln>
                        </pic:spPr>
                      </pic:pic>
                    </a:graphicData>
                  </a:graphic>
                </wp:inline>
              </w:drawing>
            </w:r>
            <w:r>
              <w:rPr>
                <w:color w:val="auto"/>
                <w:highlight w:val="none"/>
              </w:rPr>
              <w:drawing>
                <wp:inline distT="0" distB="0" distL="114300" distR="114300">
                  <wp:extent cx="723900" cy="1143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2"/>
                          <a:stretch>
                            <a:fillRect/>
                          </a:stretch>
                        </pic:blipFill>
                        <pic:spPr>
                          <a:xfrm>
                            <a:off x="0" y="0"/>
                            <a:ext cx="723900" cy="114300"/>
                          </a:xfrm>
                          <a:prstGeom prst="rect">
                            <a:avLst/>
                          </a:prstGeom>
                          <a:noFill/>
                          <a:ln>
                            <a:noFill/>
                          </a:ln>
                        </pic:spPr>
                      </pic:pic>
                    </a:graphicData>
                  </a:graphic>
                </wp:inline>
              </w:drawing>
            </w:r>
            <w:r>
              <w:rPr>
                <w:color w:val="auto"/>
                <w:highlight w:val="none"/>
              </w:rPr>
              <w:t>47.1%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满意</w:t>
            </w:r>
          </w:p>
        </w:tc>
        <w:tc>
          <w:tcPr>
            <w:shd w:val="clear" w:color="auto" w:fill="F9F9F9"/>
            <w:vAlign w:val="center"/>
          </w:tcPr>
          <w:p>
            <w:pPr>
              <w:jc w:val="center"/>
              <w:rPr>
                <w:color w:val="auto"/>
                <w:highlight w:val="none"/>
              </w:rPr>
            </w:pPr>
            <w:r>
              <w:rPr>
                <w:color w:val="auto"/>
                <w:highlight w:val="none"/>
              </w:rPr>
              <w:t>129</w:t>
            </w:r>
          </w:p>
        </w:tc>
        <w:tc>
          <w:tcPr>
            <w:shd w:val="clear" w:color="auto" w:fill="F9F9F9"/>
            <w:vAlign w:val="center"/>
          </w:tcPr>
          <w:p>
            <w:pPr>
              <w:jc w:val="left"/>
              <w:rPr>
                <w:color w:val="auto"/>
                <w:highlight w:val="none"/>
              </w:rPr>
            </w:pPr>
            <w:r>
              <w:rPr>
                <w:color w:val="auto"/>
                <w:highlight w:val="none"/>
              </w:rPr>
              <w:drawing>
                <wp:inline distT="0" distB="0" distL="114300" distR="114300">
                  <wp:extent cx="590550" cy="1143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3"/>
                          <a:stretch>
                            <a:fillRect/>
                          </a:stretch>
                        </pic:blipFill>
                        <pic:spPr>
                          <a:xfrm>
                            <a:off x="0" y="0"/>
                            <a:ext cx="590550" cy="114300"/>
                          </a:xfrm>
                          <a:prstGeom prst="rect">
                            <a:avLst/>
                          </a:prstGeom>
                          <a:noFill/>
                          <a:ln>
                            <a:noFill/>
                          </a:ln>
                        </pic:spPr>
                      </pic:pic>
                    </a:graphicData>
                  </a:graphic>
                </wp:inline>
              </w:drawing>
            </w:r>
            <w:r>
              <w:rPr>
                <w:color w:val="auto"/>
                <w:highlight w:val="none"/>
              </w:rPr>
              <w:drawing>
                <wp:inline distT="0" distB="0" distL="114300" distR="114300">
                  <wp:extent cx="762000" cy="114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4"/>
                          <a:stretch>
                            <a:fillRect/>
                          </a:stretch>
                        </pic:blipFill>
                        <pic:spPr>
                          <a:xfrm>
                            <a:off x="0" y="0"/>
                            <a:ext cx="762000" cy="114300"/>
                          </a:xfrm>
                          <a:prstGeom prst="rect">
                            <a:avLst/>
                          </a:prstGeom>
                          <a:noFill/>
                          <a:ln>
                            <a:noFill/>
                          </a:ln>
                        </pic:spPr>
                      </pic:pic>
                    </a:graphicData>
                  </a:graphic>
                </wp:inline>
              </w:drawing>
            </w:r>
            <w:r>
              <w:rPr>
                <w:color w:val="auto"/>
                <w:highlight w:val="none"/>
              </w:rPr>
              <w:t>44.03%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一般</w:t>
            </w:r>
          </w:p>
        </w:tc>
        <w:tc>
          <w:tcPr>
            <w:shd w:val="clear" w:color="auto" w:fill="FFFFFF"/>
            <w:vAlign w:val="center"/>
          </w:tcPr>
          <w:p>
            <w:pPr>
              <w:jc w:val="center"/>
              <w:rPr>
                <w:color w:val="auto"/>
                <w:highlight w:val="none"/>
              </w:rPr>
            </w:pPr>
            <w:r>
              <w:rPr>
                <w:color w:val="auto"/>
                <w:highlight w:val="none"/>
              </w:rPr>
              <w:t>23</w:t>
            </w:r>
          </w:p>
        </w:tc>
        <w:tc>
          <w:tcPr>
            <w:shd w:val="clear" w:color="auto" w:fill="FFFFFF"/>
            <w:vAlign w:val="center"/>
          </w:tcPr>
          <w:p>
            <w:pPr>
              <w:jc w:val="left"/>
              <w:rPr>
                <w:color w:val="auto"/>
                <w:highlight w:val="none"/>
              </w:rPr>
            </w:pPr>
            <w:r>
              <w:rPr>
                <w:color w:val="auto"/>
                <w:highlight w:val="none"/>
              </w:rPr>
              <w:drawing>
                <wp:inline distT="0" distB="0" distL="114300" distR="114300">
                  <wp:extent cx="104775" cy="1143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3"/>
                          <a:stretch>
                            <a:fillRect/>
                          </a:stretch>
                        </pic:blipFill>
                        <pic:spPr>
                          <a:xfrm>
                            <a:off x="0" y="0"/>
                            <a:ext cx="104775" cy="114300"/>
                          </a:xfrm>
                          <a:prstGeom prst="rect">
                            <a:avLst/>
                          </a:prstGeom>
                          <a:noFill/>
                          <a:ln>
                            <a:noFill/>
                          </a:ln>
                        </pic:spPr>
                      </pic:pic>
                    </a:graphicData>
                  </a:graphic>
                </wp:inline>
              </w:drawing>
            </w:r>
            <w:r>
              <w:rPr>
                <w:color w:val="auto"/>
                <w:highlight w:val="none"/>
              </w:rPr>
              <w:drawing>
                <wp:inline distT="0" distB="0" distL="114300" distR="114300">
                  <wp:extent cx="1247775" cy="1143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4"/>
                          <a:stretch>
                            <a:fillRect/>
                          </a:stretch>
                        </pic:blipFill>
                        <pic:spPr>
                          <a:xfrm>
                            <a:off x="0" y="0"/>
                            <a:ext cx="1247775" cy="114300"/>
                          </a:xfrm>
                          <a:prstGeom prst="rect">
                            <a:avLst/>
                          </a:prstGeom>
                          <a:noFill/>
                          <a:ln>
                            <a:noFill/>
                          </a:ln>
                        </pic:spPr>
                      </pic:pic>
                    </a:graphicData>
                  </a:graphic>
                </wp:inline>
              </w:drawing>
            </w:r>
            <w:r>
              <w:rPr>
                <w:color w:val="auto"/>
                <w:highlight w:val="none"/>
              </w:rPr>
              <w:t>7.85%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不满意</w:t>
            </w:r>
          </w:p>
        </w:tc>
        <w:tc>
          <w:tcPr>
            <w:shd w:val="clear" w:color="auto" w:fill="F9F9F9"/>
            <w:vAlign w:val="center"/>
          </w:tcPr>
          <w:p>
            <w:pPr>
              <w:jc w:val="center"/>
              <w:rPr>
                <w:color w:val="auto"/>
                <w:highlight w:val="none"/>
              </w:rPr>
            </w:pPr>
            <w:r>
              <w:rPr>
                <w:color w:val="auto"/>
                <w:highlight w:val="none"/>
              </w:rPr>
              <w:t>3</w:t>
            </w:r>
          </w:p>
        </w:tc>
        <w:tc>
          <w:tcPr>
            <w:shd w:val="clear" w:color="auto" w:fill="F9F9F9"/>
            <w:vAlign w:val="center"/>
          </w:tcPr>
          <w:p>
            <w:pPr>
              <w:jc w:val="left"/>
              <w:rPr>
                <w:color w:val="auto"/>
                <w:highlight w:val="none"/>
              </w:rPr>
            </w:pPr>
            <w:r>
              <w:rPr>
                <w:color w:val="auto"/>
                <w:highlight w:val="none"/>
              </w:rPr>
              <w:drawing>
                <wp:inline distT="0" distB="0" distL="114300" distR="114300">
                  <wp:extent cx="9525" cy="11430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9"/>
                          <a:stretch>
                            <a:fillRect/>
                          </a:stretch>
                        </pic:blipFill>
                        <pic:spPr>
                          <a:xfrm>
                            <a:off x="0" y="0"/>
                            <a:ext cx="9525" cy="114300"/>
                          </a:xfrm>
                          <a:prstGeom prst="rect">
                            <a:avLst/>
                          </a:prstGeom>
                          <a:noFill/>
                          <a:ln>
                            <a:noFill/>
                          </a:ln>
                        </pic:spPr>
                      </pic:pic>
                    </a:graphicData>
                  </a:graphic>
                </wp:inline>
              </w:drawing>
            </w:r>
            <w:r>
              <w:rPr>
                <w:color w:val="auto"/>
                <w:highlight w:val="none"/>
              </w:rPr>
              <w:drawing>
                <wp:inline distT="0" distB="0" distL="114300" distR="114300">
                  <wp:extent cx="1343025" cy="1143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0"/>
                          <a:stretch>
                            <a:fillRect/>
                          </a:stretch>
                        </pic:blipFill>
                        <pic:spPr>
                          <a:xfrm>
                            <a:off x="0" y="0"/>
                            <a:ext cx="1343025" cy="114300"/>
                          </a:xfrm>
                          <a:prstGeom prst="rect">
                            <a:avLst/>
                          </a:prstGeom>
                          <a:noFill/>
                          <a:ln>
                            <a:noFill/>
                          </a:ln>
                        </pic:spPr>
                      </pic:pic>
                    </a:graphicData>
                  </a:graphic>
                </wp:inline>
              </w:drawing>
            </w:r>
            <w:r>
              <w:rPr>
                <w:color w:val="auto"/>
                <w:highlight w:val="none"/>
              </w:rPr>
              <w:t>1.02%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第9题   您认为</w:t>
      </w:r>
      <w:r>
        <w:rPr>
          <w:rFonts w:hint="eastAsia"/>
          <w:b w:val="0"/>
          <w:color w:val="auto"/>
          <w:sz w:val="24"/>
          <w:highlight w:val="none"/>
          <w:lang w:eastAsia="zh-CN"/>
        </w:rPr>
        <w:t>泉州市洛江区</w:t>
      </w:r>
      <w:r>
        <w:rPr>
          <w:b w:val="0"/>
          <w:color w:val="auto"/>
          <w:sz w:val="24"/>
          <w:highlight w:val="none"/>
        </w:rPr>
        <w:t>垃圾分类配套设备做得好不好？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非常好</w:t>
            </w:r>
          </w:p>
        </w:tc>
        <w:tc>
          <w:tcPr>
            <w:shd w:val="clear" w:color="auto" w:fill="FFFFFF"/>
            <w:vAlign w:val="center"/>
          </w:tcPr>
          <w:p>
            <w:pPr>
              <w:jc w:val="center"/>
              <w:rPr>
                <w:color w:val="auto"/>
                <w:highlight w:val="none"/>
              </w:rPr>
            </w:pPr>
            <w:r>
              <w:rPr>
                <w:color w:val="auto"/>
                <w:highlight w:val="none"/>
              </w:rPr>
              <w:t>127</w:t>
            </w:r>
          </w:p>
        </w:tc>
        <w:tc>
          <w:tcPr>
            <w:shd w:val="clear" w:color="auto" w:fill="FFFFFF"/>
            <w:vAlign w:val="center"/>
          </w:tcPr>
          <w:p>
            <w:pPr>
              <w:jc w:val="left"/>
              <w:rPr>
                <w:color w:val="auto"/>
                <w:highlight w:val="none"/>
              </w:rPr>
            </w:pPr>
            <w:r>
              <w:rPr>
                <w:color w:val="auto"/>
                <w:highlight w:val="none"/>
              </w:rPr>
              <w:drawing>
                <wp:inline distT="0" distB="0" distL="114300" distR="114300">
                  <wp:extent cx="581025" cy="1143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5"/>
                          <a:stretch>
                            <a:fillRect/>
                          </a:stretch>
                        </pic:blipFill>
                        <pic:spPr>
                          <a:xfrm>
                            <a:off x="0" y="0"/>
                            <a:ext cx="581025" cy="114300"/>
                          </a:xfrm>
                          <a:prstGeom prst="rect">
                            <a:avLst/>
                          </a:prstGeom>
                          <a:noFill/>
                          <a:ln>
                            <a:noFill/>
                          </a:ln>
                        </pic:spPr>
                      </pic:pic>
                    </a:graphicData>
                  </a:graphic>
                </wp:inline>
              </w:drawing>
            </w:r>
            <w:r>
              <w:rPr>
                <w:color w:val="auto"/>
                <w:highlight w:val="none"/>
              </w:rPr>
              <w:drawing>
                <wp:inline distT="0" distB="0" distL="114300" distR="114300">
                  <wp:extent cx="771525" cy="11430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6"/>
                          <a:stretch>
                            <a:fillRect/>
                          </a:stretch>
                        </pic:blipFill>
                        <pic:spPr>
                          <a:xfrm>
                            <a:off x="0" y="0"/>
                            <a:ext cx="771525" cy="114300"/>
                          </a:xfrm>
                          <a:prstGeom prst="rect">
                            <a:avLst/>
                          </a:prstGeom>
                          <a:noFill/>
                          <a:ln>
                            <a:noFill/>
                          </a:ln>
                        </pic:spPr>
                      </pic:pic>
                    </a:graphicData>
                  </a:graphic>
                </wp:inline>
              </w:drawing>
            </w:r>
            <w:r>
              <w:rPr>
                <w:color w:val="auto"/>
                <w:highlight w:val="none"/>
              </w:rPr>
              <w:t>43.34%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好</w:t>
            </w:r>
          </w:p>
        </w:tc>
        <w:tc>
          <w:tcPr>
            <w:shd w:val="clear" w:color="auto" w:fill="F9F9F9"/>
            <w:vAlign w:val="center"/>
          </w:tcPr>
          <w:p>
            <w:pPr>
              <w:jc w:val="center"/>
              <w:rPr>
                <w:color w:val="auto"/>
                <w:highlight w:val="none"/>
              </w:rPr>
            </w:pPr>
            <w:r>
              <w:rPr>
                <w:color w:val="auto"/>
                <w:highlight w:val="none"/>
              </w:rPr>
              <w:t>148</w:t>
            </w:r>
          </w:p>
        </w:tc>
        <w:tc>
          <w:tcPr>
            <w:shd w:val="clear" w:color="auto" w:fill="F9F9F9"/>
            <w:vAlign w:val="center"/>
          </w:tcPr>
          <w:p>
            <w:pPr>
              <w:jc w:val="left"/>
              <w:rPr>
                <w:color w:val="auto"/>
                <w:highlight w:val="none"/>
              </w:rPr>
            </w:pPr>
            <w:r>
              <w:rPr>
                <w:color w:val="auto"/>
                <w:highlight w:val="none"/>
              </w:rPr>
              <w:drawing>
                <wp:inline distT="0" distB="0" distL="114300" distR="114300">
                  <wp:extent cx="676275" cy="11430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7"/>
                          <a:stretch>
                            <a:fillRect/>
                          </a:stretch>
                        </pic:blipFill>
                        <pic:spPr>
                          <a:xfrm>
                            <a:off x="0" y="0"/>
                            <a:ext cx="676275" cy="114300"/>
                          </a:xfrm>
                          <a:prstGeom prst="rect">
                            <a:avLst/>
                          </a:prstGeom>
                          <a:noFill/>
                          <a:ln>
                            <a:noFill/>
                          </a:ln>
                        </pic:spPr>
                      </pic:pic>
                    </a:graphicData>
                  </a:graphic>
                </wp:inline>
              </w:drawing>
            </w:r>
            <w:r>
              <w:rPr>
                <w:color w:val="auto"/>
                <w:highlight w:val="none"/>
              </w:rPr>
              <w:drawing>
                <wp:inline distT="0" distB="0" distL="114300" distR="114300">
                  <wp:extent cx="676275" cy="11430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8"/>
                          <a:stretch>
                            <a:fillRect/>
                          </a:stretch>
                        </pic:blipFill>
                        <pic:spPr>
                          <a:xfrm>
                            <a:off x="0" y="0"/>
                            <a:ext cx="676275" cy="114300"/>
                          </a:xfrm>
                          <a:prstGeom prst="rect">
                            <a:avLst/>
                          </a:prstGeom>
                          <a:noFill/>
                          <a:ln>
                            <a:noFill/>
                          </a:ln>
                        </pic:spPr>
                      </pic:pic>
                    </a:graphicData>
                  </a:graphic>
                </wp:inline>
              </w:drawing>
            </w:r>
            <w:r>
              <w:rPr>
                <w:color w:val="auto"/>
                <w:highlight w:val="none"/>
              </w:rPr>
              <w:t>50.51%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不好</w:t>
            </w:r>
          </w:p>
        </w:tc>
        <w:tc>
          <w:tcPr>
            <w:shd w:val="clear" w:color="auto" w:fill="FFFFFF"/>
            <w:vAlign w:val="center"/>
          </w:tcPr>
          <w:p>
            <w:pPr>
              <w:jc w:val="center"/>
              <w:rPr>
                <w:color w:val="auto"/>
                <w:highlight w:val="none"/>
              </w:rPr>
            </w:pPr>
            <w:r>
              <w:rPr>
                <w:color w:val="auto"/>
                <w:highlight w:val="none"/>
              </w:rPr>
              <w:t>5</w:t>
            </w:r>
          </w:p>
        </w:tc>
        <w:tc>
          <w:tcPr>
            <w:shd w:val="clear" w:color="auto" w:fill="FFFFFF"/>
            <w:vAlign w:val="center"/>
          </w:tcPr>
          <w:p>
            <w:pPr>
              <w:jc w:val="left"/>
              <w:rPr>
                <w:color w:val="auto"/>
                <w:highlight w:val="none"/>
              </w:rPr>
            </w:pPr>
            <w:r>
              <w:rPr>
                <w:color w:val="auto"/>
                <w:highlight w:val="none"/>
              </w:rPr>
              <w:drawing>
                <wp:inline distT="0" distB="0" distL="114300" distR="114300">
                  <wp:extent cx="19050" cy="1143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5"/>
                          <a:stretch>
                            <a:fillRect/>
                          </a:stretch>
                        </pic:blipFill>
                        <pic:spPr>
                          <a:xfrm>
                            <a:off x="0" y="0"/>
                            <a:ext cx="19050" cy="114300"/>
                          </a:xfrm>
                          <a:prstGeom prst="rect">
                            <a:avLst/>
                          </a:prstGeom>
                          <a:noFill/>
                          <a:ln>
                            <a:noFill/>
                          </a:ln>
                        </pic:spPr>
                      </pic:pic>
                    </a:graphicData>
                  </a:graphic>
                </wp:inline>
              </w:drawing>
            </w:r>
            <w:r>
              <w:rPr>
                <w:color w:val="auto"/>
                <w:highlight w:val="none"/>
              </w:rPr>
              <w:drawing>
                <wp:inline distT="0" distB="0" distL="114300" distR="114300">
                  <wp:extent cx="1333500" cy="114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6"/>
                          <a:stretch>
                            <a:fillRect/>
                          </a:stretch>
                        </pic:blipFill>
                        <pic:spPr>
                          <a:xfrm>
                            <a:off x="0" y="0"/>
                            <a:ext cx="1333500" cy="114300"/>
                          </a:xfrm>
                          <a:prstGeom prst="rect">
                            <a:avLst/>
                          </a:prstGeom>
                          <a:noFill/>
                          <a:ln>
                            <a:noFill/>
                          </a:ln>
                        </pic:spPr>
                      </pic:pic>
                    </a:graphicData>
                  </a:graphic>
                </wp:inline>
              </w:drawing>
            </w:r>
            <w:r>
              <w:rPr>
                <w:color w:val="auto"/>
                <w:highlight w:val="none"/>
              </w:rPr>
              <w:t>1.71%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无意见、没感觉</w:t>
            </w:r>
          </w:p>
        </w:tc>
        <w:tc>
          <w:tcPr>
            <w:shd w:val="clear" w:color="auto" w:fill="F9F9F9"/>
            <w:vAlign w:val="center"/>
          </w:tcPr>
          <w:p>
            <w:pPr>
              <w:jc w:val="center"/>
              <w:rPr>
                <w:color w:val="auto"/>
                <w:highlight w:val="none"/>
              </w:rPr>
            </w:pPr>
            <w:r>
              <w:rPr>
                <w:color w:val="auto"/>
                <w:highlight w:val="none"/>
              </w:rPr>
              <w:t>13</w:t>
            </w:r>
          </w:p>
        </w:tc>
        <w:tc>
          <w:tcPr>
            <w:shd w:val="clear" w:color="auto" w:fill="F9F9F9"/>
            <w:vAlign w:val="center"/>
          </w:tcPr>
          <w:p>
            <w:pPr>
              <w:jc w:val="left"/>
              <w:rPr>
                <w:color w:val="auto"/>
                <w:highlight w:val="none"/>
              </w:rPr>
            </w:pPr>
            <w:r>
              <w:rPr>
                <w:color w:val="auto"/>
                <w:highlight w:val="none"/>
              </w:rPr>
              <w:drawing>
                <wp:inline distT="0" distB="0" distL="114300" distR="114300">
                  <wp:extent cx="57150" cy="1143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9"/>
                          <a:stretch>
                            <a:fillRect/>
                          </a:stretch>
                        </pic:blipFill>
                        <pic:spPr>
                          <a:xfrm>
                            <a:off x="0" y="0"/>
                            <a:ext cx="57150" cy="114300"/>
                          </a:xfrm>
                          <a:prstGeom prst="rect">
                            <a:avLst/>
                          </a:prstGeom>
                          <a:noFill/>
                          <a:ln>
                            <a:noFill/>
                          </a:ln>
                        </pic:spPr>
                      </pic:pic>
                    </a:graphicData>
                  </a:graphic>
                </wp:inline>
              </w:drawing>
            </w:r>
            <w:r>
              <w:rPr>
                <w:color w:val="auto"/>
                <w:highlight w:val="none"/>
              </w:rPr>
              <w:drawing>
                <wp:inline distT="0" distB="0" distL="114300" distR="114300">
                  <wp:extent cx="1295400" cy="1143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0"/>
                          <a:stretch>
                            <a:fillRect/>
                          </a:stretch>
                        </pic:blipFill>
                        <pic:spPr>
                          <a:xfrm>
                            <a:off x="0" y="0"/>
                            <a:ext cx="1295400" cy="114300"/>
                          </a:xfrm>
                          <a:prstGeom prst="rect">
                            <a:avLst/>
                          </a:prstGeom>
                          <a:noFill/>
                          <a:ln>
                            <a:noFill/>
                          </a:ln>
                        </pic:spPr>
                      </pic:pic>
                    </a:graphicData>
                  </a:graphic>
                </wp:inline>
              </w:drawing>
            </w:r>
            <w:r>
              <w:rPr>
                <w:color w:val="auto"/>
                <w:highlight w:val="none"/>
              </w:rPr>
              <w:t>4.44%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第10题   你认为</w:t>
      </w:r>
      <w:r>
        <w:rPr>
          <w:rFonts w:hint="eastAsia"/>
          <w:b w:val="0"/>
          <w:color w:val="auto"/>
          <w:sz w:val="24"/>
          <w:highlight w:val="none"/>
          <w:lang w:eastAsia="zh-CN"/>
        </w:rPr>
        <w:t>泉州市洛江区</w:t>
      </w:r>
      <w:r>
        <w:rPr>
          <w:b w:val="0"/>
          <w:color w:val="auto"/>
          <w:sz w:val="24"/>
          <w:highlight w:val="none"/>
        </w:rPr>
        <w:t>垃圾分类工作宣传是否到位？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非常到位</w:t>
            </w:r>
          </w:p>
        </w:tc>
        <w:tc>
          <w:tcPr>
            <w:shd w:val="clear" w:color="auto" w:fill="FFFFFF"/>
            <w:vAlign w:val="center"/>
          </w:tcPr>
          <w:p>
            <w:pPr>
              <w:jc w:val="center"/>
              <w:rPr>
                <w:color w:val="auto"/>
                <w:highlight w:val="none"/>
              </w:rPr>
            </w:pPr>
            <w:r>
              <w:rPr>
                <w:color w:val="auto"/>
                <w:highlight w:val="none"/>
              </w:rPr>
              <w:t>127</w:t>
            </w:r>
          </w:p>
        </w:tc>
        <w:tc>
          <w:tcPr>
            <w:shd w:val="clear" w:color="auto" w:fill="FFFFFF"/>
            <w:vAlign w:val="center"/>
          </w:tcPr>
          <w:p>
            <w:pPr>
              <w:jc w:val="left"/>
              <w:rPr>
                <w:color w:val="auto"/>
                <w:highlight w:val="none"/>
              </w:rPr>
            </w:pPr>
            <w:r>
              <w:rPr>
                <w:color w:val="auto"/>
                <w:highlight w:val="none"/>
              </w:rPr>
              <w:drawing>
                <wp:inline distT="0" distB="0" distL="114300" distR="114300">
                  <wp:extent cx="581025" cy="114300"/>
                  <wp:effectExtent l="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5"/>
                          <a:stretch>
                            <a:fillRect/>
                          </a:stretch>
                        </pic:blipFill>
                        <pic:spPr>
                          <a:xfrm>
                            <a:off x="0" y="0"/>
                            <a:ext cx="581025" cy="114300"/>
                          </a:xfrm>
                          <a:prstGeom prst="rect">
                            <a:avLst/>
                          </a:prstGeom>
                          <a:noFill/>
                          <a:ln>
                            <a:noFill/>
                          </a:ln>
                        </pic:spPr>
                      </pic:pic>
                    </a:graphicData>
                  </a:graphic>
                </wp:inline>
              </w:drawing>
            </w:r>
            <w:r>
              <w:rPr>
                <w:color w:val="auto"/>
                <w:highlight w:val="none"/>
              </w:rPr>
              <w:drawing>
                <wp:inline distT="0" distB="0" distL="114300" distR="114300">
                  <wp:extent cx="771525" cy="11430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6"/>
                          <a:stretch>
                            <a:fillRect/>
                          </a:stretch>
                        </pic:blipFill>
                        <pic:spPr>
                          <a:xfrm>
                            <a:off x="0" y="0"/>
                            <a:ext cx="771525" cy="114300"/>
                          </a:xfrm>
                          <a:prstGeom prst="rect">
                            <a:avLst/>
                          </a:prstGeom>
                          <a:noFill/>
                          <a:ln>
                            <a:noFill/>
                          </a:ln>
                        </pic:spPr>
                      </pic:pic>
                    </a:graphicData>
                  </a:graphic>
                </wp:inline>
              </w:drawing>
            </w:r>
            <w:r>
              <w:rPr>
                <w:color w:val="auto"/>
                <w:highlight w:val="none"/>
              </w:rPr>
              <w:t>43.34%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到位</w:t>
            </w:r>
          </w:p>
        </w:tc>
        <w:tc>
          <w:tcPr>
            <w:shd w:val="clear" w:color="auto" w:fill="F9F9F9"/>
            <w:vAlign w:val="center"/>
          </w:tcPr>
          <w:p>
            <w:pPr>
              <w:jc w:val="center"/>
              <w:rPr>
                <w:color w:val="auto"/>
                <w:highlight w:val="none"/>
              </w:rPr>
            </w:pPr>
            <w:r>
              <w:rPr>
                <w:color w:val="auto"/>
                <w:highlight w:val="none"/>
              </w:rPr>
              <w:t>140</w:t>
            </w:r>
          </w:p>
        </w:tc>
        <w:tc>
          <w:tcPr>
            <w:shd w:val="clear" w:color="auto" w:fill="F9F9F9"/>
            <w:vAlign w:val="center"/>
          </w:tcPr>
          <w:p>
            <w:pPr>
              <w:jc w:val="left"/>
              <w:rPr>
                <w:color w:val="auto"/>
                <w:highlight w:val="none"/>
              </w:rPr>
            </w:pPr>
            <w:r>
              <w:rPr>
                <w:color w:val="auto"/>
                <w:highlight w:val="none"/>
              </w:rPr>
              <w:drawing>
                <wp:inline distT="0" distB="0" distL="114300" distR="114300">
                  <wp:extent cx="638175" cy="11430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1"/>
                          <a:stretch>
                            <a:fillRect/>
                          </a:stretch>
                        </pic:blipFill>
                        <pic:spPr>
                          <a:xfrm>
                            <a:off x="0" y="0"/>
                            <a:ext cx="638175" cy="114300"/>
                          </a:xfrm>
                          <a:prstGeom prst="rect">
                            <a:avLst/>
                          </a:prstGeom>
                          <a:noFill/>
                          <a:ln>
                            <a:noFill/>
                          </a:ln>
                        </pic:spPr>
                      </pic:pic>
                    </a:graphicData>
                  </a:graphic>
                </wp:inline>
              </w:drawing>
            </w:r>
            <w:r>
              <w:rPr>
                <w:color w:val="auto"/>
                <w:highlight w:val="none"/>
              </w:rPr>
              <w:drawing>
                <wp:inline distT="0" distB="0" distL="114300" distR="114300">
                  <wp:extent cx="714375" cy="11430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2"/>
                          <a:stretch>
                            <a:fillRect/>
                          </a:stretch>
                        </pic:blipFill>
                        <pic:spPr>
                          <a:xfrm>
                            <a:off x="0" y="0"/>
                            <a:ext cx="714375" cy="114300"/>
                          </a:xfrm>
                          <a:prstGeom prst="rect">
                            <a:avLst/>
                          </a:prstGeom>
                          <a:noFill/>
                          <a:ln>
                            <a:noFill/>
                          </a:ln>
                        </pic:spPr>
                      </pic:pic>
                    </a:graphicData>
                  </a:graphic>
                </wp:inline>
              </w:drawing>
            </w:r>
            <w:r>
              <w:rPr>
                <w:color w:val="auto"/>
                <w:highlight w:val="none"/>
              </w:rPr>
              <w:t>47.78%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不到位</w:t>
            </w:r>
          </w:p>
        </w:tc>
        <w:tc>
          <w:tcPr>
            <w:shd w:val="clear" w:color="auto" w:fill="FFFFFF"/>
            <w:vAlign w:val="center"/>
          </w:tcPr>
          <w:p>
            <w:pPr>
              <w:jc w:val="center"/>
              <w:rPr>
                <w:color w:val="auto"/>
                <w:highlight w:val="none"/>
              </w:rPr>
            </w:pPr>
            <w:r>
              <w:rPr>
                <w:color w:val="auto"/>
                <w:highlight w:val="none"/>
              </w:rPr>
              <w:t>15</w:t>
            </w:r>
          </w:p>
        </w:tc>
        <w:tc>
          <w:tcPr>
            <w:shd w:val="clear" w:color="auto" w:fill="FFFFFF"/>
            <w:vAlign w:val="center"/>
          </w:tcPr>
          <w:p>
            <w:pPr>
              <w:jc w:val="left"/>
              <w:rPr>
                <w:color w:val="auto"/>
                <w:highlight w:val="none"/>
              </w:rPr>
            </w:pPr>
            <w:r>
              <w:rPr>
                <w:color w:val="auto"/>
                <w:highlight w:val="none"/>
              </w:rPr>
              <w:drawing>
                <wp:inline distT="0" distB="0" distL="114300" distR="114300">
                  <wp:extent cx="66675" cy="114300"/>
                  <wp:effectExtent l="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3"/>
                          <a:stretch>
                            <a:fillRect/>
                          </a:stretch>
                        </pic:blipFill>
                        <pic:spPr>
                          <a:xfrm>
                            <a:off x="0" y="0"/>
                            <a:ext cx="66675" cy="114300"/>
                          </a:xfrm>
                          <a:prstGeom prst="rect">
                            <a:avLst/>
                          </a:prstGeom>
                          <a:noFill/>
                          <a:ln>
                            <a:noFill/>
                          </a:ln>
                        </pic:spPr>
                      </pic:pic>
                    </a:graphicData>
                  </a:graphic>
                </wp:inline>
              </w:drawing>
            </w:r>
            <w:r>
              <w:rPr>
                <w:color w:val="auto"/>
                <w:highlight w:val="none"/>
              </w:rPr>
              <w:drawing>
                <wp:inline distT="0" distB="0" distL="114300" distR="114300">
                  <wp:extent cx="1285875" cy="11430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4"/>
                          <a:stretch>
                            <a:fillRect/>
                          </a:stretch>
                        </pic:blipFill>
                        <pic:spPr>
                          <a:xfrm>
                            <a:off x="0" y="0"/>
                            <a:ext cx="1285875" cy="114300"/>
                          </a:xfrm>
                          <a:prstGeom prst="rect">
                            <a:avLst/>
                          </a:prstGeom>
                          <a:noFill/>
                          <a:ln>
                            <a:noFill/>
                          </a:ln>
                        </pic:spPr>
                      </pic:pic>
                    </a:graphicData>
                  </a:graphic>
                </wp:inline>
              </w:drawing>
            </w:r>
            <w:r>
              <w:rPr>
                <w:color w:val="auto"/>
                <w:highlight w:val="none"/>
              </w:rPr>
              <w:t>5.12%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没感觉</w:t>
            </w:r>
          </w:p>
        </w:tc>
        <w:tc>
          <w:tcPr>
            <w:shd w:val="clear" w:color="auto" w:fill="F9F9F9"/>
            <w:vAlign w:val="center"/>
          </w:tcPr>
          <w:p>
            <w:pPr>
              <w:jc w:val="center"/>
              <w:rPr>
                <w:color w:val="auto"/>
                <w:highlight w:val="none"/>
              </w:rPr>
            </w:pPr>
            <w:r>
              <w:rPr>
                <w:color w:val="auto"/>
                <w:highlight w:val="none"/>
              </w:rPr>
              <w:t>11</w:t>
            </w:r>
          </w:p>
        </w:tc>
        <w:tc>
          <w:tcPr>
            <w:shd w:val="clear" w:color="auto" w:fill="F9F9F9"/>
            <w:vAlign w:val="center"/>
          </w:tcPr>
          <w:p>
            <w:pPr>
              <w:jc w:val="left"/>
              <w:rPr>
                <w:color w:val="auto"/>
                <w:highlight w:val="none"/>
              </w:rPr>
            </w:pPr>
            <w:r>
              <w:rPr>
                <w:color w:val="auto"/>
                <w:highlight w:val="none"/>
              </w:rPr>
              <w:drawing>
                <wp:inline distT="0" distB="0" distL="114300" distR="114300">
                  <wp:extent cx="47625" cy="11430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5"/>
                          <a:stretch>
                            <a:fillRect/>
                          </a:stretch>
                        </pic:blipFill>
                        <pic:spPr>
                          <a:xfrm>
                            <a:off x="0" y="0"/>
                            <a:ext cx="47625" cy="114300"/>
                          </a:xfrm>
                          <a:prstGeom prst="rect">
                            <a:avLst/>
                          </a:prstGeom>
                          <a:noFill/>
                          <a:ln>
                            <a:noFill/>
                          </a:ln>
                        </pic:spPr>
                      </pic:pic>
                    </a:graphicData>
                  </a:graphic>
                </wp:inline>
              </w:drawing>
            </w:r>
            <w:r>
              <w:rPr>
                <w:color w:val="auto"/>
                <w:highlight w:val="none"/>
              </w:rPr>
              <w:drawing>
                <wp:inline distT="0" distB="0" distL="114300" distR="114300">
                  <wp:extent cx="1304925" cy="11430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6"/>
                          <a:stretch>
                            <a:fillRect/>
                          </a:stretch>
                        </pic:blipFill>
                        <pic:spPr>
                          <a:xfrm>
                            <a:off x="0" y="0"/>
                            <a:ext cx="1304925" cy="114300"/>
                          </a:xfrm>
                          <a:prstGeom prst="rect">
                            <a:avLst/>
                          </a:prstGeom>
                          <a:noFill/>
                          <a:ln>
                            <a:noFill/>
                          </a:ln>
                        </pic:spPr>
                      </pic:pic>
                    </a:graphicData>
                  </a:graphic>
                </wp:inline>
              </w:drawing>
            </w:r>
            <w:r>
              <w:rPr>
                <w:color w:val="auto"/>
                <w:highlight w:val="none"/>
              </w:rPr>
              <w:t>3.75%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第11题   对于</w:t>
      </w:r>
      <w:r>
        <w:rPr>
          <w:rFonts w:hint="eastAsia"/>
          <w:b w:val="0"/>
          <w:color w:val="auto"/>
          <w:sz w:val="24"/>
          <w:highlight w:val="none"/>
          <w:lang w:eastAsia="zh-CN"/>
        </w:rPr>
        <w:t>泉州市洛江区</w:t>
      </w:r>
      <w:r>
        <w:rPr>
          <w:b w:val="0"/>
          <w:color w:val="auto"/>
          <w:sz w:val="24"/>
          <w:highlight w:val="none"/>
        </w:rPr>
        <w:t>垃圾分类工作效果（如垃圾回收及时性），你满意吗？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非常满意</w:t>
            </w:r>
          </w:p>
        </w:tc>
        <w:tc>
          <w:tcPr>
            <w:shd w:val="clear" w:color="auto" w:fill="FFFFFF"/>
            <w:vAlign w:val="center"/>
          </w:tcPr>
          <w:p>
            <w:pPr>
              <w:jc w:val="center"/>
              <w:rPr>
                <w:color w:val="auto"/>
                <w:highlight w:val="none"/>
              </w:rPr>
            </w:pPr>
            <w:r>
              <w:rPr>
                <w:color w:val="auto"/>
                <w:highlight w:val="none"/>
              </w:rPr>
              <w:t>136</w:t>
            </w:r>
          </w:p>
        </w:tc>
        <w:tc>
          <w:tcPr>
            <w:shd w:val="clear" w:color="auto" w:fill="FFFFFF"/>
            <w:vAlign w:val="center"/>
          </w:tcPr>
          <w:p>
            <w:pPr>
              <w:jc w:val="left"/>
              <w:rPr>
                <w:color w:val="auto"/>
                <w:highlight w:val="none"/>
              </w:rPr>
            </w:pPr>
            <w:r>
              <w:rPr>
                <w:color w:val="auto"/>
                <w:highlight w:val="none"/>
              </w:rPr>
              <w:drawing>
                <wp:inline distT="0" distB="0" distL="114300" distR="114300">
                  <wp:extent cx="619125" cy="114300"/>
                  <wp:effectExtent l="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9"/>
                          <a:stretch>
                            <a:fillRect/>
                          </a:stretch>
                        </pic:blipFill>
                        <pic:spPr>
                          <a:xfrm>
                            <a:off x="0" y="0"/>
                            <a:ext cx="619125" cy="114300"/>
                          </a:xfrm>
                          <a:prstGeom prst="rect">
                            <a:avLst/>
                          </a:prstGeom>
                          <a:noFill/>
                          <a:ln>
                            <a:noFill/>
                          </a:ln>
                        </pic:spPr>
                      </pic:pic>
                    </a:graphicData>
                  </a:graphic>
                </wp:inline>
              </w:drawing>
            </w:r>
            <w:r>
              <w:rPr>
                <w:color w:val="auto"/>
                <w:highlight w:val="none"/>
              </w:rPr>
              <w:drawing>
                <wp:inline distT="0" distB="0" distL="114300" distR="114300">
                  <wp:extent cx="733425" cy="114300"/>
                  <wp:effectExtent l="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0"/>
                          <a:stretch>
                            <a:fillRect/>
                          </a:stretch>
                        </pic:blipFill>
                        <pic:spPr>
                          <a:xfrm>
                            <a:off x="0" y="0"/>
                            <a:ext cx="733425" cy="114300"/>
                          </a:xfrm>
                          <a:prstGeom prst="rect">
                            <a:avLst/>
                          </a:prstGeom>
                          <a:noFill/>
                          <a:ln>
                            <a:noFill/>
                          </a:ln>
                        </pic:spPr>
                      </pic:pic>
                    </a:graphicData>
                  </a:graphic>
                </wp:inline>
              </w:drawing>
            </w:r>
            <w:r>
              <w:rPr>
                <w:color w:val="auto"/>
                <w:highlight w:val="none"/>
              </w:rPr>
              <w:t>46.42%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满意</w:t>
            </w:r>
          </w:p>
        </w:tc>
        <w:tc>
          <w:tcPr>
            <w:shd w:val="clear" w:color="auto" w:fill="F9F9F9"/>
            <w:vAlign w:val="center"/>
          </w:tcPr>
          <w:p>
            <w:pPr>
              <w:jc w:val="center"/>
              <w:rPr>
                <w:color w:val="auto"/>
                <w:highlight w:val="none"/>
              </w:rPr>
            </w:pPr>
            <w:r>
              <w:rPr>
                <w:color w:val="auto"/>
                <w:highlight w:val="none"/>
              </w:rPr>
              <w:t>118</w:t>
            </w:r>
          </w:p>
        </w:tc>
        <w:tc>
          <w:tcPr>
            <w:shd w:val="clear" w:color="auto" w:fill="F9F9F9"/>
            <w:vAlign w:val="center"/>
          </w:tcPr>
          <w:p>
            <w:pPr>
              <w:jc w:val="left"/>
              <w:rPr>
                <w:color w:val="auto"/>
                <w:highlight w:val="none"/>
              </w:rPr>
            </w:pPr>
            <w:r>
              <w:rPr>
                <w:color w:val="auto"/>
                <w:highlight w:val="none"/>
              </w:rPr>
              <w:drawing>
                <wp:inline distT="0" distB="0" distL="114300" distR="114300">
                  <wp:extent cx="542925" cy="114300"/>
                  <wp:effectExtent l="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7"/>
                          <a:stretch>
                            <a:fillRect/>
                          </a:stretch>
                        </pic:blipFill>
                        <pic:spPr>
                          <a:xfrm>
                            <a:off x="0" y="0"/>
                            <a:ext cx="542925" cy="114300"/>
                          </a:xfrm>
                          <a:prstGeom prst="rect">
                            <a:avLst/>
                          </a:prstGeom>
                          <a:noFill/>
                          <a:ln>
                            <a:noFill/>
                          </a:ln>
                        </pic:spPr>
                      </pic:pic>
                    </a:graphicData>
                  </a:graphic>
                </wp:inline>
              </w:drawing>
            </w:r>
            <w:r>
              <w:rPr>
                <w:color w:val="auto"/>
                <w:highlight w:val="none"/>
              </w:rPr>
              <w:drawing>
                <wp:inline distT="0" distB="0" distL="114300" distR="114300">
                  <wp:extent cx="809625" cy="114300"/>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8"/>
                          <a:stretch>
                            <a:fillRect/>
                          </a:stretch>
                        </pic:blipFill>
                        <pic:spPr>
                          <a:xfrm>
                            <a:off x="0" y="0"/>
                            <a:ext cx="809625" cy="114300"/>
                          </a:xfrm>
                          <a:prstGeom prst="rect">
                            <a:avLst/>
                          </a:prstGeom>
                          <a:noFill/>
                          <a:ln>
                            <a:noFill/>
                          </a:ln>
                        </pic:spPr>
                      </pic:pic>
                    </a:graphicData>
                  </a:graphic>
                </wp:inline>
              </w:drawing>
            </w:r>
            <w:r>
              <w:rPr>
                <w:color w:val="auto"/>
                <w:highlight w:val="none"/>
              </w:rPr>
              <w:t>40.27%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一般</w:t>
            </w:r>
          </w:p>
        </w:tc>
        <w:tc>
          <w:tcPr>
            <w:shd w:val="clear" w:color="auto" w:fill="FFFFFF"/>
            <w:vAlign w:val="center"/>
          </w:tcPr>
          <w:p>
            <w:pPr>
              <w:jc w:val="center"/>
              <w:rPr>
                <w:color w:val="auto"/>
                <w:highlight w:val="none"/>
              </w:rPr>
            </w:pPr>
            <w:r>
              <w:rPr>
                <w:color w:val="auto"/>
                <w:highlight w:val="none"/>
              </w:rPr>
              <w:t>38</w:t>
            </w:r>
          </w:p>
        </w:tc>
        <w:tc>
          <w:tcPr>
            <w:shd w:val="clear" w:color="auto" w:fill="FFFFFF"/>
            <w:vAlign w:val="center"/>
          </w:tcPr>
          <w:p>
            <w:pPr>
              <w:jc w:val="left"/>
              <w:rPr>
                <w:color w:val="auto"/>
                <w:highlight w:val="none"/>
              </w:rPr>
            </w:pPr>
            <w:r>
              <w:rPr>
                <w:color w:val="auto"/>
                <w:highlight w:val="none"/>
              </w:rPr>
              <w:drawing>
                <wp:inline distT="0" distB="0" distL="114300" distR="114300">
                  <wp:extent cx="171450" cy="1143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9"/>
                          <a:stretch>
                            <a:fillRect/>
                          </a:stretch>
                        </pic:blipFill>
                        <pic:spPr>
                          <a:xfrm>
                            <a:off x="0" y="0"/>
                            <a:ext cx="171450" cy="114300"/>
                          </a:xfrm>
                          <a:prstGeom prst="rect">
                            <a:avLst/>
                          </a:prstGeom>
                          <a:noFill/>
                          <a:ln>
                            <a:noFill/>
                          </a:ln>
                        </pic:spPr>
                      </pic:pic>
                    </a:graphicData>
                  </a:graphic>
                </wp:inline>
              </w:drawing>
            </w:r>
            <w:r>
              <w:rPr>
                <w:color w:val="auto"/>
                <w:highlight w:val="none"/>
              </w:rPr>
              <w:drawing>
                <wp:inline distT="0" distB="0" distL="114300" distR="114300">
                  <wp:extent cx="1181100" cy="1143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0"/>
                          <a:stretch>
                            <a:fillRect/>
                          </a:stretch>
                        </pic:blipFill>
                        <pic:spPr>
                          <a:xfrm>
                            <a:off x="0" y="0"/>
                            <a:ext cx="1181100" cy="114300"/>
                          </a:xfrm>
                          <a:prstGeom prst="rect">
                            <a:avLst/>
                          </a:prstGeom>
                          <a:noFill/>
                          <a:ln>
                            <a:noFill/>
                          </a:ln>
                        </pic:spPr>
                      </pic:pic>
                    </a:graphicData>
                  </a:graphic>
                </wp:inline>
              </w:drawing>
            </w:r>
            <w:r>
              <w:rPr>
                <w:color w:val="auto"/>
                <w:highlight w:val="none"/>
              </w:rPr>
              <w:t>12.97%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不满意</w:t>
            </w:r>
          </w:p>
        </w:tc>
        <w:tc>
          <w:tcPr>
            <w:shd w:val="clear" w:color="auto" w:fill="F9F9F9"/>
            <w:vAlign w:val="center"/>
          </w:tcPr>
          <w:p>
            <w:pPr>
              <w:jc w:val="center"/>
              <w:rPr>
                <w:color w:val="auto"/>
                <w:highlight w:val="none"/>
              </w:rPr>
            </w:pPr>
            <w:r>
              <w:rPr>
                <w:color w:val="auto"/>
                <w:highlight w:val="none"/>
              </w:rPr>
              <w:t>1</w:t>
            </w:r>
          </w:p>
        </w:tc>
        <w:tc>
          <w:tcPr>
            <w:shd w:val="clear" w:color="auto" w:fill="F9F9F9"/>
            <w:vAlign w:val="center"/>
          </w:tcPr>
          <w:p>
            <w:pPr>
              <w:jc w:val="left"/>
              <w:rPr>
                <w:color w:val="auto"/>
                <w:highlight w:val="none"/>
              </w:rPr>
            </w:pPr>
            <w:r>
              <w:rPr>
                <w:color w:val="auto"/>
                <w:highlight w:val="none"/>
              </w:rPr>
              <w:drawing>
                <wp:inline distT="0" distB="0" distL="114300" distR="114300">
                  <wp:extent cx="1352550" cy="1143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
                          <a:stretch>
                            <a:fillRect/>
                          </a:stretch>
                        </pic:blipFill>
                        <pic:spPr>
                          <a:xfrm>
                            <a:off x="0" y="0"/>
                            <a:ext cx="1352550" cy="114300"/>
                          </a:xfrm>
                          <a:prstGeom prst="rect">
                            <a:avLst/>
                          </a:prstGeom>
                          <a:noFill/>
                          <a:ln>
                            <a:noFill/>
                          </a:ln>
                        </pic:spPr>
                      </pic:pic>
                    </a:graphicData>
                  </a:graphic>
                </wp:inline>
              </w:drawing>
            </w:r>
            <w:r>
              <w:rPr>
                <w:color w:val="auto"/>
                <w:highlight w:val="none"/>
              </w:rPr>
              <w:t>0.34%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第12题   垃圾分类工作过程中遇到的问题，是否得到及时解决？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非常及时</w:t>
            </w:r>
          </w:p>
        </w:tc>
        <w:tc>
          <w:tcPr>
            <w:shd w:val="clear" w:color="auto" w:fill="FFFFFF"/>
            <w:vAlign w:val="center"/>
          </w:tcPr>
          <w:p>
            <w:pPr>
              <w:jc w:val="center"/>
              <w:rPr>
                <w:color w:val="auto"/>
                <w:highlight w:val="none"/>
              </w:rPr>
            </w:pPr>
            <w:r>
              <w:rPr>
                <w:color w:val="auto"/>
                <w:highlight w:val="none"/>
              </w:rPr>
              <w:t>129</w:t>
            </w:r>
          </w:p>
        </w:tc>
        <w:tc>
          <w:tcPr>
            <w:shd w:val="clear" w:color="auto" w:fill="FFFFFF"/>
            <w:vAlign w:val="center"/>
          </w:tcPr>
          <w:p>
            <w:pPr>
              <w:jc w:val="left"/>
              <w:rPr>
                <w:color w:val="auto"/>
                <w:highlight w:val="none"/>
              </w:rPr>
            </w:pPr>
            <w:r>
              <w:rPr>
                <w:color w:val="auto"/>
                <w:highlight w:val="none"/>
              </w:rPr>
              <w:drawing>
                <wp:inline distT="0" distB="0" distL="114300" distR="114300">
                  <wp:extent cx="590550" cy="1143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3"/>
                          <a:stretch>
                            <a:fillRect/>
                          </a:stretch>
                        </pic:blipFill>
                        <pic:spPr>
                          <a:xfrm>
                            <a:off x="0" y="0"/>
                            <a:ext cx="590550" cy="114300"/>
                          </a:xfrm>
                          <a:prstGeom prst="rect">
                            <a:avLst/>
                          </a:prstGeom>
                          <a:noFill/>
                          <a:ln>
                            <a:noFill/>
                          </a:ln>
                        </pic:spPr>
                      </pic:pic>
                    </a:graphicData>
                  </a:graphic>
                </wp:inline>
              </w:drawing>
            </w:r>
            <w:r>
              <w:rPr>
                <w:color w:val="auto"/>
                <w:highlight w:val="none"/>
              </w:rPr>
              <w:drawing>
                <wp:inline distT="0" distB="0" distL="114300" distR="114300">
                  <wp:extent cx="762000" cy="1143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4"/>
                          <a:stretch>
                            <a:fillRect/>
                          </a:stretch>
                        </pic:blipFill>
                        <pic:spPr>
                          <a:xfrm>
                            <a:off x="0" y="0"/>
                            <a:ext cx="762000" cy="114300"/>
                          </a:xfrm>
                          <a:prstGeom prst="rect">
                            <a:avLst/>
                          </a:prstGeom>
                          <a:noFill/>
                          <a:ln>
                            <a:noFill/>
                          </a:ln>
                        </pic:spPr>
                      </pic:pic>
                    </a:graphicData>
                  </a:graphic>
                </wp:inline>
              </w:drawing>
            </w:r>
            <w:r>
              <w:rPr>
                <w:color w:val="auto"/>
                <w:highlight w:val="none"/>
              </w:rPr>
              <w:t>44.03%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及时</w:t>
            </w:r>
          </w:p>
        </w:tc>
        <w:tc>
          <w:tcPr>
            <w:shd w:val="clear" w:color="auto" w:fill="F9F9F9"/>
            <w:vAlign w:val="center"/>
          </w:tcPr>
          <w:p>
            <w:pPr>
              <w:jc w:val="center"/>
              <w:rPr>
                <w:color w:val="auto"/>
                <w:highlight w:val="none"/>
              </w:rPr>
            </w:pPr>
            <w:r>
              <w:rPr>
                <w:color w:val="auto"/>
                <w:highlight w:val="none"/>
              </w:rPr>
              <w:t>109</w:t>
            </w:r>
          </w:p>
        </w:tc>
        <w:tc>
          <w:tcPr>
            <w:shd w:val="clear" w:color="auto" w:fill="F9F9F9"/>
            <w:vAlign w:val="center"/>
          </w:tcPr>
          <w:p>
            <w:pPr>
              <w:jc w:val="left"/>
              <w:rPr>
                <w:color w:val="auto"/>
                <w:highlight w:val="none"/>
              </w:rPr>
            </w:pPr>
            <w:r>
              <w:rPr>
                <w:color w:val="auto"/>
                <w:highlight w:val="none"/>
              </w:rPr>
              <w:drawing>
                <wp:inline distT="0" distB="0" distL="114300" distR="114300">
                  <wp:extent cx="495300" cy="1143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1"/>
                          <a:stretch>
                            <a:fillRect/>
                          </a:stretch>
                        </pic:blipFill>
                        <pic:spPr>
                          <a:xfrm>
                            <a:off x="0" y="0"/>
                            <a:ext cx="495300" cy="114300"/>
                          </a:xfrm>
                          <a:prstGeom prst="rect">
                            <a:avLst/>
                          </a:prstGeom>
                          <a:noFill/>
                          <a:ln>
                            <a:noFill/>
                          </a:ln>
                        </pic:spPr>
                      </pic:pic>
                    </a:graphicData>
                  </a:graphic>
                </wp:inline>
              </w:drawing>
            </w:r>
            <w:r>
              <w:rPr>
                <w:color w:val="auto"/>
                <w:highlight w:val="none"/>
              </w:rPr>
              <w:drawing>
                <wp:inline distT="0" distB="0" distL="114300" distR="114300">
                  <wp:extent cx="857250" cy="1143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2"/>
                          <a:stretch>
                            <a:fillRect/>
                          </a:stretch>
                        </pic:blipFill>
                        <pic:spPr>
                          <a:xfrm>
                            <a:off x="0" y="0"/>
                            <a:ext cx="857250" cy="114300"/>
                          </a:xfrm>
                          <a:prstGeom prst="rect">
                            <a:avLst/>
                          </a:prstGeom>
                          <a:noFill/>
                          <a:ln>
                            <a:noFill/>
                          </a:ln>
                        </pic:spPr>
                      </pic:pic>
                    </a:graphicData>
                  </a:graphic>
                </wp:inline>
              </w:drawing>
            </w:r>
            <w:r>
              <w:rPr>
                <w:color w:val="auto"/>
                <w:highlight w:val="none"/>
              </w:rPr>
              <w:t>37.2%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一般</w:t>
            </w:r>
          </w:p>
        </w:tc>
        <w:tc>
          <w:tcPr>
            <w:shd w:val="clear" w:color="auto" w:fill="FFFFFF"/>
            <w:vAlign w:val="center"/>
          </w:tcPr>
          <w:p>
            <w:pPr>
              <w:jc w:val="center"/>
              <w:rPr>
                <w:color w:val="auto"/>
                <w:highlight w:val="none"/>
              </w:rPr>
            </w:pPr>
            <w:r>
              <w:rPr>
                <w:color w:val="auto"/>
                <w:highlight w:val="none"/>
              </w:rPr>
              <w:t>53</w:t>
            </w:r>
          </w:p>
        </w:tc>
        <w:tc>
          <w:tcPr>
            <w:shd w:val="clear" w:color="auto" w:fill="FFFFFF"/>
            <w:vAlign w:val="center"/>
          </w:tcPr>
          <w:p>
            <w:pPr>
              <w:jc w:val="left"/>
              <w:rPr>
                <w:color w:val="auto"/>
                <w:highlight w:val="none"/>
              </w:rPr>
            </w:pPr>
            <w:r>
              <w:rPr>
                <w:color w:val="auto"/>
                <w:highlight w:val="none"/>
              </w:rPr>
              <w:drawing>
                <wp:inline distT="0" distB="0" distL="114300" distR="114300">
                  <wp:extent cx="238125" cy="114300"/>
                  <wp:effectExtent l="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3"/>
                          <a:stretch>
                            <a:fillRect/>
                          </a:stretch>
                        </pic:blipFill>
                        <pic:spPr>
                          <a:xfrm>
                            <a:off x="0" y="0"/>
                            <a:ext cx="238125" cy="114300"/>
                          </a:xfrm>
                          <a:prstGeom prst="rect">
                            <a:avLst/>
                          </a:prstGeom>
                          <a:noFill/>
                          <a:ln>
                            <a:noFill/>
                          </a:ln>
                        </pic:spPr>
                      </pic:pic>
                    </a:graphicData>
                  </a:graphic>
                </wp:inline>
              </w:drawing>
            </w:r>
            <w:r>
              <w:rPr>
                <w:color w:val="auto"/>
                <w:highlight w:val="none"/>
              </w:rPr>
              <w:drawing>
                <wp:inline distT="0" distB="0" distL="114300" distR="114300">
                  <wp:extent cx="1114425" cy="11430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4"/>
                          <a:stretch>
                            <a:fillRect/>
                          </a:stretch>
                        </pic:blipFill>
                        <pic:spPr>
                          <a:xfrm>
                            <a:off x="0" y="0"/>
                            <a:ext cx="1114425" cy="114300"/>
                          </a:xfrm>
                          <a:prstGeom prst="rect">
                            <a:avLst/>
                          </a:prstGeom>
                          <a:noFill/>
                          <a:ln>
                            <a:noFill/>
                          </a:ln>
                        </pic:spPr>
                      </pic:pic>
                    </a:graphicData>
                  </a:graphic>
                </wp:inline>
              </w:drawing>
            </w:r>
            <w:r>
              <w:rPr>
                <w:color w:val="auto"/>
                <w:highlight w:val="none"/>
              </w:rPr>
              <w:t>18.09%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非常慢</w:t>
            </w:r>
          </w:p>
        </w:tc>
        <w:tc>
          <w:tcPr>
            <w:shd w:val="clear" w:color="auto" w:fill="F9F9F9"/>
            <w:vAlign w:val="center"/>
          </w:tcPr>
          <w:p>
            <w:pPr>
              <w:jc w:val="center"/>
              <w:rPr>
                <w:color w:val="auto"/>
                <w:highlight w:val="none"/>
              </w:rPr>
            </w:pPr>
            <w:r>
              <w:rPr>
                <w:color w:val="auto"/>
                <w:highlight w:val="none"/>
              </w:rPr>
              <w:t>2</w:t>
            </w:r>
          </w:p>
        </w:tc>
        <w:tc>
          <w:tcPr>
            <w:shd w:val="clear" w:color="auto" w:fill="F9F9F9"/>
            <w:vAlign w:val="center"/>
          </w:tcPr>
          <w:p>
            <w:pPr>
              <w:jc w:val="left"/>
              <w:rPr>
                <w:color w:val="auto"/>
                <w:highlight w:val="none"/>
              </w:rPr>
            </w:pPr>
            <w:r>
              <w:rPr>
                <w:color w:val="auto"/>
                <w:highlight w:val="none"/>
              </w:rPr>
              <w:drawing>
                <wp:inline distT="0" distB="0" distL="114300" distR="114300">
                  <wp:extent cx="1352550" cy="1143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0"/>
                          <a:stretch>
                            <a:fillRect/>
                          </a:stretch>
                        </pic:blipFill>
                        <pic:spPr>
                          <a:xfrm>
                            <a:off x="0" y="0"/>
                            <a:ext cx="1352550" cy="114300"/>
                          </a:xfrm>
                          <a:prstGeom prst="rect">
                            <a:avLst/>
                          </a:prstGeom>
                          <a:noFill/>
                          <a:ln>
                            <a:noFill/>
                          </a:ln>
                        </pic:spPr>
                      </pic:pic>
                    </a:graphicData>
                  </a:graphic>
                </wp:inline>
              </w:drawing>
            </w:r>
            <w:r>
              <w:rPr>
                <w:color w:val="auto"/>
                <w:highlight w:val="none"/>
              </w:rPr>
              <w:t>0.68%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第13题   您了解垃圾分类后续处理过程吗？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非常了解</w:t>
            </w:r>
          </w:p>
        </w:tc>
        <w:tc>
          <w:tcPr>
            <w:shd w:val="clear" w:color="auto" w:fill="FFFFFF"/>
            <w:vAlign w:val="center"/>
          </w:tcPr>
          <w:p>
            <w:pPr>
              <w:jc w:val="center"/>
              <w:rPr>
                <w:color w:val="auto"/>
                <w:highlight w:val="none"/>
              </w:rPr>
            </w:pPr>
            <w:r>
              <w:rPr>
                <w:color w:val="auto"/>
                <w:highlight w:val="none"/>
              </w:rPr>
              <w:t>102</w:t>
            </w:r>
          </w:p>
        </w:tc>
        <w:tc>
          <w:tcPr>
            <w:shd w:val="clear" w:color="auto" w:fill="FFFFFF"/>
            <w:vAlign w:val="center"/>
          </w:tcPr>
          <w:p>
            <w:pPr>
              <w:jc w:val="left"/>
              <w:rPr>
                <w:color w:val="auto"/>
                <w:highlight w:val="none"/>
              </w:rPr>
            </w:pPr>
            <w:r>
              <w:rPr>
                <w:color w:val="auto"/>
                <w:highlight w:val="none"/>
              </w:rPr>
              <w:drawing>
                <wp:inline distT="0" distB="0" distL="114300" distR="114300">
                  <wp:extent cx="466725" cy="114300"/>
                  <wp:effectExtent l="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75"/>
                          <a:stretch>
                            <a:fillRect/>
                          </a:stretch>
                        </pic:blipFill>
                        <pic:spPr>
                          <a:xfrm>
                            <a:off x="0" y="0"/>
                            <a:ext cx="466725" cy="114300"/>
                          </a:xfrm>
                          <a:prstGeom prst="rect">
                            <a:avLst/>
                          </a:prstGeom>
                          <a:noFill/>
                          <a:ln>
                            <a:noFill/>
                          </a:ln>
                        </pic:spPr>
                      </pic:pic>
                    </a:graphicData>
                  </a:graphic>
                </wp:inline>
              </w:drawing>
            </w:r>
            <w:r>
              <w:rPr>
                <w:color w:val="auto"/>
                <w:highlight w:val="none"/>
              </w:rPr>
              <w:drawing>
                <wp:inline distT="0" distB="0" distL="114300" distR="114300">
                  <wp:extent cx="885825" cy="11430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76"/>
                          <a:stretch>
                            <a:fillRect/>
                          </a:stretch>
                        </pic:blipFill>
                        <pic:spPr>
                          <a:xfrm>
                            <a:off x="0" y="0"/>
                            <a:ext cx="885825" cy="114300"/>
                          </a:xfrm>
                          <a:prstGeom prst="rect">
                            <a:avLst/>
                          </a:prstGeom>
                          <a:noFill/>
                          <a:ln>
                            <a:noFill/>
                          </a:ln>
                        </pic:spPr>
                      </pic:pic>
                    </a:graphicData>
                  </a:graphic>
                </wp:inline>
              </w:drawing>
            </w:r>
            <w:r>
              <w:rPr>
                <w:color w:val="auto"/>
                <w:highlight w:val="none"/>
              </w:rPr>
              <w:t>34.81%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了解</w:t>
            </w:r>
          </w:p>
        </w:tc>
        <w:tc>
          <w:tcPr>
            <w:shd w:val="clear" w:color="auto" w:fill="F9F9F9"/>
            <w:vAlign w:val="center"/>
          </w:tcPr>
          <w:p>
            <w:pPr>
              <w:jc w:val="center"/>
              <w:rPr>
                <w:color w:val="auto"/>
                <w:highlight w:val="none"/>
              </w:rPr>
            </w:pPr>
            <w:r>
              <w:rPr>
                <w:color w:val="auto"/>
                <w:highlight w:val="none"/>
              </w:rPr>
              <w:t>92</w:t>
            </w:r>
          </w:p>
        </w:tc>
        <w:tc>
          <w:tcPr>
            <w:shd w:val="clear" w:color="auto" w:fill="F9F9F9"/>
            <w:vAlign w:val="center"/>
          </w:tcPr>
          <w:p>
            <w:pPr>
              <w:jc w:val="left"/>
              <w:rPr>
                <w:color w:val="auto"/>
                <w:highlight w:val="none"/>
              </w:rPr>
            </w:pPr>
            <w:r>
              <w:rPr>
                <w:color w:val="auto"/>
                <w:highlight w:val="none"/>
              </w:rPr>
              <w:drawing>
                <wp:inline distT="0" distB="0" distL="114300" distR="114300">
                  <wp:extent cx="419100" cy="1143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7"/>
                          <a:stretch>
                            <a:fillRect/>
                          </a:stretch>
                        </pic:blipFill>
                        <pic:spPr>
                          <a:xfrm>
                            <a:off x="0" y="0"/>
                            <a:ext cx="419100" cy="114300"/>
                          </a:xfrm>
                          <a:prstGeom prst="rect">
                            <a:avLst/>
                          </a:prstGeom>
                          <a:noFill/>
                          <a:ln>
                            <a:noFill/>
                          </a:ln>
                        </pic:spPr>
                      </pic:pic>
                    </a:graphicData>
                  </a:graphic>
                </wp:inline>
              </w:drawing>
            </w:r>
            <w:r>
              <w:rPr>
                <w:color w:val="auto"/>
                <w:highlight w:val="none"/>
              </w:rPr>
              <w:drawing>
                <wp:inline distT="0" distB="0" distL="114300" distR="114300">
                  <wp:extent cx="933450" cy="1143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8"/>
                          <a:stretch>
                            <a:fillRect/>
                          </a:stretch>
                        </pic:blipFill>
                        <pic:spPr>
                          <a:xfrm>
                            <a:off x="0" y="0"/>
                            <a:ext cx="933450" cy="114300"/>
                          </a:xfrm>
                          <a:prstGeom prst="rect">
                            <a:avLst/>
                          </a:prstGeom>
                          <a:noFill/>
                          <a:ln>
                            <a:noFill/>
                          </a:ln>
                        </pic:spPr>
                      </pic:pic>
                    </a:graphicData>
                  </a:graphic>
                </wp:inline>
              </w:drawing>
            </w:r>
            <w:r>
              <w:rPr>
                <w:color w:val="auto"/>
                <w:highlight w:val="none"/>
              </w:rPr>
              <w:t>31.4%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不太了解</w:t>
            </w:r>
          </w:p>
        </w:tc>
        <w:tc>
          <w:tcPr>
            <w:shd w:val="clear" w:color="auto" w:fill="FFFFFF"/>
            <w:vAlign w:val="center"/>
          </w:tcPr>
          <w:p>
            <w:pPr>
              <w:jc w:val="center"/>
              <w:rPr>
                <w:color w:val="auto"/>
                <w:highlight w:val="none"/>
              </w:rPr>
            </w:pPr>
            <w:r>
              <w:rPr>
                <w:color w:val="auto"/>
                <w:highlight w:val="none"/>
              </w:rPr>
              <w:t>76</w:t>
            </w:r>
          </w:p>
        </w:tc>
        <w:tc>
          <w:tcPr>
            <w:shd w:val="clear" w:color="auto" w:fill="FFFFFF"/>
            <w:vAlign w:val="center"/>
          </w:tcPr>
          <w:p>
            <w:pPr>
              <w:jc w:val="left"/>
              <w:rPr>
                <w:color w:val="auto"/>
                <w:highlight w:val="none"/>
              </w:rPr>
            </w:pPr>
            <w:r>
              <w:rPr>
                <w:color w:val="auto"/>
                <w:highlight w:val="none"/>
              </w:rPr>
              <w:drawing>
                <wp:inline distT="0" distB="0" distL="114300" distR="114300">
                  <wp:extent cx="342900" cy="1143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9"/>
                          <a:stretch>
                            <a:fillRect/>
                          </a:stretch>
                        </pic:blipFill>
                        <pic:spPr>
                          <a:xfrm>
                            <a:off x="0" y="0"/>
                            <a:ext cx="342900" cy="114300"/>
                          </a:xfrm>
                          <a:prstGeom prst="rect">
                            <a:avLst/>
                          </a:prstGeom>
                          <a:noFill/>
                          <a:ln>
                            <a:noFill/>
                          </a:ln>
                        </pic:spPr>
                      </pic:pic>
                    </a:graphicData>
                  </a:graphic>
                </wp:inline>
              </w:drawing>
            </w:r>
            <w:r>
              <w:rPr>
                <w:color w:val="auto"/>
                <w:highlight w:val="none"/>
              </w:rPr>
              <w:drawing>
                <wp:inline distT="0" distB="0" distL="114300" distR="114300">
                  <wp:extent cx="1009650" cy="114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0"/>
                          <a:stretch>
                            <a:fillRect/>
                          </a:stretch>
                        </pic:blipFill>
                        <pic:spPr>
                          <a:xfrm>
                            <a:off x="0" y="0"/>
                            <a:ext cx="1009650" cy="114300"/>
                          </a:xfrm>
                          <a:prstGeom prst="rect">
                            <a:avLst/>
                          </a:prstGeom>
                          <a:noFill/>
                          <a:ln>
                            <a:noFill/>
                          </a:ln>
                        </pic:spPr>
                      </pic:pic>
                    </a:graphicData>
                  </a:graphic>
                </wp:inline>
              </w:drawing>
            </w:r>
            <w:r>
              <w:rPr>
                <w:color w:val="auto"/>
                <w:highlight w:val="none"/>
              </w:rPr>
              <w:t>25.94%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不了解</w:t>
            </w:r>
          </w:p>
        </w:tc>
        <w:tc>
          <w:tcPr>
            <w:shd w:val="clear" w:color="auto" w:fill="F9F9F9"/>
            <w:vAlign w:val="center"/>
          </w:tcPr>
          <w:p>
            <w:pPr>
              <w:jc w:val="center"/>
              <w:rPr>
                <w:color w:val="auto"/>
                <w:highlight w:val="none"/>
              </w:rPr>
            </w:pPr>
            <w:r>
              <w:rPr>
                <w:color w:val="auto"/>
                <w:highlight w:val="none"/>
              </w:rPr>
              <w:t>23</w:t>
            </w:r>
          </w:p>
        </w:tc>
        <w:tc>
          <w:tcPr>
            <w:shd w:val="clear" w:color="auto" w:fill="F9F9F9"/>
            <w:vAlign w:val="center"/>
          </w:tcPr>
          <w:p>
            <w:pPr>
              <w:jc w:val="left"/>
              <w:rPr>
                <w:color w:val="auto"/>
                <w:highlight w:val="none"/>
              </w:rPr>
            </w:pPr>
            <w:r>
              <w:rPr>
                <w:color w:val="auto"/>
                <w:highlight w:val="none"/>
              </w:rPr>
              <w:drawing>
                <wp:inline distT="0" distB="0" distL="114300" distR="114300">
                  <wp:extent cx="104775" cy="114300"/>
                  <wp:effectExtent l="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104775" cy="114300"/>
                          </a:xfrm>
                          <a:prstGeom prst="rect">
                            <a:avLst/>
                          </a:prstGeom>
                          <a:noFill/>
                          <a:ln>
                            <a:noFill/>
                          </a:ln>
                        </pic:spPr>
                      </pic:pic>
                    </a:graphicData>
                  </a:graphic>
                </wp:inline>
              </w:drawing>
            </w:r>
            <w:r>
              <w:rPr>
                <w:color w:val="auto"/>
                <w:highlight w:val="none"/>
              </w:rPr>
              <w:drawing>
                <wp:inline distT="0" distB="0" distL="114300" distR="114300">
                  <wp:extent cx="1247775" cy="114300"/>
                  <wp:effectExtent l="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1247775" cy="114300"/>
                          </a:xfrm>
                          <a:prstGeom prst="rect">
                            <a:avLst/>
                          </a:prstGeom>
                          <a:noFill/>
                          <a:ln>
                            <a:noFill/>
                          </a:ln>
                        </pic:spPr>
                      </pic:pic>
                    </a:graphicData>
                  </a:graphic>
                </wp:inline>
              </w:drawing>
            </w:r>
            <w:r>
              <w:rPr>
                <w:color w:val="auto"/>
                <w:highlight w:val="none"/>
              </w:rPr>
              <w:t>7.85%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第14题   您清楚可回收垃圾最后会被怎么利用吗？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非常清楚</w:t>
            </w:r>
          </w:p>
        </w:tc>
        <w:tc>
          <w:tcPr>
            <w:shd w:val="clear" w:color="auto" w:fill="FFFFFF"/>
            <w:vAlign w:val="center"/>
          </w:tcPr>
          <w:p>
            <w:pPr>
              <w:jc w:val="center"/>
              <w:rPr>
                <w:color w:val="auto"/>
                <w:highlight w:val="none"/>
              </w:rPr>
            </w:pPr>
            <w:r>
              <w:rPr>
                <w:color w:val="auto"/>
                <w:highlight w:val="none"/>
              </w:rPr>
              <w:t>124</w:t>
            </w:r>
          </w:p>
        </w:tc>
        <w:tc>
          <w:tcPr>
            <w:shd w:val="clear" w:color="auto" w:fill="FFFFFF"/>
            <w:vAlign w:val="center"/>
          </w:tcPr>
          <w:p>
            <w:pPr>
              <w:jc w:val="left"/>
              <w:rPr>
                <w:color w:val="auto"/>
                <w:highlight w:val="none"/>
              </w:rPr>
            </w:pPr>
            <w:r>
              <w:rPr>
                <w:color w:val="auto"/>
                <w:highlight w:val="none"/>
              </w:rPr>
              <w:drawing>
                <wp:inline distT="0" distB="0" distL="114300" distR="114300">
                  <wp:extent cx="571500" cy="1143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1"/>
                          <a:stretch>
                            <a:fillRect/>
                          </a:stretch>
                        </pic:blipFill>
                        <pic:spPr>
                          <a:xfrm>
                            <a:off x="0" y="0"/>
                            <a:ext cx="571500" cy="114300"/>
                          </a:xfrm>
                          <a:prstGeom prst="rect">
                            <a:avLst/>
                          </a:prstGeom>
                          <a:noFill/>
                          <a:ln>
                            <a:noFill/>
                          </a:ln>
                        </pic:spPr>
                      </pic:pic>
                    </a:graphicData>
                  </a:graphic>
                </wp:inline>
              </w:drawing>
            </w:r>
            <w:r>
              <w:rPr>
                <w:color w:val="auto"/>
                <w:highlight w:val="none"/>
              </w:rPr>
              <w:drawing>
                <wp:inline distT="0" distB="0" distL="114300" distR="114300">
                  <wp:extent cx="781050" cy="114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2"/>
                          <a:stretch>
                            <a:fillRect/>
                          </a:stretch>
                        </pic:blipFill>
                        <pic:spPr>
                          <a:xfrm>
                            <a:off x="0" y="0"/>
                            <a:ext cx="781050" cy="114300"/>
                          </a:xfrm>
                          <a:prstGeom prst="rect">
                            <a:avLst/>
                          </a:prstGeom>
                          <a:noFill/>
                          <a:ln>
                            <a:noFill/>
                          </a:ln>
                        </pic:spPr>
                      </pic:pic>
                    </a:graphicData>
                  </a:graphic>
                </wp:inline>
              </w:drawing>
            </w:r>
            <w:r>
              <w:rPr>
                <w:color w:val="auto"/>
                <w:highlight w:val="none"/>
              </w:rPr>
              <w:t>42.32%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一般</w:t>
            </w:r>
          </w:p>
        </w:tc>
        <w:tc>
          <w:tcPr>
            <w:shd w:val="clear" w:color="auto" w:fill="F9F9F9"/>
            <w:vAlign w:val="center"/>
          </w:tcPr>
          <w:p>
            <w:pPr>
              <w:jc w:val="center"/>
              <w:rPr>
                <w:color w:val="auto"/>
                <w:highlight w:val="none"/>
              </w:rPr>
            </w:pPr>
            <w:r>
              <w:rPr>
                <w:color w:val="auto"/>
                <w:highlight w:val="none"/>
              </w:rPr>
              <w:t>89</w:t>
            </w:r>
          </w:p>
        </w:tc>
        <w:tc>
          <w:tcPr>
            <w:shd w:val="clear" w:color="auto" w:fill="F9F9F9"/>
            <w:vAlign w:val="center"/>
          </w:tcPr>
          <w:p>
            <w:pPr>
              <w:jc w:val="left"/>
              <w:rPr>
                <w:color w:val="auto"/>
                <w:highlight w:val="none"/>
              </w:rPr>
            </w:pPr>
            <w:r>
              <w:rPr>
                <w:color w:val="auto"/>
                <w:highlight w:val="none"/>
              </w:rPr>
              <w:drawing>
                <wp:inline distT="0" distB="0" distL="114300" distR="114300">
                  <wp:extent cx="409575" cy="114300"/>
                  <wp:effectExtent l="0" t="0" r="952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83"/>
                          <a:stretch>
                            <a:fillRect/>
                          </a:stretch>
                        </pic:blipFill>
                        <pic:spPr>
                          <a:xfrm>
                            <a:off x="0" y="0"/>
                            <a:ext cx="409575" cy="114300"/>
                          </a:xfrm>
                          <a:prstGeom prst="rect">
                            <a:avLst/>
                          </a:prstGeom>
                          <a:noFill/>
                          <a:ln>
                            <a:noFill/>
                          </a:ln>
                        </pic:spPr>
                      </pic:pic>
                    </a:graphicData>
                  </a:graphic>
                </wp:inline>
              </w:drawing>
            </w:r>
            <w:r>
              <w:rPr>
                <w:color w:val="auto"/>
                <w:highlight w:val="none"/>
              </w:rPr>
              <w:drawing>
                <wp:inline distT="0" distB="0" distL="114300" distR="114300">
                  <wp:extent cx="942975" cy="114300"/>
                  <wp:effectExtent l="0" t="0" r="952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84"/>
                          <a:stretch>
                            <a:fillRect/>
                          </a:stretch>
                        </pic:blipFill>
                        <pic:spPr>
                          <a:xfrm>
                            <a:off x="0" y="0"/>
                            <a:ext cx="942975" cy="114300"/>
                          </a:xfrm>
                          <a:prstGeom prst="rect">
                            <a:avLst/>
                          </a:prstGeom>
                          <a:noFill/>
                          <a:ln>
                            <a:noFill/>
                          </a:ln>
                        </pic:spPr>
                      </pic:pic>
                    </a:graphicData>
                  </a:graphic>
                </wp:inline>
              </w:drawing>
            </w:r>
            <w:r>
              <w:rPr>
                <w:color w:val="auto"/>
                <w:highlight w:val="none"/>
              </w:rPr>
              <w:t>30.38%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不太清楚</w:t>
            </w:r>
          </w:p>
        </w:tc>
        <w:tc>
          <w:tcPr>
            <w:shd w:val="clear" w:color="auto" w:fill="FFFFFF"/>
            <w:vAlign w:val="center"/>
          </w:tcPr>
          <w:p>
            <w:pPr>
              <w:jc w:val="center"/>
              <w:rPr>
                <w:color w:val="auto"/>
                <w:highlight w:val="none"/>
              </w:rPr>
            </w:pPr>
            <w:r>
              <w:rPr>
                <w:color w:val="auto"/>
                <w:highlight w:val="none"/>
              </w:rPr>
              <w:t>62</w:t>
            </w:r>
          </w:p>
        </w:tc>
        <w:tc>
          <w:tcPr>
            <w:shd w:val="clear" w:color="auto" w:fill="FFFFFF"/>
            <w:vAlign w:val="center"/>
          </w:tcPr>
          <w:p>
            <w:pPr>
              <w:jc w:val="left"/>
              <w:rPr>
                <w:color w:val="auto"/>
                <w:highlight w:val="none"/>
              </w:rPr>
            </w:pPr>
            <w:r>
              <w:rPr>
                <w:color w:val="auto"/>
                <w:highlight w:val="none"/>
              </w:rPr>
              <w:drawing>
                <wp:inline distT="0" distB="0" distL="114300" distR="114300">
                  <wp:extent cx="285750" cy="1143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85"/>
                          <a:stretch>
                            <a:fillRect/>
                          </a:stretch>
                        </pic:blipFill>
                        <pic:spPr>
                          <a:xfrm>
                            <a:off x="0" y="0"/>
                            <a:ext cx="285750" cy="114300"/>
                          </a:xfrm>
                          <a:prstGeom prst="rect">
                            <a:avLst/>
                          </a:prstGeom>
                          <a:noFill/>
                          <a:ln>
                            <a:noFill/>
                          </a:ln>
                        </pic:spPr>
                      </pic:pic>
                    </a:graphicData>
                  </a:graphic>
                </wp:inline>
              </w:drawing>
            </w:r>
            <w:r>
              <w:rPr>
                <w:color w:val="auto"/>
                <w:highlight w:val="none"/>
              </w:rPr>
              <w:drawing>
                <wp:inline distT="0" distB="0" distL="114300" distR="114300">
                  <wp:extent cx="1066800" cy="1143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86"/>
                          <a:stretch>
                            <a:fillRect/>
                          </a:stretch>
                        </pic:blipFill>
                        <pic:spPr>
                          <a:xfrm>
                            <a:off x="0" y="0"/>
                            <a:ext cx="1066800" cy="114300"/>
                          </a:xfrm>
                          <a:prstGeom prst="rect">
                            <a:avLst/>
                          </a:prstGeom>
                          <a:noFill/>
                          <a:ln>
                            <a:noFill/>
                          </a:ln>
                        </pic:spPr>
                      </pic:pic>
                    </a:graphicData>
                  </a:graphic>
                </wp:inline>
              </w:drawing>
            </w:r>
            <w:r>
              <w:rPr>
                <w:color w:val="auto"/>
                <w:highlight w:val="none"/>
              </w:rPr>
              <w:t>21.16%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不清楚</w:t>
            </w:r>
          </w:p>
        </w:tc>
        <w:tc>
          <w:tcPr>
            <w:shd w:val="clear" w:color="auto" w:fill="F9F9F9"/>
            <w:vAlign w:val="center"/>
          </w:tcPr>
          <w:p>
            <w:pPr>
              <w:jc w:val="center"/>
              <w:rPr>
                <w:color w:val="auto"/>
                <w:highlight w:val="none"/>
              </w:rPr>
            </w:pPr>
            <w:r>
              <w:rPr>
                <w:color w:val="auto"/>
                <w:highlight w:val="none"/>
              </w:rPr>
              <w:t>18</w:t>
            </w:r>
          </w:p>
        </w:tc>
        <w:tc>
          <w:tcPr>
            <w:shd w:val="clear" w:color="auto" w:fill="F9F9F9"/>
            <w:vAlign w:val="center"/>
          </w:tcPr>
          <w:p>
            <w:pPr>
              <w:jc w:val="left"/>
              <w:rPr>
                <w:color w:val="auto"/>
                <w:highlight w:val="none"/>
              </w:rPr>
            </w:pPr>
            <w:r>
              <w:rPr>
                <w:color w:val="auto"/>
                <w:highlight w:val="none"/>
              </w:rPr>
              <w:drawing>
                <wp:inline distT="0" distB="0" distL="114300" distR="114300">
                  <wp:extent cx="76200" cy="1143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1"/>
                          <a:stretch>
                            <a:fillRect/>
                          </a:stretch>
                        </pic:blipFill>
                        <pic:spPr>
                          <a:xfrm>
                            <a:off x="0" y="0"/>
                            <a:ext cx="76200" cy="114300"/>
                          </a:xfrm>
                          <a:prstGeom prst="rect">
                            <a:avLst/>
                          </a:prstGeom>
                          <a:noFill/>
                          <a:ln>
                            <a:noFill/>
                          </a:ln>
                        </pic:spPr>
                      </pic:pic>
                    </a:graphicData>
                  </a:graphic>
                </wp:inline>
              </w:drawing>
            </w:r>
            <w:r>
              <w:rPr>
                <w:color w:val="auto"/>
                <w:highlight w:val="none"/>
              </w:rPr>
              <w:drawing>
                <wp:inline distT="0" distB="0" distL="114300" distR="114300">
                  <wp:extent cx="1276350" cy="1143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2"/>
                          <a:stretch>
                            <a:fillRect/>
                          </a:stretch>
                        </pic:blipFill>
                        <pic:spPr>
                          <a:xfrm>
                            <a:off x="0" y="0"/>
                            <a:ext cx="1276350" cy="114300"/>
                          </a:xfrm>
                          <a:prstGeom prst="rect">
                            <a:avLst/>
                          </a:prstGeom>
                          <a:noFill/>
                          <a:ln>
                            <a:noFill/>
                          </a:ln>
                        </pic:spPr>
                      </pic:pic>
                    </a:graphicData>
                  </a:graphic>
                </wp:inline>
              </w:drawing>
            </w:r>
            <w:r>
              <w:rPr>
                <w:color w:val="auto"/>
                <w:highlight w:val="none"/>
              </w:rPr>
              <w:t>6.14%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第15题   对于垃圾分类工作，您和您身边的人配合度如何？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20"/>
        <w:gridCol w:w="1046"/>
        <w:gridCol w:w="489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完全配合</w:t>
            </w:r>
          </w:p>
        </w:tc>
        <w:tc>
          <w:tcPr>
            <w:shd w:val="clear" w:color="auto" w:fill="FFFFFF"/>
            <w:vAlign w:val="center"/>
          </w:tcPr>
          <w:p>
            <w:pPr>
              <w:jc w:val="center"/>
              <w:rPr>
                <w:color w:val="auto"/>
                <w:highlight w:val="none"/>
              </w:rPr>
            </w:pPr>
            <w:r>
              <w:rPr>
                <w:color w:val="auto"/>
                <w:highlight w:val="none"/>
              </w:rPr>
              <w:t>137</w:t>
            </w:r>
          </w:p>
        </w:tc>
        <w:tc>
          <w:tcPr>
            <w:shd w:val="clear" w:color="auto" w:fill="FFFFFF"/>
            <w:vAlign w:val="center"/>
          </w:tcPr>
          <w:p>
            <w:pPr>
              <w:jc w:val="left"/>
              <w:rPr>
                <w:color w:val="auto"/>
                <w:highlight w:val="none"/>
              </w:rPr>
            </w:pPr>
            <w:r>
              <w:rPr>
                <w:color w:val="auto"/>
                <w:highlight w:val="none"/>
              </w:rPr>
              <w:drawing>
                <wp:inline distT="0" distB="0" distL="114300" distR="114300">
                  <wp:extent cx="628650" cy="1143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1"/>
                          <a:stretch>
                            <a:fillRect/>
                          </a:stretch>
                        </pic:blipFill>
                        <pic:spPr>
                          <a:xfrm>
                            <a:off x="0" y="0"/>
                            <a:ext cx="628650" cy="114300"/>
                          </a:xfrm>
                          <a:prstGeom prst="rect">
                            <a:avLst/>
                          </a:prstGeom>
                          <a:noFill/>
                          <a:ln>
                            <a:noFill/>
                          </a:ln>
                        </pic:spPr>
                      </pic:pic>
                    </a:graphicData>
                  </a:graphic>
                </wp:inline>
              </w:drawing>
            </w:r>
            <w:r>
              <w:rPr>
                <w:color w:val="auto"/>
                <w:highlight w:val="none"/>
              </w:rPr>
              <w:drawing>
                <wp:inline distT="0" distB="0" distL="114300" distR="114300">
                  <wp:extent cx="723900" cy="1143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2"/>
                          <a:stretch>
                            <a:fillRect/>
                          </a:stretch>
                        </pic:blipFill>
                        <pic:spPr>
                          <a:xfrm>
                            <a:off x="0" y="0"/>
                            <a:ext cx="723900" cy="114300"/>
                          </a:xfrm>
                          <a:prstGeom prst="rect">
                            <a:avLst/>
                          </a:prstGeom>
                          <a:noFill/>
                          <a:ln>
                            <a:noFill/>
                          </a:ln>
                        </pic:spPr>
                      </pic:pic>
                    </a:graphicData>
                  </a:graphic>
                </wp:inline>
              </w:drawing>
            </w:r>
            <w:r>
              <w:rPr>
                <w:color w:val="auto"/>
                <w:highlight w:val="none"/>
              </w:rPr>
              <w:t>46.76%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配合</w:t>
            </w:r>
          </w:p>
        </w:tc>
        <w:tc>
          <w:tcPr>
            <w:shd w:val="clear" w:color="auto" w:fill="F9F9F9"/>
            <w:vAlign w:val="center"/>
          </w:tcPr>
          <w:p>
            <w:pPr>
              <w:jc w:val="center"/>
              <w:rPr>
                <w:color w:val="auto"/>
                <w:highlight w:val="none"/>
              </w:rPr>
            </w:pPr>
            <w:r>
              <w:rPr>
                <w:color w:val="auto"/>
                <w:highlight w:val="none"/>
              </w:rPr>
              <w:t>124</w:t>
            </w:r>
          </w:p>
        </w:tc>
        <w:tc>
          <w:tcPr>
            <w:shd w:val="clear" w:color="auto" w:fill="F9F9F9"/>
            <w:vAlign w:val="center"/>
          </w:tcPr>
          <w:p>
            <w:pPr>
              <w:jc w:val="left"/>
              <w:rPr>
                <w:color w:val="auto"/>
                <w:highlight w:val="none"/>
              </w:rPr>
            </w:pPr>
            <w:r>
              <w:rPr>
                <w:color w:val="auto"/>
                <w:highlight w:val="none"/>
              </w:rPr>
              <w:drawing>
                <wp:inline distT="0" distB="0" distL="114300" distR="114300">
                  <wp:extent cx="571500" cy="1143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81"/>
                          <a:stretch>
                            <a:fillRect/>
                          </a:stretch>
                        </pic:blipFill>
                        <pic:spPr>
                          <a:xfrm>
                            <a:off x="0" y="0"/>
                            <a:ext cx="571500" cy="114300"/>
                          </a:xfrm>
                          <a:prstGeom prst="rect">
                            <a:avLst/>
                          </a:prstGeom>
                          <a:noFill/>
                          <a:ln>
                            <a:noFill/>
                          </a:ln>
                        </pic:spPr>
                      </pic:pic>
                    </a:graphicData>
                  </a:graphic>
                </wp:inline>
              </w:drawing>
            </w:r>
            <w:r>
              <w:rPr>
                <w:color w:val="auto"/>
                <w:highlight w:val="none"/>
              </w:rPr>
              <w:drawing>
                <wp:inline distT="0" distB="0" distL="114300" distR="114300">
                  <wp:extent cx="781050" cy="1143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82"/>
                          <a:stretch>
                            <a:fillRect/>
                          </a:stretch>
                        </pic:blipFill>
                        <pic:spPr>
                          <a:xfrm>
                            <a:off x="0" y="0"/>
                            <a:ext cx="781050" cy="114300"/>
                          </a:xfrm>
                          <a:prstGeom prst="rect">
                            <a:avLst/>
                          </a:prstGeom>
                          <a:noFill/>
                          <a:ln>
                            <a:noFill/>
                          </a:ln>
                        </pic:spPr>
                      </pic:pic>
                    </a:graphicData>
                  </a:graphic>
                </wp:inline>
              </w:drawing>
            </w:r>
            <w:r>
              <w:rPr>
                <w:color w:val="auto"/>
                <w:highlight w:val="none"/>
              </w:rPr>
              <w:t>42.32%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一般</w:t>
            </w:r>
          </w:p>
        </w:tc>
        <w:tc>
          <w:tcPr>
            <w:shd w:val="clear" w:color="auto" w:fill="FFFFFF"/>
            <w:vAlign w:val="center"/>
          </w:tcPr>
          <w:p>
            <w:pPr>
              <w:jc w:val="center"/>
              <w:rPr>
                <w:color w:val="auto"/>
                <w:highlight w:val="none"/>
              </w:rPr>
            </w:pPr>
            <w:r>
              <w:rPr>
                <w:color w:val="auto"/>
                <w:highlight w:val="none"/>
              </w:rPr>
              <w:t>29</w:t>
            </w:r>
          </w:p>
        </w:tc>
        <w:tc>
          <w:tcPr>
            <w:shd w:val="clear" w:color="auto" w:fill="FFFFFF"/>
            <w:vAlign w:val="center"/>
          </w:tcPr>
          <w:p>
            <w:pPr>
              <w:jc w:val="left"/>
              <w:rPr>
                <w:color w:val="auto"/>
                <w:highlight w:val="none"/>
              </w:rPr>
            </w:pPr>
            <w:r>
              <w:rPr>
                <w:color w:val="auto"/>
                <w:highlight w:val="none"/>
              </w:rPr>
              <w:drawing>
                <wp:inline distT="0" distB="0" distL="114300" distR="114300">
                  <wp:extent cx="133350" cy="1143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87"/>
                          <a:stretch>
                            <a:fillRect/>
                          </a:stretch>
                        </pic:blipFill>
                        <pic:spPr>
                          <a:xfrm>
                            <a:off x="0" y="0"/>
                            <a:ext cx="133350" cy="114300"/>
                          </a:xfrm>
                          <a:prstGeom prst="rect">
                            <a:avLst/>
                          </a:prstGeom>
                          <a:noFill/>
                          <a:ln>
                            <a:noFill/>
                          </a:ln>
                        </pic:spPr>
                      </pic:pic>
                    </a:graphicData>
                  </a:graphic>
                </wp:inline>
              </w:drawing>
            </w:r>
            <w:r>
              <w:rPr>
                <w:color w:val="auto"/>
                <w:highlight w:val="none"/>
              </w:rPr>
              <w:drawing>
                <wp:inline distT="0" distB="0" distL="114300" distR="114300">
                  <wp:extent cx="1219200" cy="1143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88"/>
                          <a:stretch>
                            <a:fillRect/>
                          </a:stretch>
                        </pic:blipFill>
                        <pic:spPr>
                          <a:xfrm>
                            <a:off x="0" y="0"/>
                            <a:ext cx="1219200" cy="114300"/>
                          </a:xfrm>
                          <a:prstGeom prst="rect">
                            <a:avLst/>
                          </a:prstGeom>
                          <a:noFill/>
                          <a:ln>
                            <a:noFill/>
                          </a:ln>
                        </pic:spPr>
                      </pic:pic>
                    </a:graphicData>
                  </a:graphic>
                </wp:inline>
              </w:drawing>
            </w:r>
            <w:r>
              <w:rPr>
                <w:color w:val="auto"/>
                <w:highlight w:val="none"/>
              </w:rPr>
              <w:t>9.9%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不配合</w:t>
            </w:r>
          </w:p>
        </w:tc>
        <w:tc>
          <w:tcPr>
            <w:shd w:val="clear" w:color="auto" w:fill="F9F9F9"/>
            <w:vAlign w:val="center"/>
          </w:tcPr>
          <w:p>
            <w:pPr>
              <w:jc w:val="center"/>
              <w:rPr>
                <w:color w:val="auto"/>
                <w:highlight w:val="none"/>
              </w:rPr>
            </w:pPr>
            <w:r>
              <w:rPr>
                <w:color w:val="auto"/>
                <w:highlight w:val="none"/>
              </w:rPr>
              <w:t>3</w:t>
            </w:r>
          </w:p>
        </w:tc>
        <w:tc>
          <w:tcPr>
            <w:shd w:val="clear" w:color="auto" w:fill="F9F9F9"/>
            <w:vAlign w:val="center"/>
          </w:tcPr>
          <w:p>
            <w:pPr>
              <w:jc w:val="left"/>
              <w:rPr>
                <w:color w:val="auto"/>
                <w:highlight w:val="none"/>
              </w:rPr>
            </w:pPr>
            <w:r>
              <w:rPr>
                <w:color w:val="auto"/>
                <w:highlight w:val="none"/>
              </w:rPr>
              <w:drawing>
                <wp:inline distT="0" distB="0" distL="114300" distR="114300">
                  <wp:extent cx="9525" cy="114300"/>
                  <wp:effectExtent l="0" t="0" r="952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9"/>
                          <a:stretch>
                            <a:fillRect/>
                          </a:stretch>
                        </pic:blipFill>
                        <pic:spPr>
                          <a:xfrm>
                            <a:off x="0" y="0"/>
                            <a:ext cx="9525" cy="114300"/>
                          </a:xfrm>
                          <a:prstGeom prst="rect">
                            <a:avLst/>
                          </a:prstGeom>
                          <a:noFill/>
                          <a:ln>
                            <a:noFill/>
                          </a:ln>
                        </pic:spPr>
                      </pic:pic>
                    </a:graphicData>
                  </a:graphic>
                </wp:inline>
              </w:drawing>
            </w:r>
            <w:r>
              <w:rPr>
                <w:color w:val="auto"/>
                <w:highlight w:val="none"/>
              </w:rPr>
              <w:drawing>
                <wp:inline distT="0" distB="0" distL="114300" distR="114300">
                  <wp:extent cx="1343025" cy="114300"/>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0"/>
                          <a:stretch>
                            <a:fillRect/>
                          </a:stretch>
                        </pic:blipFill>
                        <pic:spPr>
                          <a:xfrm>
                            <a:off x="0" y="0"/>
                            <a:ext cx="1343025" cy="114300"/>
                          </a:xfrm>
                          <a:prstGeom prst="rect">
                            <a:avLst/>
                          </a:prstGeom>
                          <a:noFill/>
                          <a:ln>
                            <a:noFill/>
                          </a:ln>
                        </pic:spPr>
                      </pic:pic>
                    </a:graphicData>
                  </a:graphic>
                </wp:inline>
              </w:drawing>
            </w:r>
            <w:r>
              <w:rPr>
                <w:color w:val="auto"/>
                <w:highlight w:val="none"/>
              </w:rPr>
              <w:t>1.02%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第16题   请您对目前</w:t>
      </w:r>
      <w:r>
        <w:rPr>
          <w:rFonts w:hint="eastAsia"/>
          <w:b w:val="0"/>
          <w:color w:val="auto"/>
          <w:sz w:val="24"/>
          <w:highlight w:val="none"/>
          <w:lang w:eastAsia="zh-CN"/>
        </w:rPr>
        <w:t>泉州市洛江区</w:t>
      </w:r>
      <w:r>
        <w:rPr>
          <w:b w:val="0"/>
          <w:color w:val="auto"/>
          <w:sz w:val="24"/>
          <w:highlight w:val="none"/>
        </w:rPr>
        <w:t>垃圾分类现状进行评分（满分5分）      [单选题]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5分</w:t>
            </w:r>
          </w:p>
        </w:tc>
        <w:tc>
          <w:tcPr>
            <w:shd w:val="clear" w:color="auto" w:fill="FFFFFF"/>
            <w:vAlign w:val="center"/>
          </w:tcPr>
          <w:p>
            <w:pPr>
              <w:jc w:val="center"/>
              <w:rPr>
                <w:color w:val="auto"/>
                <w:highlight w:val="none"/>
              </w:rPr>
            </w:pPr>
            <w:r>
              <w:rPr>
                <w:color w:val="auto"/>
                <w:highlight w:val="none"/>
              </w:rPr>
              <w:t>181</w:t>
            </w:r>
          </w:p>
        </w:tc>
        <w:tc>
          <w:tcPr>
            <w:shd w:val="clear" w:color="auto" w:fill="FFFFFF"/>
            <w:vAlign w:val="center"/>
          </w:tcPr>
          <w:p>
            <w:pPr>
              <w:jc w:val="left"/>
              <w:rPr>
                <w:color w:val="auto"/>
                <w:highlight w:val="none"/>
              </w:rPr>
            </w:pPr>
            <w:r>
              <w:rPr>
                <w:color w:val="auto"/>
                <w:highlight w:val="none"/>
              </w:rPr>
              <w:drawing>
                <wp:inline distT="0" distB="0" distL="114300" distR="114300">
                  <wp:extent cx="828675" cy="114300"/>
                  <wp:effectExtent l="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89"/>
                          <a:stretch>
                            <a:fillRect/>
                          </a:stretch>
                        </pic:blipFill>
                        <pic:spPr>
                          <a:xfrm>
                            <a:off x="0" y="0"/>
                            <a:ext cx="828675" cy="114300"/>
                          </a:xfrm>
                          <a:prstGeom prst="rect">
                            <a:avLst/>
                          </a:prstGeom>
                          <a:noFill/>
                          <a:ln>
                            <a:noFill/>
                          </a:ln>
                        </pic:spPr>
                      </pic:pic>
                    </a:graphicData>
                  </a:graphic>
                </wp:inline>
              </w:drawing>
            </w:r>
            <w:r>
              <w:rPr>
                <w:color w:val="auto"/>
                <w:highlight w:val="none"/>
              </w:rPr>
              <w:drawing>
                <wp:inline distT="0" distB="0" distL="114300" distR="114300">
                  <wp:extent cx="523875" cy="114300"/>
                  <wp:effectExtent l="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90"/>
                          <a:stretch>
                            <a:fillRect/>
                          </a:stretch>
                        </pic:blipFill>
                        <pic:spPr>
                          <a:xfrm>
                            <a:off x="0" y="0"/>
                            <a:ext cx="523875" cy="114300"/>
                          </a:xfrm>
                          <a:prstGeom prst="rect">
                            <a:avLst/>
                          </a:prstGeom>
                          <a:noFill/>
                          <a:ln>
                            <a:noFill/>
                          </a:ln>
                        </pic:spPr>
                      </pic:pic>
                    </a:graphicData>
                  </a:graphic>
                </wp:inline>
              </w:drawing>
            </w:r>
            <w:r>
              <w:rPr>
                <w:color w:val="auto"/>
                <w:highlight w:val="none"/>
              </w:rPr>
              <w:t>61.77%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4分</w:t>
            </w:r>
          </w:p>
        </w:tc>
        <w:tc>
          <w:tcPr>
            <w:shd w:val="clear" w:color="auto" w:fill="F9F9F9"/>
            <w:vAlign w:val="center"/>
          </w:tcPr>
          <w:p>
            <w:pPr>
              <w:jc w:val="center"/>
              <w:rPr>
                <w:color w:val="auto"/>
                <w:highlight w:val="none"/>
              </w:rPr>
            </w:pPr>
            <w:r>
              <w:rPr>
                <w:color w:val="auto"/>
                <w:highlight w:val="none"/>
              </w:rPr>
              <w:t>89</w:t>
            </w:r>
          </w:p>
        </w:tc>
        <w:tc>
          <w:tcPr>
            <w:shd w:val="clear" w:color="auto" w:fill="F9F9F9"/>
            <w:vAlign w:val="center"/>
          </w:tcPr>
          <w:p>
            <w:pPr>
              <w:jc w:val="left"/>
              <w:rPr>
                <w:color w:val="auto"/>
                <w:highlight w:val="none"/>
              </w:rPr>
            </w:pPr>
            <w:r>
              <w:rPr>
                <w:color w:val="auto"/>
                <w:highlight w:val="none"/>
              </w:rPr>
              <w:drawing>
                <wp:inline distT="0" distB="0" distL="114300" distR="114300">
                  <wp:extent cx="409575" cy="114300"/>
                  <wp:effectExtent l="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83"/>
                          <a:stretch>
                            <a:fillRect/>
                          </a:stretch>
                        </pic:blipFill>
                        <pic:spPr>
                          <a:xfrm>
                            <a:off x="0" y="0"/>
                            <a:ext cx="409575" cy="114300"/>
                          </a:xfrm>
                          <a:prstGeom prst="rect">
                            <a:avLst/>
                          </a:prstGeom>
                          <a:noFill/>
                          <a:ln>
                            <a:noFill/>
                          </a:ln>
                        </pic:spPr>
                      </pic:pic>
                    </a:graphicData>
                  </a:graphic>
                </wp:inline>
              </w:drawing>
            </w:r>
            <w:r>
              <w:rPr>
                <w:color w:val="auto"/>
                <w:highlight w:val="none"/>
              </w:rPr>
              <w:drawing>
                <wp:inline distT="0" distB="0" distL="114300" distR="114300">
                  <wp:extent cx="942975" cy="114300"/>
                  <wp:effectExtent l="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84"/>
                          <a:stretch>
                            <a:fillRect/>
                          </a:stretch>
                        </pic:blipFill>
                        <pic:spPr>
                          <a:xfrm>
                            <a:off x="0" y="0"/>
                            <a:ext cx="942975" cy="114300"/>
                          </a:xfrm>
                          <a:prstGeom prst="rect">
                            <a:avLst/>
                          </a:prstGeom>
                          <a:noFill/>
                          <a:ln>
                            <a:noFill/>
                          </a:ln>
                        </pic:spPr>
                      </pic:pic>
                    </a:graphicData>
                  </a:graphic>
                </wp:inline>
              </w:drawing>
            </w:r>
            <w:r>
              <w:rPr>
                <w:color w:val="auto"/>
                <w:highlight w:val="none"/>
              </w:rPr>
              <w:t>30.38%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3分</w:t>
            </w:r>
          </w:p>
        </w:tc>
        <w:tc>
          <w:tcPr>
            <w:shd w:val="clear" w:color="auto" w:fill="FFFFFF"/>
            <w:vAlign w:val="center"/>
          </w:tcPr>
          <w:p>
            <w:pPr>
              <w:jc w:val="center"/>
              <w:rPr>
                <w:color w:val="auto"/>
                <w:highlight w:val="none"/>
              </w:rPr>
            </w:pPr>
            <w:r>
              <w:rPr>
                <w:color w:val="auto"/>
                <w:highlight w:val="none"/>
              </w:rPr>
              <w:t>16</w:t>
            </w:r>
          </w:p>
        </w:tc>
        <w:tc>
          <w:tcPr>
            <w:shd w:val="clear" w:color="auto" w:fill="FFFFFF"/>
            <w:vAlign w:val="center"/>
          </w:tcPr>
          <w:p>
            <w:pPr>
              <w:jc w:val="left"/>
              <w:rPr>
                <w:color w:val="auto"/>
                <w:highlight w:val="none"/>
              </w:rPr>
            </w:pPr>
            <w:r>
              <w:rPr>
                <w:color w:val="auto"/>
                <w:highlight w:val="none"/>
              </w:rPr>
              <w:drawing>
                <wp:inline distT="0" distB="0" distL="114300" distR="114300">
                  <wp:extent cx="66675" cy="114300"/>
                  <wp:effectExtent l="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3"/>
                          <a:stretch>
                            <a:fillRect/>
                          </a:stretch>
                        </pic:blipFill>
                        <pic:spPr>
                          <a:xfrm>
                            <a:off x="0" y="0"/>
                            <a:ext cx="66675" cy="114300"/>
                          </a:xfrm>
                          <a:prstGeom prst="rect">
                            <a:avLst/>
                          </a:prstGeom>
                          <a:noFill/>
                          <a:ln>
                            <a:noFill/>
                          </a:ln>
                        </pic:spPr>
                      </pic:pic>
                    </a:graphicData>
                  </a:graphic>
                </wp:inline>
              </w:drawing>
            </w:r>
            <w:r>
              <w:rPr>
                <w:color w:val="auto"/>
                <w:highlight w:val="none"/>
              </w:rPr>
              <w:drawing>
                <wp:inline distT="0" distB="0" distL="114300" distR="114300">
                  <wp:extent cx="1285875" cy="114300"/>
                  <wp:effectExtent l="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4"/>
                          <a:stretch>
                            <a:fillRect/>
                          </a:stretch>
                        </pic:blipFill>
                        <pic:spPr>
                          <a:xfrm>
                            <a:off x="0" y="0"/>
                            <a:ext cx="1285875" cy="114300"/>
                          </a:xfrm>
                          <a:prstGeom prst="rect">
                            <a:avLst/>
                          </a:prstGeom>
                          <a:noFill/>
                          <a:ln>
                            <a:noFill/>
                          </a:ln>
                        </pic:spPr>
                      </pic:pic>
                    </a:graphicData>
                  </a:graphic>
                </wp:inline>
              </w:drawing>
            </w:r>
            <w:r>
              <w:rPr>
                <w:color w:val="auto"/>
                <w:highlight w:val="none"/>
              </w:rPr>
              <w:t>5.46%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2分</w:t>
            </w:r>
          </w:p>
        </w:tc>
        <w:tc>
          <w:tcPr>
            <w:shd w:val="clear" w:color="auto" w:fill="F9F9F9"/>
            <w:vAlign w:val="center"/>
          </w:tcPr>
          <w:p>
            <w:pPr>
              <w:jc w:val="center"/>
              <w:rPr>
                <w:color w:val="auto"/>
                <w:highlight w:val="none"/>
              </w:rPr>
            </w:pPr>
            <w:r>
              <w:rPr>
                <w:color w:val="auto"/>
                <w:highlight w:val="none"/>
              </w:rPr>
              <w:t>7</w:t>
            </w:r>
          </w:p>
        </w:tc>
        <w:tc>
          <w:tcPr>
            <w:shd w:val="clear" w:color="auto" w:fill="F9F9F9"/>
            <w:vAlign w:val="center"/>
          </w:tcPr>
          <w:p>
            <w:pPr>
              <w:jc w:val="left"/>
              <w:rPr>
                <w:color w:val="auto"/>
                <w:highlight w:val="none"/>
              </w:rPr>
            </w:pPr>
            <w:r>
              <w:rPr>
                <w:color w:val="auto"/>
                <w:highlight w:val="none"/>
              </w:rPr>
              <w:drawing>
                <wp:inline distT="0" distB="0" distL="114300" distR="114300">
                  <wp:extent cx="28575" cy="114300"/>
                  <wp:effectExtent l="0" t="0" r="952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9"/>
                          <a:stretch>
                            <a:fillRect/>
                          </a:stretch>
                        </pic:blipFill>
                        <pic:spPr>
                          <a:xfrm>
                            <a:off x="0" y="0"/>
                            <a:ext cx="28575" cy="114300"/>
                          </a:xfrm>
                          <a:prstGeom prst="rect">
                            <a:avLst/>
                          </a:prstGeom>
                          <a:noFill/>
                          <a:ln>
                            <a:noFill/>
                          </a:ln>
                        </pic:spPr>
                      </pic:pic>
                    </a:graphicData>
                  </a:graphic>
                </wp:inline>
              </w:drawing>
            </w:r>
            <w:r>
              <w:rPr>
                <w:color w:val="auto"/>
                <w:highlight w:val="none"/>
              </w:rPr>
              <w:drawing>
                <wp:inline distT="0" distB="0" distL="114300" distR="114300">
                  <wp:extent cx="1323975" cy="114300"/>
                  <wp:effectExtent l="0" t="0" r="952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0"/>
                          <a:stretch>
                            <a:fillRect/>
                          </a:stretch>
                        </pic:blipFill>
                        <pic:spPr>
                          <a:xfrm>
                            <a:off x="0" y="0"/>
                            <a:ext cx="1323975" cy="114300"/>
                          </a:xfrm>
                          <a:prstGeom prst="rect">
                            <a:avLst/>
                          </a:prstGeom>
                          <a:noFill/>
                          <a:ln>
                            <a:noFill/>
                          </a:ln>
                        </pic:spPr>
                      </pic:pic>
                    </a:graphicData>
                  </a:graphic>
                </wp:inline>
              </w:drawing>
            </w:r>
            <w:r>
              <w:rPr>
                <w:color w:val="auto"/>
                <w:highlight w:val="none"/>
              </w:rPr>
              <w:t>2.39%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第17题   您认为</w:t>
      </w:r>
      <w:r>
        <w:rPr>
          <w:rFonts w:hint="eastAsia"/>
          <w:b w:val="0"/>
          <w:color w:val="auto"/>
          <w:sz w:val="24"/>
          <w:highlight w:val="none"/>
          <w:lang w:eastAsia="zh-CN"/>
        </w:rPr>
        <w:t>泉州市洛江区</w:t>
      </w:r>
      <w:r>
        <w:rPr>
          <w:b w:val="0"/>
          <w:color w:val="auto"/>
          <w:sz w:val="24"/>
          <w:highlight w:val="none"/>
        </w:rPr>
        <w:t>的垃圾分类宣传存在哪些问题？（多选题）      [多选题]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619"/>
        <w:gridCol w:w="776"/>
        <w:gridCol w:w="366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宣传力度不够，缺乏广泛性和持续性</w:t>
            </w:r>
          </w:p>
        </w:tc>
        <w:tc>
          <w:tcPr>
            <w:shd w:val="clear" w:color="auto" w:fill="FFFFFF"/>
            <w:vAlign w:val="center"/>
          </w:tcPr>
          <w:p>
            <w:pPr>
              <w:jc w:val="center"/>
              <w:rPr>
                <w:color w:val="auto"/>
                <w:highlight w:val="none"/>
              </w:rPr>
            </w:pPr>
            <w:r>
              <w:rPr>
                <w:color w:val="auto"/>
                <w:highlight w:val="none"/>
              </w:rPr>
              <w:t>178</w:t>
            </w:r>
          </w:p>
        </w:tc>
        <w:tc>
          <w:tcPr>
            <w:shd w:val="clear" w:color="auto" w:fill="FFFFFF"/>
            <w:vAlign w:val="center"/>
          </w:tcPr>
          <w:p>
            <w:pPr>
              <w:jc w:val="left"/>
              <w:rPr>
                <w:color w:val="auto"/>
                <w:highlight w:val="none"/>
              </w:rPr>
            </w:pPr>
            <w:r>
              <w:rPr>
                <w:color w:val="auto"/>
                <w:highlight w:val="none"/>
              </w:rPr>
              <w:drawing>
                <wp:inline distT="0" distB="0" distL="114300" distR="114300">
                  <wp:extent cx="819150" cy="1143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91"/>
                          <a:stretch>
                            <a:fillRect/>
                          </a:stretch>
                        </pic:blipFill>
                        <pic:spPr>
                          <a:xfrm>
                            <a:off x="0" y="0"/>
                            <a:ext cx="819150" cy="114300"/>
                          </a:xfrm>
                          <a:prstGeom prst="rect">
                            <a:avLst/>
                          </a:prstGeom>
                          <a:noFill/>
                          <a:ln>
                            <a:noFill/>
                          </a:ln>
                        </pic:spPr>
                      </pic:pic>
                    </a:graphicData>
                  </a:graphic>
                </wp:inline>
              </w:drawing>
            </w:r>
            <w:r>
              <w:rPr>
                <w:color w:val="auto"/>
                <w:highlight w:val="none"/>
              </w:rPr>
              <w:drawing>
                <wp:inline distT="0" distB="0" distL="114300" distR="114300">
                  <wp:extent cx="533400" cy="1143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92"/>
                          <a:stretch>
                            <a:fillRect/>
                          </a:stretch>
                        </pic:blipFill>
                        <pic:spPr>
                          <a:xfrm>
                            <a:off x="0" y="0"/>
                            <a:ext cx="533400" cy="114300"/>
                          </a:xfrm>
                          <a:prstGeom prst="rect">
                            <a:avLst/>
                          </a:prstGeom>
                          <a:noFill/>
                          <a:ln>
                            <a:noFill/>
                          </a:ln>
                        </pic:spPr>
                      </pic:pic>
                    </a:graphicData>
                  </a:graphic>
                </wp:inline>
              </w:drawing>
            </w:r>
            <w:r>
              <w:rPr>
                <w:color w:val="auto"/>
                <w:highlight w:val="none"/>
              </w:rPr>
              <w:t>60.75%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宣传方式单一，影响力不够</w:t>
            </w:r>
          </w:p>
        </w:tc>
        <w:tc>
          <w:tcPr>
            <w:shd w:val="clear" w:color="auto" w:fill="F9F9F9"/>
            <w:vAlign w:val="center"/>
          </w:tcPr>
          <w:p>
            <w:pPr>
              <w:jc w:val="center"/>
              <w:rPr>
                <w:color w:val="auto"/>
                <w:highlight w:val="none"/>
              </w:rPr>
            </w:pPr>
            <w:r>
              <w:rPr>
                <w:color w:val="auto"/>
                <w:highlight w:val="none"/>
              </w:rPr>
              <w:t>146</w:t>
            </w:r>
          </w:p>
        </w:tc>
        <w:tc>
          <w:tcPr>
            <w:shd w:val="clear" w:color="auto" w:fill="F9F9F9"/>
            <w:vAlign w:val="center"/>
          </w:tcPr>
          <w:p>
            <w:pPr>
              <w:jc w:val="left"/>
              <w:rPr>
                <w:color w:val="auto"/>
                <w:highlight w:val="none"/>
              </w:rPr>
            </w:pPr>
            <w:r>
              <w:rPr>
                <w:color w:val="auto"/>
                <w:highlight w:val="none"/>
              </w:rPr>
              <w:drawing>
                <wp:inline distT="0" distB="0" distL="114300" distR="114300">
                  <wp:extent cx="666750" cy="1143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7"/>
                          <a:stretch>
                            <a:fillRect/>
                          </a:stretch>
                        </pic:blipFill>
                        <pic:spPr>
                          <a:xfrm>
                            <a:off x="0" y="0"/>
                            <a:ext cx="666750" cy="114300"/>
                          </a:xfrm>
                          <a:prstGeom prst="rect">
                            <a:avLst/>
                          </a:prstGeom>
                          <a:noFill/>
                          <a:ln>
                            <a:noFill/>
                          </a:ln>
                        </pic:spPr>
                      </pic:pic>
                    </a:graphicData>
                  </a:graphic>
                </wp:inline>
              </w:drawing>
            </w:r>
            <w:r>
              <w:rPr>
                <w:color w:val="auto"/>
                <w:highlight w:val="none"/>
              </w:rPr>
              <w:drawing>
                <wp:inline distT="0" distB="0" distL="114300" distR="114300">
                  <wp:extent cx="685800" cy="1143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8"/>
                          <a:stretch>
                            <a:fillRect/>
                          </a:stretch>
                        </pic:blipFill>
                        <pic:spPr>
                          <a:xfrm>
                            <a:off x="0" y="0"/>
                            <a:ext cx="685800" cy="114300"/>
                          </a:xfrm>
                          <a:prstGeom prst="rect">
                            <a:avLst/>
                          </a:prstGeom>
                          <a:noFill/>
                          <a:ln>
                            <a:noFill/>
                          </a:ln>
                        </pic:spPr>
                      </pic:pic>
                    </a:graphicData>
                  </a:graphic>
                </wp:inline>
              </w:drawing>
            </w:r>
            <w:r>
              <w:rPr>
                <w:color w:val="auto"/>
                <w:highlight w:val="none"/>
              </w:rPr>
              <w:t>49.83%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宣传内容空泛，缺乏实际分类知识指导</w:t>
            </w:r>
          </w:p>
        </w:tc>
        <w:tc>
          <w:tcPr>
            <w:shd w:val="clear" w:color="auto" w:fill="FFFFFF"/>
            <w:vAlign w:val="center"/>
          </w:tcPr>
          <w:p>
            <w:pPr>
              <w:jc w:val="center"/>
              <w:rPr>
                <w:color w:val="auto"/>
                <w:highlight w:val="none"/>
              </w:rPr>
            </w:pPr>
            <w:r>
              <w:rPr>
                <w:color w:val="auto"/>
                <w:highlight w:val="none"/>
              </w:rPr>
              <w:t>100</w:t>
            </w:r>
          </w:p>
        </w:tc>
        <w:tc>
          <w:tcPr>
            <w:shd w:val="clear" w:color="auto" w:fill="FFFFFF"/>
            <w:vAlign w:val="center"/>
          </w:tcPr>
          <w:p>
            <w:pPr>
              <w:jc w:val="left"/>
              <w:rPr>
                <w:color w:val="auto"/>
                <w:highlight w:val="none"/>
              </w:rPr>
            </w:pPr>
            <w:r>
              <w:rPr>
                <w:color w:val="auto"/>
                <w:highlight w:val="none"/>
              </w:rPr>
              <w:drawing>
                <wp:inline distT="0" distB="0" distL="114300" distR="114300">
                  <wp:extent cx="457200" cy="1143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3"/>
                          <a:stretch>
                            <a:fillRect/>
                          </a:stretch>
                        </pic:blipFill>
                        <pic:spPr>
                          <a:xfrm>
                            <a:off x="0" y="0"/>
                            <a:ext cx="457200" cy="114300"/>
                          </a:xfrm>
                          <a:prstGeom prst="rect">
                            <a:avLst/>
                          </a:prstGeom>
                          <a:noFill/>
                          <a:ln>
                            <a:noFill/>
                          </a:ln>
                        </pic:spPr>
                      </pic:pic>
                    </a:graphicData>
                  </a:graphic>
                </wp:inline>
              </w:drawing>
            </w:r>
            <w:r>
              <w:rPr>
                <w:color w:val="auto"/>
                <w:highlight w:val="none"/>
              </w:rPr>
              <w:drawing>
                <wp:inline distT="0" distB="0" distL="114300" distR="114300">
                  <wp:extent cx="895350" cy="1143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4"/>
                          <a:stretch>
                            <a:fillRect/>
                          </a:stretch>
                        </pic:blipFill>
                        <pic:spPr>
                          <a:xfrm>
                            <a:off x="0" y="0"/>
                            <a:ext cx="895350" cy="114300"/>
                          </a:xfrm>
                          <a:prstGeom prst="rect">
                            <a:avLst/>
                          </a:prstGeom>
                          <a:noFill/>
                          <a:ln>
                            <a:noFill/>
                          </a:ln>
                        </pic:spPr>
                      </pic:pic>
                    </a:graphicData>
                  </a:graphic>
                </wp:inline>
              </w:drawing>
            </w:r>
            <w:r>
              <w:rPr>
                <w:color w:val="auto"/>
                <w:highlight w:val="none"/>
              </w:rPr>
              <w:t>34.13%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宣传设施维护和管理不到位</w:t>
            </w:r>
          </w:p>
        </w:tc>
        <w:tc>
          <w:tcPr>
            <w:shd w:val="clear" w:color="auto" w:fill="F9F9F9"/>
            <w:vAlign w:val="center"/>
          </w:tcPr>
          <w:p>
            <w:pPr>
              <w:jc w:val="center"/>
              <w:rPr>
                <w:color w:val="auto"/>
                <w:highlight w:val="none"/>
              </w:rPr>
            </w:pPr>
            <w:r>
              <w:rPr>
                <w:color w:val="auto"/>
                <w:highlight w:val="none"/>
              </w:rPr>
              <w:t>84</w:t>
            </w:r>
          </w:p>
        </w:tc>
        <w:tc>
          <w:tcPr>
            <w:shd w:val="clear" w:color="auto" w:fill="F9F9F9"/>
            <w:vAlign w:val="center"/>
          </w:tcPr>
          <w:p>
            <w:pPr>
              <w:jc w:val="left"/>
              <w:rPr>
                <w:color w:val="auto"/>
                <w:highlight w:val="none"/>
              </w:rPr>
            </w:pPr>
            <w:r>
              <w:rPr>
                <w:color w:val="auto"/>
                <w:highlight w:val="none"/>
              </w:rPr>
              <w:drawing>
                <wp:inline distT="0" distB="0" distL="114300" distR="114300">
                  <wp:extent cx="381000" cy="1143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93"/>
                          <a:stretch>
                            <a:fillRect/>
                          </a:stretch>
                        </pic:blipFill>
                        <pic:spPr>
                          <a:xfrm>
                            <a:off x="0" y="0"/>
                            <a:ext cx="381000" cy="114300"/>
                          </a:xfrm>
                          <a:prstGeom prst="rect">
                            <a:avLst/>
                          </a:prstGeom>
                          <a:noFill/>
                          <a:ln>
                            <a:noFill/>
                          </a:ln>
                        </pic:spPr>
                      </pic:pic>
                    </a:graphicData>
                  </a:graphic>
                </wp:inline>
              </w:drawing>
            </w:r>
            <w:r>
              <w:rPr>
                <w:color w:val="auto"/>
                <w:highlight w:val="none"/>
              </w:rPr>
              <w:drawing>
                <wp:inline distT="0" distB="0" distL="114300" distR="114300">
                  <wp:extent cx="971550" cy="1143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94"/>
                          <a:stretch>
                            <a:fillRect/>
                          </a:stretch>
                        </pic:blipFill>
                        <pic:spPr>
                          <a:xfrm>
                            <a:off x="0" y="0"/>
                            <a:ext cx="971550" cy="114300"/>
                          </a:xfrm>
                          <a:prstGeom prst="rect">
                            <a:avLst/>
                          </a:prstGeom>
                          <a:noFill/>
                          <a:ln>
                            <a:noFill/>
                          </a:ln>
                        </pic:spPr>
                      </pic:pic>
                    </a:graphicData>
                  </a:graphic>
                </wp:inline>
              </w:drawing>
            </w:r>
            <w:r>
              <w:rPr>
                <w:color w:val="auto"/>
                <w:highlight w:val="none"/>
              </w:rPr>
              <w:t>28.67%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宣传内容更新不及时，信息滞后</w:t>
            </w:r>
          </w:p>
        </w:tc>
        <w:tc>
          <w:tcPr>
            <w:shd w:val="clear" w:color="auto" w:fill="FFFFFF"/>
            <w:vAlign w:val="center"/>
          </w:tcPr>
          <w:p>
            <w:pPr>
              <w:jc w:val="center"/>
              <w:rPr>
                <w:color w:val="auto"/>
                <w:highlight w:val="none"/>
              </w:rPr>
            </w:pPr>
            <w:r>
              <w:rPr>
                <w:color w:val="auto"/>
                <w:highlight w:val="none"/>
              </w:rPr>
              <w:t>61</w:t>
            </w:r>
          </w:p>
        </w:tc>
        <w:tc>
          <w:tcPr>
            <w:shd w:val="clear" w:color="auto" w:fill="FFFFFF"/>
            <w:vAlign w:val="center"/>
          </w:tcPr>
          <w:p>
            <w:pPr>
              <w:jc w:val="left"/>
              <w:rPr>
                <w:color w:val="auto"/>
                <w:highlight w:val="none"/>
              </w:rPr>
            </w:pPr>
            <w:r>
              <w:rPr>
                <w:color w:val="auto"/>
                <w:highlight w:val="none"/>
              </w:rPr>
              <w:drawing>
                <wp:inline distT="0" distB="0" distL="114300" distR="114300">
                  <wp:extent cx="276225" cy="114300"/>
                  <wp:effectExtent l="0" t="0" r="952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95"/>
                          <a:stretch>
                            <a:fillRect/>
                          </a:stretch>
                        </pic:blipFill>
                        <pic:spPr>
                          <a:xfrm>
                            <a:off x="0" y="0"/>
                            <a:ext cx="276225" cy="114300"/>
                          </a:xfrm>
                          <a:prstGeom prst="rect">
                            <a:avLst/>
                          </a:prstGeom>
                          <a:noFill/>
                          <a:ln>
                            <a:noFill/>
                          </a:ln>
                        </pic:spPr>
                      </pic:pic>
                    </a:graphicData>
                  </a:graphic>
                </wp:inline>
              </w:drawing>
            </w:r>
            <w:r>
              <w:rPr>
                <w:color w:val="auto"/>
                <w:highlight w:val="none"/>
              </w:rPr>
              <w:drawing>
                <wp:inline distT="0" distB="0" distL="114300" distR="114300">
                  <wp:extent cx="1076325" cy="114300"/>
                  <wp:effectExtent l="0" t="0" r="952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96"/>
                          <a:stretch>
                            <a:fillRect/>
                          </a:stretch>
                        </pic:blipFill>
                        <pic:spPr>
                          <a:xfrm>
                            <a:off x="0" y="0"/>
                            <a:ext cx="1076325" cy="114300"/>
                          </a:xfrm>
                          <a:prstGeom prst="rect">
                            <a:avLst/>
                          </a:prstGeom>
                          <a:noFill/>
                          <a:ln>
                            <a:noFill/>
                          </a:ln>
                        </pic:spPr>
                      </pic:pic>
                    </a:graphicData>
                  </a:graphic>
                </wp:inline>
              </w:drawing>
            </w:r>
            <w:r>
              <w:rPr>
                <w:color w:val="auto"/>
                <w:highlight w:val="none"/>
              </w:rPr>
              <w:t>20.82%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color w:val="auto"/>
          <w:highlight w:val="none"/>
        </w:rPr>
      </w:pPr>
      <w:r>
        <w:rPr>
          <w:b w:val="0"/>
          <w:color w:val="auto"/>
          <w:sz w:val="24"/>
          <w:highlight w:val="none"/>
        </w:rPr>
        <w:t>第18题   您认为哪些措施有助于提高生活垃圾分类率？（多选题）      [多选题]</w:t>
      </w:r>
    </w:p>
    <w:p>
      <w:pPr>
        <w:rPr>
          <w:b w:val="0"/>
          <w:color w:val="auto"/>
          <w:sz w:val="24"/>
          <w:highlight w:val="none"/>
        </w:rPr>
      </w:pPr>
    </w:p>
    <w:tbl>
      <w:tblPr>
        <w:tblStyle w:val="1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511"/>
        <w:gridCol w:w="625"/>
        <w:gridCol w:w="292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color w:val="auto"/>
                <w:highlight w:val="none"/>
              </w:rPr>
            </w:pPr>
            <w:r>
              <w:rPr>
                <w:color w:val="auto"/>
                <w:highlight w:val="none"/>
              </w:rPr>
              <w:t>选项</w:t>
            </w:r>
          </w:p>
        </w:tc>
        <w:tc>
          <w:tcPr>
            <w:shd w:val="clear" w:color="auto" w:fill="E0E0E0"/>
            <w:vAlign w:val="center"/>
          </w:tcPr>
          <w:p>
            <w:pPr>
              <w:jc w:val="center"/>
              <w:rPr>
                <w:color w:val="auto"/>
                <w:highlight w:val="none"/>
              </w:rPr>
            </w:pPr>
            <w:r>
              <w:rPr>
                <w:color w:val="auto"/>
                <w:highlight w:val="none"/>
              </w:rPr>
              <w:t>小计</w:t>
            </w:r>
          </w:p>
        </w:tc>
        <w:tc>
          <w:tcPr>
            <w:shd w:val="clear" w:color="auto" w:fill="E0E0E0"/>
            <w:vAlign w:val="center"/>
          </w:tcPr>
          <w:p>
            <w:pPr>
              <w:jc w:val="center"/>
              <w:rPr>
                <w:color w:val="auto"/>
                <w:highlight w:val="none"/>
              </w:rPr>
            </w:pPr>
            <w:r>
              <w:rPr>
                <w:color w:val="auto"/>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完善垃圾分类标准</w:t>
            </w:r>
          </w:p>
        </w:tc>
        <w:tc>
          <w:tcPr>
            <w:shd w:val="clear" w:color="auto" w:fill="FFFFFF"/>
            <w:vAlign w:val="center"/>
          </w:tcPr>
          <w:p>
            <w:pPr>
              <w:jc w:val="center"/>
              <w:rPr>
                <w:color w:val="auto"/>
                <w:highlight w:val="none"/>
              </w:rPr>
            </w:pPr>
            <w:r>
              <w:rPr>
                <w:color w:val="auto"/>
                <w:highlight w:val="none"/>
              </w:rPr>
              <w:t>193</w:t>
            </w:r>
          </w:p>
        </w:tc>
        <w:tc>
          <w:tcPr>
            <w:shd w:val="clear" w:color="auto" w:fill="FFFFFF"/>
            <w:vAlign w:val="center"/>
          </w:tcPr>
          <w:p>
            <w:pPr>
              <w:jc w:val="left"/>
              <w:rPr>
                <w:color w:val="auto"/>
                <w:highlight w:val="none"/>
              </w:rPr>
            </w:pPr>
            <w:r>
              <w:rPr>
                <w:color w:val="auto"/>
                <w:highlight w:val="none"/>
              </w:rPr>
              <w:drawing>
                <wp:inline distT="0" distB="0" distL="114300" distR="114300">
                  <wp:extent cx="885825" cy="114300"/>
                  <wp:effectExtent l="0" t="0" r="9525"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97"/>
                          <a:stretch>
                            <a:fillRect/>
                          </a:stretch>
                        </pic:blipFill>
                        <pic:spPr>
                          <a:xfrm>
                            <a:off x="0" y="0"/>
                            <a:ext cx="885825" cy="114300"/>
                          </a:xfrm>
                          <a:prstGeom prst="rect">
                            <a:avLst/>
                          </a:prstGeom>
                          <a:noFill/>
                          <a:ln>
                            <a:noFill/>
                          </a:ln>
                        </pic:spPr>
                      </pic:pic>
                    </a:graphicData>
                  </a:graphic>
                </wp:inline>
              </w:drawing>
            </w:r>
            <w:r>
              <w:rPr>
                <w:color w:val="auto"/>
                <w:highlight w:val="none"/>
              </w:rPr>
              <w:drawing>
                <wp:inline distT="0" distB="0" distL="114300" distR="114300">
                  <wp:extent cx="466725" cy="114300"/>
                  <wp:effectExtent l="0" t="0" r="952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98"/>
                          <a:stretch>
                            <a:fillRect/>
                          </a:stretch>
                        </pic:blipFill>
                        <pic:spPr>
                          <a:xfrm>
                            <a:off x="0" y="0"/>
                            <a:ext cx="466725" cy="114300"/>
                          </a:xfrm>
                          <a:prstGeom prst="rect">
                            <a:avLst/>
                          </a:prstGeom>
                          <a:noFill/>
                          <a:ln>
                            <a:noFill/>
                          </a:ln>
                        </pic:spPr>
                      </pic:pic>
                    </a:graphicData>
                  </a:graphic>
                </wp:inline>
              </w:drawing>
            </w:r>
            <w:r>
              <w:rPr>
                <w:color w:val="auto"/>
                <w:highlight w:val="none"/>
              </w:rPr>
              <w:t>65.87%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F9F9F9"/>
            <w:vAlign w:val="center"/>
          </w:tcPr>
          <w:p>
            <w:pPr>
              <w:jc w:val="left"/>
              <w:rPr>
                <w:color w:val="auto"/>
                <w:highlight w:val="none"/>
              </w:rPr>
            </w:pPr>
            <w:r>
              <w:rPr>
                <w:color w:val="auto"/>
                <w:highlight w:val="none"/>
              </w:rPr>
              <w:t>加强垃圾分类设施建设</w:t>
            </w:r>
          </w:p>
        </w:tc>
        <w:tc>
          <w:tcPr>
            <w:shd w:val="clear" w:color="auto" w:fill="F9F9F9"/>
            <w:vAlign w:val="center"/>
          </w:tcPr>
          <w:p>
            <w:pPr>
              <w:jc w:val="center"/>
              <w:rPr>
                <w:color w:val="auto"/>
                <w:highlight w:val="none"/>
              </w:rPr>
            </w:pPr>
            <w:r>
              <w:rPr>
                <w:color w:val="auto"/>
                <w:highlight w:val="none"/>
              </w:rPr>
              <w:t>184</w:t>
            </w:r>
          </w:p>
        </w:tc>
        <w:tc>
          <w:tcPr>
            <w:shd w:val="clear" w:color="auto" w:fill="F9F9F9"/>
            <w:vAlign w:val="center"/>
          </w:tcPr>
          <w:p>
            <w:pPr>
              <w:jc w:val="left"/>
              <w:rPr>
                <w:color w:val="auto"/>
                <w:highlight w:val="none"/>
              </w:rPr>
            </w:pPr>
            <w:r>
              <w:rPr>
                <w:color w:val="auto"/>
                <w:highlight w:val="none"/>
              </w:rPr>
              <w:drawing>
                <wp:inline distT="0" distB="0" distL="114300" distR="114300">
                  <wp:extent cx="847725" cy="114300"/>
                  <wp:effectExtent l="0" t="0" r="952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99"/>
                          <a:stretch>
                            <a:fillRect/>
                          </a:stretch>
                        </pic:blipFill>
                        <pic:spPr>
                          <a:xfrm>
                            <a:off x="0" y="0"/>
                            <a:ext cx="847725" cy="114300"/>
                          </a:xfrm>
                          <a:prstGeom prst="rect">
                            <a:avLst/>
                          </a:prstGeom>
                          <a:noFill/>
                          <a:ln>
                            <a:noFill/>
                          </a:ln>
                        </pic:spPr>
                      </pic:pic>
                    </a:graphicData>
                  </a:graphic>
                </wp:inline>
              </w:drawing>
            </w:r>
            <w:r>
              <w:rPr>
                <w:color w:val="auto"/>
                <w:highlight w:val="none"/>
              </w:rPr>
              <w:drawing>
                <wp:inline distT="0" distB="0" distL="114300" distR="114300">
                  <wp:extent cx="504825" cy="114300"/>
                  <wp:effectExtent l="0" t="0" r="952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00"/>
                          <a:stretch>
                            <a:fillRect/>
                          </a:stretch>
                        </pic:blipFill>
                        <pic:spPr>
                          <a:xfrm>
                            <a:off x="0" y="0"/>
                            <a:ext cx="504825" cy="114300"/>
                          </a:xfrm>
                          <a:prstGeom prst="rect">
                            <a:avLst/>
                          </a:prstGeom>
                          <a:noFill/>
                          <a:ln>
                            <a:noFill/>
                          </a:ln>
                        </pic:spPr>
                      </pic:pic>
                    </a:graphicData>
                  </a:graphic>
                </wp:inline>
              </w:drawing>
            </w:r>
            <w:r>
              <w:rPr>
                <w:color w:val="auto"/>
                <w:highlight w:val="none"/>
              </w:rPr>
              <w:t>62.8%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FFFFFF"/>
            <w:vAlign w:val="center"/>
          </w:tcPr>
          <w:p>
            <w:pPr>
              <w:jc w:val="left"/>
              <w:rPr>
                <w:color w:val="auto"/>
                <w:highlight w:val="none"/>
              </w:rPr>
            </w:pPr>
            <w:r>
              <w:rPr>
                <w:color w:val="auto"/>
                <w:highlight w:val="none"/>
              </w:rPr>
              <w:t>加强监督，设置专职监管和指导人员</w:t>
            </w:r>
          </w:p>
        </w:tc>
        <w:tc>
          <w:tcPr>
            <w:shd w:val="clear" w:color="auto" w:fill="FFFFFF"/>
            <w:vAlign w:val="center"/>
          </w:tcPr>
          <w:p>
            <w:pPr>
              <w:jc w:val="center"/>
              <w:rPr>
                <w:color w:val="auto"/>
                <w:highlight w:val="none"/>
              </w:rPr>
            </w:pPr>
            <w:r>
              <w:rPr>
                <w:color w:val="auto"/>
                <w:highlight w:val="none"/>
              </w:rPr>
              <w:t>179</w:t>
            </w:r>
          </w:p>
        </w:tc>
        <w:tc>
          <w:tcPr>
            <w:shd w:val="clear" w:color="auto" w:fill="FFFFFF"/>
            <w:vAlign w:val="center"/>
          </w:tcPr>
          <w:p>
            <w:pPr>
              <w:jc w:val="left"/>
              <w:rPr>
                <w:color w:val="auto"/>
                <w:highlight w:val="none"/>
              </w:rPr>
            </w:pPr>
            <w:r>
              <w:rPr>
                <w:color w:val="auto"/>
                <w:highlight w:val="none"/>
              </w:rPr>
              <w:drawing>
                <wp:inline distT="0" distB="0" distL="114300" distR="114300">
                  <wp:extent cx="819150" cy="11430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91"/>
                          <a:stretch>
                            <a:fillRect/>
                          </a:stretch>
                        </pic:blipFill>
                        <pic:spPr>
                          <a:xfrm>
                            <a:off x="0" y="0"/>
                            <a:ext cx="819150" cy="114300"/>
                          </a:xfrm>
                          <a:prstGeom prst="rect">
                            <a:avLst/>
                          </a:prstGeom>
                          <a:noFill/>
                          <a:ln>
                            <a:noFill/>
                          </a:ln>
                        </pic:spPr>
                      </pic:pic>
                    </a:graphicData>
                  </a:graphic>
                </wp:inline>
              </w:drawing>
            </w:r>
            <w:r>
              <w:rPr>
                <w:color w:val="auto"/>
                <w:highlight w:val="none"/>
              </w:rPr>
              <w:drawing>
                <wp:inline distT="0" distB="0" distL="114300" distR="114300">
                  <wp:extent cx="533400" cy="1143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92"/>
                          <a:stretch>
                            <a:fillRect/>
                          </a:stretch>
                        </pic:blipFill>
                        <pic:spPr>
                          <a:xfrm>
                            <a:off x="0" y="0"/>
                            <a:ext cx="533400" cy="114300"/>
                          </a:xfrm>
                          <a:prstGeom prst="rect">
                            <a:avLst/>
                          </a:prstGeom>
                          <a:noFill/>
                          <a:ln>
                            <a:noFill/>
                          </a:ln>
                        </pic:spPr>
                      </pic:pic>
                    </a:graphicData>
                  </a:graphic>
                </wp:inline>
              </w:drawing>
            </w:r>
            <w:r>
              <w:rPr>
                <w:color w:val="auto"/>
                <w:highlight w:val="none"/>
              </w:rPr>
              <w:t>61.09%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建立处理收费制度（按类计量收费，生活来及重量阶梯收费等）</w:t>
            </w:r>
          </w:p>
        </w:tc>
        <w:tc>
          <w:tcPr>
            <w:shd w:val="clear" w:color="auto" w:fill="F9F9F9"/>
            <w:vAlign w:val="center"/>
          </w:tcPr>
          <w:p>
            <w:pPr>
              <w:jc w:val="center"/>
              <w:rPr>
                <w:color w:val="auto"/>
                <w:highlight w:val="none"/>
              </w:rPr>
            </w:pPr>
            <w:r>
              <w:rPr>
                <w:color w:val="auto"/>
                <w:highlight w:val="none"/>
              </w:rPr>
              <w:t>74</w:t>
            </w:r>
          </w:p>
        </w:tc>
        <w:tc>
          <w:tcPr>
            <w:shd w:val="clear" w:color="auto" w:fill="F9F9F9"/>
            <w:vAlign w:val="center"/>
          </w:tcPr>
          <w:p>
            <w:pPr>
              <w:jc w:val="left"/>
              <w:rPr>
                <w:color w:val="auto"/>
                <w:highlight w:val="none"/>
              </w:rPr>
            </w:pPr>
            <w:r>
              <w:rPr>
                <w:color w:val="auto"/>
                <w:highlight w:val="none"/>
              </w:rPr>
              <w:drawing>
                <wp:inline distT="0" distB="0" distL="114300" distR="114300">
                  <wp:extent cx="333375" cy="114300"/>
                  <wp:effectExtent l="0" t="0" r="9525"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01"/>
                          <a:stretch>
                            <a:fillRect/>
                          </a:stretch>
                        </pic:blipFill>
                        <pic:spPr>
                          <a:xfrm>
                            <a:off x="0" y="0"/>
                            <a:ext cx="333375" cy="114300"/>
                          </a:xfrm>
                          <a:prstGeom prst="rect">
                            <a:avLst/>
                          </a:prstGeom>
                          <a:noFill/>
                          <a:ln>
                            <a:noFill/>
                          </a:ln>
                        </pic:spPr>
                      </pic:pic>
                    </a:graphicData>
                  </a:graphic>
                </wp:inline>
              </w:drawing>
            </w:r>
            <w:r>
              <w:rPr>
                <w:color w:val="auto"/>
                <w:highlight w:val="none"/>
              </w:rPr>
              <w:drawing>
                <wp:inline distT="0" distB="0" distL="114300" distR="114300">
                  <wp:extent cx="1019175" cy="114300"/>
                  <wp:effectExtent l="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02"/>
                          <a:stretch>
                            <a:fillRect/>
                          </a:stretch>
                        </pic:blipFill>
                        <pic:spPr>
                          <a:xfrm>
                            <a:off x="0" y="0"/>
                            <a:ext cx="1019175" cy="114300"/>
                          </a:xfrm>
                          <a:prstGeom prst="rect">
                            <a:avLst/>
                          </a:prstGeom>
                          <a:noFill/>
                          <a:ln>
                            <a:noFill/>
                          </a:ln>
                        </pic:spPr>
                      </pic:pic>
                    </a:graphicData>
                  </a:graphic>
                </wp:inline>
              </w:drawing>
            </w:r>
            <w:r>
              <w:rPr>
                <w:color w:val="auto"/>
                <w:highlight w:val="none"/>
              </w:rPr>
              <w:t>25.26%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color w:val="auto"/>
                <w:highlight w:val="none"/>
              </w:rPr>
            </w:pPr>
            <w:r>
              <w:rPr>
                <w:color w:val="auto"/>
                <w:highlight w:val="none"/>
              </w:rPr>
              <w:t>实现后续环节透明化</w:t>
            </w:r>
          </w:p>
        </w:tc>
        <w:tc>
          <w:tcPr>
            <w:shd w:val="clear" w:color="auto" w:fill="FFFFFF"/>
            <w:vAlign w:val="center"/>
          </w:tcPr>
          <w:p>
            <w:pPr>
              <w:jc w:val="center"/>
              <w:rPr>
                <w:color w:val="auto"/>
                <w:highlight w:val="none"/>
              </w:rPr>
            </w:pPr>
            <w:r>
              <w:rPr>
                <w:color w:val="auto"/>
                <w:highlight w:val="none"/>
              </w:rPr>
              <w:t>98</w:t>
            </w:r>
          </w:p>
        </w:tc>
        <w:tc>
          <w:tcPr>
            <w:shd w:val="clear" w:color="auto" w:fill="FFFFFF"/>
            <w:vAlign w:val="center"/>
          </w:tcPr>
          <w:p>
            <w:pPr>
              <w:jc w:val="left"/>
              <w:rPr>
                <w:color w:val="auto"/>
                <w:highlight w:val="none"/>
              </w:rPr>
            </w:pPr>
            <w:r>
              <w:rPr>
                <w:color w:val="auto"/>
                <w:highlight w:val="none"/>
              </w:rPr>
              <w:drawing>
                <wp:inline distT="0" distB="0" distL="114300" distR="114300">
                  <wp:extent cx="447675" cy="114300"/>
                  <wp:effectExtent l="0" t="0" r="952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03"/>
                          <a:stretch>
                            <a:fillRect/>
                          </a:stretch>
                        </pic:blipFill>
                        <pic:spPr>
                          <a:xfrm>
                            <a:off x="0" y="0"/>
                            <a:ext cx="447675" cy="114300"/>
                          </a:xfrm>
                          <a:prstGeom prst="rect">
                            <a:avLst/>
                          </a:prstGeom>
                          <a:noFill/>
                          <a:ln>
                            <a:noFill/>
                          </a:ln>
                        </pic:spPr>
                      </pic:pic>
                    </a:graphicData>
                  </a:graphic>
                </wp:inline>
              </w:drawing>
            </w:r>
            <w:r>
              <w:rPr>
                <w:color w:val="auto"/>
                <w:highlight w:val="none"/>
              </w:rPr>
              <w:drawing>
                <wp:inline distT="0" distB="0" distL="114300" distR="114300">
                  <wp:extent cx="904875" cy="114300"/>
                  <wp:effectExtent l="0" t="0" r="952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04"/>
                          <a:stretch>
                            <a:fillRect/>
                          </a:stretch>
                        </pic:blipFill>
                        <pic:spPr>
                          <a:xfrm>
                            <a:off x="0" y="0"/>
                            <a:ext cx="904875" cy="114300"/>
                          </a:xfrm>
                          <a:prstGeom prst="rect">
                            <a:avLst/>
                          </a:prstGeom>
                          <a:noFill/>
                          <a:ln>
                            <a:noFill/>
                          </a:ln>
                        </pic:spPr>
                      </pic:pic>
                    </a:graphicData>
                  </a:graphic>
                </wp:inline>
              </w:drawing>
            </w:r>
            <w:r>
              <w:rPr>
                <w:color w:val="auto"/>
                <w:highlight w:val="none"/>
              </w:rPr>
              <w:t>33.45%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color w:val="auto"/>
                <w:highlight w:val="none"/>
              </w:rPr>
            </w:pPr>
            <w:r>
              <w:rPr>
                <w:color w:val="auto"/>
                <w:highlight w:val="none"/>
              </w:rPr>
              <w:t>其他</w:t>
            </w:r>
          </w:p>
        </w:tc>
        <w:tc>
          <w:tcPr>
            <w:shd w:val="clear" w:color="auto" w:fill="F9F9F9"/>
            <w:vAlign w:val="center"/>
          </w:tcPr>
          <w:p>
            <w:pPr>
              <w:jc w:val="center"/>
              <w:rPr>
                <w:color w:val="auto"/>
                <w:highlight w:val="none"/>
              </w:rPr>
            </w:pPr>
            <w:r>
              <w:rPr>
                <w:color w:val="auto"/>
                <w:highlight w:val="none"/>
              </w:rPr>
              <w:t>16</w:t>
            </w:r>
          </w:p>
        </w:tc>
        <w:tc>
          <w:tcPr>
            <w:shd w:val="clear" w:color="auto" w:fill="F9F9F9"/>
            <w:vAlign w:val="center"/>
          </w:tcPr>
          <w:p>
            <w:pPr>
              <w:jc w:val="left"/>
              <w:rPr>
                <w:color w:val="auto"/>
                <w:highlight w:val="none"/>
              </w:rPr>
            </w:pPr>
            <w:r>
              <w:rPr>
                <w:color w:val="auto"/>
                <w:highlight w:val="none"/>
              </w:rPr>
              <w:drawing>
                <wp:inline distT="0" distB="0" distL="114300" distR="114300">
                  <wp:extent cx="66675" cy="114300"/>
                  <wp:effectExtent l="0" t="0" r="9525"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3"/>
                          <a:stretch>
                            <a:fillRect/>
                          </a:stretch>
                        </pic:blipFill>
                        <pic:spPr>
                          <a:xfrm>
                            <a:off x="0" y="0"/>
                            <a:ext cx="66675" cy="114300"/>
                          </a:xfrm>
                          <a:prstGeom prst="rect">
                            <a:avLst/>
                          </a:prstGeom>
                          <a:noFill/>
                          <a:ln>
                            <a:noFill/>
                          </a:ln>
                        </pic:spPr>
                      </pic:pic>
                    </a:graphicData>
                  </a:graphic>
                </wp:inline>
              </w:drawing>
            </w:r>
            <w:r>
              <w:rPr>
                <w:color w:val="auto"/>
                <w:highlight w:val="none"/>
              </w:rPr>
              <w:drawing>
                <wp:inline distT="0" distB="0" distL="114300" distR="114300">
                  <wp:extent cx="1285875" cy="114300"/>
                  <wp:effectExtent l="0" t="0" r="952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4"/>
                          <a:stretch>
                            <a:fillRect/>
                          </a:stretch>
                        </pic:blipFill>
                        <pic:spPr>
                          <a:xfrm>
                            <a:off x="0" y="0"/>
                            <a:ext cx="1285875" cy="114300"/>
                          </a:xfrm>
                          <a:prstGeom prst="rect">
                            <a:avLst/>
                          </a:prstGeom>
                          <a:noFill/>
                          <a:ln>
                            <a:noFill/>
                          </a:ln>
                        </pic:spPr>
                      </pic:pic>
                    </a:graphicData>
                  </a:graphic>
                </wp:inline>
              </w:drawing>
            </w:r>
            <w:r>
              <w:rPr>
                <w:color w:val="auto"/>
                <w:highlight w:val="none"/>
              </w:rPr>
              <w:t>5.46%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color w:val="auto"/>
                <w:highlight w:val="none"/>
              </w:rPr>
            </w:pPr>
            <w:r>
              <w:rPr>
                <w:color w:val="auto"/>
                <w:highlight w:val="none"/>
              </w:rPr>
              <w:t>本题有效填写人次</w:t>
            </w:r>
          </w:p>
        </w:tc>
        <w:tc>
          <w:tcPr>
            <w:shd w:val="clear" w:color="auto" w:fill="E0E0E0"/>
            <w:vAlign w:val="center"/>
          </w:tcPr>
          <w:p>
            <w:pPr>
              <w:jc w:val="center"/>
              <w:rPr>
                <w:color w:val="auto"/>
                <w:highlight w:val="none"/>
              </w:rPr>
            </w:pPr>
            <w:r>
              <w:rPr>
                <w:color w:val="auto"/>
                <w:highlight w:val="none"/>
              </w:rPr>
              <w:t>293</w:t>
            </w:r>
          </w:p>
        </w:tc>
        <w:tc>
          <w:tcPr>
            <w:shd w:val="clear" w:color="auto" w:fill="E0E0E0"/>
            <w:vAlign w:val="center"/>
          </w:tcPr>
          <w:p>
            <w:pPr>
              <w:jc w:val="left"/>
              <w:rPr>
                <w:color w:val="auto"/>
                <w:highlight w:val="none"/>
              </w:rPr>
            </w:pPr>
          </w:p>
        </w:tc>
      </w:tr>
    </w:tbl>
    <w:p>
      <w:pPr>
        <w:rPr>
          <w:color w:val="auto"/>
          <w:highlight w:val="none"/>
        </w:rPr>
      </w:pPr>
    </w:p>
    <w:p>
      <w:pPr>
        <w:rPr>
          <w:color w:val="auto"/>
          <w:highlight w:val="none"/>
        </w:rPr>
      </w:pPr>
    </w:p>
    <w:p>
      <w:pPr>
        <w:rPr>
          <w:b w:val="0"/>
          <w:color w:val="auto"/>
          <w:sz w:val="24"/>
          <w:highlight w:val="none"/>
        </w:rPr>
      </w:pPr>
      <w:r>
        <w:rPr>
          <w:b w:val="0"/>
          <w:color w:val="auto"/>
          <w:sz w:val="24"/>
          <w:highlight w:val="none"/>
        </w:rPr>
        <w:t>第19题   对于</w:t>
      </w:r>
      <w:r>
        <w:rPr>
          <w:rFonts w:hint="eastAsia"/>
          <w:b w:val="0"/>
          <w:color w:val="auto"/>
          <w:sz w:val="24"/>
          <w:highlight w:val="none"/>
          <w:lang w:eastAsia="zh-CN"/>
        </w:rPr>
        <w:t>泉州市洛江区</w:t>
      </w:r>
      <w:r>
        <w:rPr>
          <w:b w:val="0"/>
          <w:color w:val="auto"/>
          <w:sz w:val="24"/>
          <w:highlight w:val="none"/>
        </w:rPr>
        <w:t>垃圾工作，你还有什么建议？请详述：      [填空题]</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color w:val="auto"/>
          <w:sz w:val="24"/>
          <w:szCs w:val="24"/>
          <w:highlight w:val="none"/>
          <w:lang w:val="en-US" w:eastAsia="zh-CN"/>
        </w:rPr>
      </w:pPr>
      <w:r>
        <w:rPr>
          <w:rFonts w:hint="eastAsia" w:asciiTheme="minorEastAsia" w:hAnsiTheme="minorEastAsia" w:eastAsiaTheme="minorEastAsia" w:cstheme="minorEastAsia"/>
          <w:b w:val="0"/>
          <w:color w:val="auto"/>
          <w:sz w:val="24"/>
          <w:szCs w:val="24"/>
          <w:highlight w:val="none"/>
          <w:lang w:val="en-US" w:eastAsia="zh-CN"/>
        </w:rPr>
        <w:t>1.多鼓励环保垃圾再生利用公司的发展，充分利用街道和社区深基层部门深入群众推广。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宣传力度加强，提高民众环保意识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3.安排专职人员现场进行指导，保洁设施配备到位。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val="en-US" w:eastAsia="zh-CN"/>
        </w:rPr>
        <w:t>可参照厦门垃圾分类，分时段投放垃圾，专管人员监督垃圾分类。</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5.对分类投放表现好的居民，给予适当的奖励，带动大家的积极性。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val="en-US" w:eastAsia="zh-CN"/>
        </w:rPr>
        <w:t>镇里环卫所建立在村里居民楼附近，导致村民生活环境很差！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7.存放垃圾点要多消杀毒。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lang w:val="en-US" w:eastAsia="zh-CN"/>
        </w:rPr>
        <w:t>可以多放置垃圾桶，垃圾桶太少了。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9.保护环境，人人有责，应当教老人家也学会爱护环境。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lang w:val="en-US" w:eastAsia="zh-CN"/>
        </w:rPr>
        <w:t>及时纠正，保质保量认真做好每项工作。</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11.处理及时一点，宣传力度大点。</w:t>
      </w:r>
    </w:p>
    <w:p>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p>
    <w:p>
      <w:pPr>
        <w:pStyle w:val="2"/>
        <w:jc w:val="center"/>
        <w:outlineLvl w:val="0"/>
        <w:rPr>
          <w:rFonts w:hint="eastAsia" w:ascii="仿宋" w:hAnsi="仿宋" w:eastAsia="仿宋" w:cs="仿宋"/>
          <w:color w:val="auto"/>
          <w:highlight w:val="none"/>
          <w:lang w:val="en-US" w:eastAsia="zh-CN"/>
        </w:rPr>
      </w:pPr>
      <w:bookmarkStart w:id="64" w:name="_Toc14551"/>
      <w:r>
        <w:rPr>
          <w:rFonts w:hint="eastAsia" w:ascii="仿宋" w:hAnsi="仿宋" w:eastAsia="仿宋" w:cs="仿宋"/>
          <w:color w:val="auto"/>
          <w:highlight w:val="none"/>
          <w:lang w:eastAsia="zh-CN"/>
        </w:rPr>
        <w:t>附件</w:t>
      </w:r>
      <w:r>
        <w:rPr>
          <w:rFonts w:hint="eastAsia" w:ascii="仿宋" w:hAnsi="仿宋" w:eastAsia="仿宋" w:cs="仿宋"/>
          <w:color w:val="auto"/>
          <w:highlight w:val="none"/>
          <w:lang w:val="en-US" w:eastAsia="zh-CN"/>
        </w:rPr>
        <w:t>2   现场调研照片</w:t>
      </w:r>
      <w:bookmarkEnd w:id="64"/>
    </w:p>
    <w:p>
      <w:pPr>
        <w:spacing w:line="600" w:lineRule="exact"/>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w:t>
      </w:r>
    </w:p>
    <w:p>
      <w:pPr>
        <w:jc w:val="cente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4970780" cy="3813810"/>
            <wp:effectExtent l="0" t="0" r="7620" b="8890"/>
            <wp:docPr id="149" name="图片 149" descr="1637125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1637125140(1)"/>
                    <pic:cNvPicPr>
                      <a:picLocks noChangeAspect="1"/>
                    </pic:cNvPicPr>
                  </pic:nvPicPr>
                  <pic:blipFill>
                    <a:blip r:embed="rId105"/>
                    <a:stretch>
                      <a:fillRect/>
                    </a:stretch>
                  </pic:blipFill>
                  <pic:spPr>
                    <a:xfrm>
                      <a:off x="0" y="0"/>
                      <a:ext cx="4970780" cy="3813810"/>
                    </a:xfrm>
                    <a:prstGeom prst="rect">
                      <a:avLst/>
                    </a:prstGeom>
                  </pic:spPr>
                </pic:pic>
              </a:graphicData>
            </a:graphic>
          </wp:inline>
        </w:drawing>
      </w:r>
    </w:p>
    <w:p>
      <w:pPr>
        <w:pStyle w:val="2"/>
        <w:jc w:val="center"/>
        <w:rPr>
          <w:rFonts w:hint="eastAsia"/>
          <w:color w:val="auto"/>
          <w:highlight w:val="none"/>
          <w:lang w:eastAsia="zh-CN"/>
        </w:rPr>
      </w:pPr>
      <w:r>
        <w:rPr>
          <w:rFonts w:hint="eastAsia"/>
          <w:color w:val="auto"/>
          <w:highlight w:val="none"/>
          <w:lang w:eastAsia="zh-CN"/>
        </w:rPr>
        <w:drawing>
          <wp:inline distT="0" distB="0" distL="114300" distR="114300">
            <wp:extent cx="4972685" cy="3637915"/>
            <wp:effectExtent l="0" t="0" r="5715" b="6985"/>
            <wp:docPr id="150" name="图片 150" descr="1637125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1637125216(1)"/>
                    <pic:cNvPicPr>
                      <a:picLocks noChangeAspect="1"/>
                    </pic:cNvPicPr>
                  </pic:nvPicPr>
                  <pic:blipFill>
                    <a:blip r:embed="rId106"/>
                    <a:stretch>
                      <a:fillRect/>
                    </a:stretch>
                  </pic:blipFill>
                  <pic:spPr>
                    <a:xfrm>
                      <a:off x="0" y="0"/>
                      <a:ext cx="4972685" cy="3637915"/>
                    </a:xfrm>
                    <a:prstGeom prst="rect">
                      <a:avLst/>
                    </a:prstGeom>
                  </pic:spPr>
                </pic:pic>
              </a:graphicData>
            </a:graphic>
          </wp:inline>
        </w:drawing>
      </w:r>
    </w:p>
    <w:sectPr>
      <w:footerReference r:id="rId4" w:type="default"/>
      <w:pgSz w:w="11906" w:h="16838"/>
      <w:pgMar w:top="1417" w:right="1474" w:bottom="1417" w:left="158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0279909"/>
    </w:sdtPr>
    <w:sdtContent>
      <w:p>
        <w:pPr>
          <w:pStyle w:val="8"/>
          <w:jc w:val="center"/>
        </w:pPr>
        <w:r>
          <w:fldChar w:fldCharType="begin"/>
        </w:r>
        <w:r>
          <w:instrText xml:space="preserve">PAGE   \* MERGEFORMAT</w:instrText>
        </w:r>
        <w:r>
          <w:fldChar w:fldCharType="separate"/>
        </w:r>
        <w:r>
          <w:rPr>
            <w:lang w:val="zh-CN"/>
          </w:rPr>
          <w:t>24</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default" w:eastAsiaTheme="minorEastAsia"/>
        <w:lang w:val="en-US" w:eastAsia="zh-CN"/>
      </w:rPr>
    </w:pPr>
    <w:r>
      <w:rPr>
        <w:rFonts w:hint="eastAsia"/>
        <w:b/>
        <w:bCs/>
        <w:sz w:val="18"/>
        <w:szCs w:val="18"/>
      </w:rPr>
      <w:drawing>
        <wp:anchor distT="0" distB="0" distL="114300" distR="114300" simplePos="0" relativeHeight="251659264" behindDoc="0" locked="0" layoutInCell="1" allowOverlap="1">
          <wp:simplePos x="0" y="0"/>
          <wp:positionH relativeFrom="column">
            <wp:posOffset>5314315</wp:posOffset>
          </wp:positionH>
          <wp:positionV relativeFrom="paragraph">
            <wp:posOffset>-134620</wp:posOffset>
          </wp:positionV>
          <wp:extent cx="314325" cy="306705"/>
          <wp:effectExtent l="0" t="0" r="9525" b="17145"/>
          <wp:wrapSquare wrapText="bothSides"/>
          <wp:docPr id="191" name="图片 191" descr="C:\Users\ASUS\AppData\Local\Temp\WeChat Files\f186046fc3a4df704901618a4b76e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C:\Users\ASUS\AppData\Local\Temp\WeChat Files\f186046fc3a4df704901618a4b76ec6.png"/>
                  <pic:cNvPicPr>
                    <a:picLocks noChangeAspect="1" noChangeArrowheads="1"/>
                  </pic:cNvPicPr>
                </pic:nvPicPr>
                <pic:blipFill>
                  <a:blip r:embed="rId1"/>
                  <a:srcRect/>
                  <a:stretch>
                    <a:fillRect/>
                  </a:stretch>
                </pic:blipFill>
                <pic:spPr>
                  <a:xfrm>
                    <a:off x="0" y="0"/>
                    <a:ext cx="314325" cy="306705"/>
                  </a:xfrm>
                  <a:prstGeom prst="rect">
                    <a:avLst/>
                  </a:prstGeom>
                  <a:noFill/>
                  <a:ln w="9525" cmpd="sng">
                    <a:noFill/>
                    <a:miter lim="800000"/>
                    <a:headEnd/>
                    <a:tailEnd/>
                  </a:ln>
                  <a:effectLst/>
                </pic:spPr>
              </pic:pic>
            </a:graphicData>
          </a:graphic>
        </wp:anchor>
      </w:drawing>
    </w:r>
    <w:r>
      <w:rPr>
        <w:rFonts w:hint="eastAsia"/>
        <w:b/>
        <w:bCs/>
        <w:sz w:val="18"/>
        <w:szCs w:val="18"/>
        <w:lang w:val="en-US" w:eastAsia="zh-CN"/>
      </w:rPr>
      <w:t xml:space="preserve">                                                 </w:t>
    </w:r>
    <w:r>
      <w:rPr>
        <w:rFonts w:hint="eastAsia"/>
        <w:b/>
        <w:bCs/>
        <w:sz w:val="18"/>
        <w:szCs w:val="18"/>
      </w:rPr>
      <w:t>泉州市招标咨询中心地方财政绩效评价所</w:t>
    </w:r>
    <w:r>
      <w:rPr>
        <w:rFonts w:hint="eastAsia"/>
        <w:b/>
        <w:bCs/>
        <w:sz w:val="18"/>
        <w:szCs w:val="18"/>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585"/>
    <w:rsid w:val="00004FF6"/>
    <w:rsid w:val="00012363"/>
    <w:rsid w:val="00012858"/>
    <w:rsid w:val="000130A9"/>
    <w:rsid w:val="00013952"/>
    <w:rsid w:val="00021333"/>
    <w:rsid w:val="00026D21"/>
    <w:rsid w:val="0003204E"/>
    <w:rsid w:val="00034020"/>
    <w:rsid w:val="0003607E"/>
    <w:rsid w:val="000402CE"/>
    <w:rsid w:val="0004142B"/>
    <w:rsid w:val="0004579B"/>
    <w:rsid w:val="0005460A"/>
    <w:rsid w:val="00056EA7"/>
    <w:rsid w:val="0005749C"/>
    <w:rsid w:val="00062BFE"/>
    <w:rsid w:val="00062F3A"/>
    <w:rsid w:val="00066841"/>
    <w:rsid w:val="00067145"/>
    <w:rsid w:val="00067B7F"/>
    <w:rsid w:val="0008004A"/>
    <w:rsid w:val="00081F36"/>
    <w:rsid w:val="00082C07"/>
    <w:rsid w:val="00082C21"/>
    <w:rsid w:val="00083FC1"/>
    <w:rsid w:val="000868AD"/>
    <w:rsid w:val="0008691B"/>
    <w:rsid w:val="00086BCB"/>
    <w:rsid w:val="00086C7A"/>
    <w:rsid w:val="0009017F"/>
    <w:rsid w:val="00090E7D"/>
    <w:rsid w:val="0009495A"/>
    <w:rsid w:val="00097AAE"/>
    <w:rsid w:val="000A0C0B"/>
    <w:rsid w:val="000A3DA6"/>
    <w:rsid w:val="000A4A13"/>
    <w:rsid w:val="000A6610"/>
    <w:rsid w:val="000A69C0"/>
    <w:rsid w:val="000B053A"/>
    <w:rsid w:val="000B2F4F"/>
    <w:rsid w:val="000B52AD"/>
    <w:rsid w:val="000B786B"/>
    <w:rsid w:val="000C5DC3"/>
    <w:rsid w:val="000D0F58"/>
    <w:rsid w:val="000D1BA2"/>
    <w:rsid w:val="000D3F9C"/>
    <w:rsid w:val="000D42A3"/>
    <w:rsid w:val="000D75D8"/>
    <w:rsid w:val="000E1317"/>
    <w:rsid w:val="000E2E40"/>
    <w:rsid w:val="000E37D0"/>
    <w:rsid w:val="000F1F5D"/>
    <w:rsid w:val="000F474C"/>
    <w:rsid w:val="000F549F"/>
    <w:rsid w:val="0010279E"/>
    <w:rsid w:val="00115F5B"/>
    <w:rsid w:val="00117CC1"/>
    <w:rsid w:val="00120364"/>
    <w:rsid w:val="001223CD"/>
    <w:rsid w:val="00123244"/>
    <w:rsid w:val="001248A9"/>
    <w:rsid w:val="00126420"/>
    <w:rsid w:val="001340D8"/>
    <w:rsid w:val="00135F86"/>
    <w:rsid w:val="00147155"/>
    <w:rsid w:val="001501C4"/>
    <w:rsid w:val="00151043"/>
    <w:rsid w:val="00152774"/>
    <w:rsid w:val="00164B8E"/>
    <w:rsid w:val="00166202"/>
    <w:rsid w:val="00166D1E"/>
    <w:rsid w:val="00171461"/>
    <w:rsid w:val="0017314B"/>
    <w:rsid w:val="001750AD"/>
    <w:rsid w:val="001808A7"/>
    <w:rsid w:val="00182078"/>
    <w:rsid w:val="00186759"/>
    <w:rsid w:val="001875C3"/>
    <w:rsid w:val="00194C47"/>
    <w:rsid w:val="001A3D7F"/>
    <w:rsid w:val="001A5115"/>
    <w:rsid w:val="001A61E4"/>
    <w:rsid w:val="001A6822"/>
    <w:rsid w:val="001C1979"/>
    <w:rsid w:val="001C2666"/>
    <w:rsid w:val="001C4EC1"/>
    <w:rsid w:val="001C5C44"/>
    <w:rsid w:val="001D2AE4"/>
    <w:rsid w:val="001D405B"/>
    <w:rsid w:val="001D46C3"/>
    <w:rsid w:val="001D793F"/>
    <w:rsid w:val="001D7D75"/>
    <w:rsid w:val="001E20AA"/>
    <w:rsid w:val="001E629A"/>
    <w:rsid w:val="001F06C3"/>
    <w:rsid w:val="001F2020"/>
    <w:rsid w:val="001F2187"/>
    <w:rsid w:val="001F390C"/>
    <w:rsid w:val="001F3920"/>
    <w:rsid w:val="001F40BD"/>
    <w:rsid w:val="001F60D8"/>
    <w:rsid w:val="00200DBC"/>
    <w:rsid w:val="00203674"/>
    <w:rsid w:val="00207767"/>
    <w:rsid w:val="00212B77"/>
    <w:rsid w:val="002140AD"/>
    <w:rsid w:val="002150D9"/>
    <w:rsid w:val="00220E9E"/>
    <w:rsid w:val="002210F8"/>
    <w:rsid w:val="0022511B"/>
    <w:rsid w:val="0022635D"/>
    <w:rsid w:val="00230C15"/>
    <w:rsid w:val="00230CF0"/>
    <w:rsid w:val="00231283"/>
    <w:rsid w:val="00234051"/>
    <w:rsid w:val="00234DED"/>
    <w:rsid w:val="00237E2A"/>
    <w:rsid w:val="00240092"/>
    <w:rsid w:val="002406CE"/>
    <w:rsid w:val="0024540D"/>
    <w:rsid w:val="0024765F"/>
    <w:rsid w:val="00247879"/>
    <w:rsid w:val="002500D8"/>
    <w:rsid w:val="00250F84"/>
    <w:rsid w:val="00251E3C"/>
    <w:rsid w:val="00254728"/>
    <w:rsid w:val="00257AFE"/>
    <w:rsid w:val="002631E3"/>
    <w:rsid w:val="00267006"/>
    <w:rsid w:val="00270DB5"/>
    <w:rsid w:val="00271658"/>
    <w:rsid w:val="0027521C"/>
    <w:rsid w:val="00277661"/>
    <w:rsid w:val="00281765"/>
    <w:rsid w:val="00285933"/>
    <w:rsid w:val="00290EB9"/>
    <w:rsid w:val="00293750"/>
    <w:rsid w:val="00293832"/>
    <w:rsid w:val="00293899"/>
    <w:rsid w:val="002A0839"/>
    <w:rsid w:val="002A400A"/>
    <w:rsid w:val="002A6934"/>
    <w:rsid w:val="002B6679"/>
    <w:rsid w:val="002B6B0C"/>
    <w:rsid w:val="002C0D40"/>
    <w:rsid w:val="002C14F3"/>
    <w:rsid w:val="002C1588"/>
    <w:rsid w:val="002C44B7"/>
    <w:rsid w:val="002C5626"/>
    <w:rsid w:val="002C7088"/>
    <w:rsid w:val="002D486C"/>
    <w:rsid w:val="002D5E8E"/>
    <w:rsid w:val="002D701F"/>
    <w:rsid w:val="002E17A0"/>
    <w:rsid w:val="002E1DA5"/>
    <w:rsid w:val="002E4913"/>
    <w:rsid w:val="002F213E"/>
    <w:rsid w:val="002F374C"/>
    <w:rsid w:val="002F6798"/>
    <w:rsid w:val="002F6DD7"/>
    <w:rsid w:val="00301C65"/>
    <w:rsid w:val="003055E8"/>
    <w:rsid w:val="003130C2"/>
    <w:rsid w:val="00315ADA"/>
    <w:rsid w:val="00316B7A"/>
    <w:rsid w:val="00320CF6"/>
    <w:rsid w:val="00323B40"/>
    <w:rsid w:val="00323E86"/>
    <w:rsid w:val="00327667"/>
    <w:rsid w:val="00327CF1"/>
    <w:rsid w:val="00330697"/>
    <w:rsid w:val="0033347B"/>
    <w:rsid w:val="00333E2C"/>
    <w:rsid w:val="00336662"/>
    <w:rsid w:val="00343BAE"/>
    <w:rsid w:val="00344EE9"/>
    <w:rsid w:val="003451D5"/>
    <w:rsid w:val="00345C55"/>
    <w:rsid w:val="003475F1"/>
    <w:rsid w:val="0034774E"/>
    <w:rsid w:val="003507D9"/>
    <w:rsid w:val="00362032"/>
    <w:rsid w:val="003630DC"/>
    <w:rsid w:val="003661A8"/>
    <w:rsid w:val="00366883"/>
    <w:rsid w:val="0037051D"/>
    <w:rsid w:val="00376126"/>
    <w:rsid w:val="00377BB9"/>
    <w:rsid w:val="00383070"/>
    <w:rsid w:val="00385357"/>
    <w:rsid w:val="003861AE"/>
    <w:rsid w:val="00386AC2"/>
    <w:rsid w:val="00386F88"/>
    <w:rsid w:val="003A09FA"/>
    <w:rsid w:val="003A2043"/>
    <w:rsid w:val="003A2429"/>
    <w:rsid w:val="003A69B7"/>
    <w:rsid w:val="003A7A01"/>
    <w:rsid w:val="003B01D0"/>
    <w:rsid w:val="003B064E"/>
    <w:rsid w:val="003B1FE9"/>
    <w:rsid w:val="003B75B5"/>
    <w:rsid w:val="003C0004"/>
    <w:rsid w:val="003C099E"/>
    <w:rsid w:val="003C162F"/>
    <w:rsid w:val="003C4EDB"/>
    <w:rsid w:val="003C760C"/>
    <w:rsid w:val="003E3C0E"/>
    <w:rsid w:val="003E4C8B"/>
    <w:rsid w:val="003E6FB2"/>
    <w:rsid w:val="003F0633"/>
    <w:rsid w:val="003F1EC1"/>
    <w:rsid w:val="003F6D08"/>
    <w:rsid w:val="004047A0"/>
    <w:rsid w:val="00414A57"/>
    <w:rsid w:val="004150F9"/>
    <w:rsid w:val="00416FBF"/>
    <w:rsid w:val="004224C9"/>
    <w:rsid w:val="0042479F"/>
    <w:rsid w:val="00430545"/>
    <w:rsid w:val="00430CCD"/>
    <w:rsid w:val="00431DB9"/>
    <w:rsid w:val="00432C1B"/>
    <w:rsid w:val="004356D1"/>
    <w:rsid w:val="00436F5F"/>
    <w:rsid w:val="00437534"/>
    <w:rsid w:val="004436DA"/>
    <w:rsid w:val="004472D4"/>
    <w:rsid w:val="0044759E"/>
    <w:rsid w:val="00455F48"/>
    <w:rsid w:val="00460591"/>
    <w:rsid w:val="00466C1F"/>
    <w:rsid w:val="00470A27"/>
    <w:rsid w:val="00471399"/>
    <w:rsid w:val="00471BAC"/>
    <w:rsid w:val="00473B56"/>
    <w:rsid w:val="00477456"/>
    <w:rsid w:val="004804F7"/>
    <w:rsid w:val="004851E6"/>
    <w:rsid w:val="00485E91"/>
    <w:rsid w:val="00486C05"/>
    <w:rsid w:val="004919B7"/>
    <w:rsid w:val="00492C69"/>
    <w:rsid w:val="004B0DE9"/>
    <w:rsid w:val="004B3DC9"/>
    <w:rsid w:val="004B63D6"/>
    <w:rsid w:val="004C07C4"/>
    <w:rsid w:val="004C443D"/>
    <w:rsid w:val="004C6161"/>
    <w:rsid w:val="004C6381"/>
    <w:rsid w:val="004D1737"/>
    <w:rsid w:val="004D3A7D"/>
    <w:rsid w:val="004D6E64"/>
    <w:rsid w:val="004D6FED"/>
    <w:rsid w:val="004E295B"/>
    <w:rsid w:val="004E298D"/>
    <w:rsid w:val="004F59CE"/>
    <w:rsid w:val="004F6ABF"/>
    <w:rsid w:val="00502708"/>
    <w:rsid w:val="005052E4"/>
    <w:rsid w:val="005055BB"/>
    <w:rsid w:val="005332C9"/>
    <w:rsid w:val="00542927"/>
    <w:rsid w:val="005472E2"/>
    <w:rsid w:val="00550048"/>
    <w:rsid w:val="0055267B"/>
    <w:rsid w:val="00553FAC"/>
    <w:rsid w:val="00556593"/>
    <w:rsid w:val="00563980"/>
    <w:rsid w:val="00567A4E"/>
    <w:rsid w:val="00570D0D"/>
    <w:rsid w:val="00571A07"/>
    <w:rsid w:val="005760FE"/>
    <w:rsid w:val="00582CF6"/>
    <w:rsid w:val="00591251"/>
    <w:rsid w:val="00597017"/>
    <w:rsid w:val="005A0DEA"/>
    <w:rsid w:val="005A1218"/>
    <w:rsid w:val="005A5B3C"/>
    <w:rsid w:val="005A5CED"/>
    <w:rsid w:val="005A767A"/>
    <w:rsid w:val="005A7CCF"/>
    <w:rsid w:val="005A7FDB"/>
    <w:rsid w:val="005B05BB"/>
    <w:rsid w:val="005B0960"/>
    <w:rsid w:val="005B174F"/>
    <w:rsid w:val="005B1D53"/>
    <w:rsid w:val="005B4541"/>
    <w:rsid w:val="005B46A0"/>
    <w:rsid w:val="005C174F"/>
    <w:rsid w:val="005C798A"/>
    <w:rsid w:val="005D1A0E"/>
    <w:rsid w:val="005D1CF5"/>
    <w:rsid w:val="005D1EBE"/>
    <w:rsid w:val="005E1DC8"/>
    <w:rsid w:val="005E3893"/>
    <w:rsid w:val="005F04E7"/>
    <w:rsid w:val="005F29F0"/>
    <w:rsid w:val="005F43F6"/>
    <w:rsid w:val="006010CE"/>
    <w:rsid w:val="00611643"/>
    <w:rsid w:val="00611919"/>
    <w:rsid w:val="00613233"/>
    <w:rsid w:val="00614FF5"/>
    <w:rsid w:val="0062102D"/>
    <w:rsid w:val="006223D9"/>
    <w:rsid w:val="006342DA"/>
    <w:rsid w:val="00634D65"/>
    <w:rsid w:val="006358BD"/>
    <w:rsid w:val="006448CB"/>
    <w:rsid w:val="00652582"/>
    <w:rsid w:val="0066055D"/>
    <w:rsid w:val="0066167C"/>
    <w:rsid w:val="0066412F"/>
    <w:rsid w:val="00671173"/>
    <w:rsid w:val="006726E2"/>
    <w:rsid w:val="0067416D"/>
    <w:rsid w:val="00684F54"/>
    <w:rsid w:val="006851D2"/>
    <w:rsid w:val="00686B0E"/>
    <w:rsid w:val="006917EA"/>
    <w:rsid w:val="00692A02"/>
    <w:rsid w:val="00694B38"/>
    <w:rsid w:val="00697216"/>
    <w:rsid w:val="006A08D2"/>
    <w:rsid w:val="006A668D"/>
    <w:rsid w:val="006B4921"/>
    <w:rsid w:val="006B5438"/>
    <w:rsid w:val="006C7086"/>
    <w:rsid w:val="006D17E1"/>
    <w:rsid w:val="006D18A8"/>
    <w:rsid w:val="006D2E97"/>
    <w:rsid w:val="006D5299"/>
    <w:rsid w:val="006D661E"/>
    <w:rsid w:val="006E3079"/>
    <w:rsid w:val="006E5413"/>
    <w:rsid w:val="006E7D35"/>
    <w:rsid w:val="00702E18"/>
    <w:rsid w:val="00705E93"/>
    <w:rsid w:val="007064E3"/>
    <w:rsid w:val="0071085F"/>
    <w:rsid w:val="00712B0F"/>
    <w:rsid w:val="00714786"/>
    <w:rsid w:val="007160E5"/>
    <w:rsid w:val="007169CB"/>
    <w:rsid w:val="00721D3A"/>
    <w:rsid w:val="00726DD4"/>
    <w:rsid w:val="00730FBF"/>
    <w:rsid w:val="0073298D"/>
    <w:rsid w:val="0074096C"/>
    <w:rsid w:val="00742DDC"/>
    <w:rsid w:val="00744BE3"/>
    <w:rsid w:val="00745F9A"/>
    <w:rsid w:val="00750525"/>
    <w:rsid w:val="00753641"/>
    <w:rsid w:val="00755F82"/>
    <w:rsid w:val="00757DDE"/>
    <w:rsid w:val="00761CB5"/>
    <w:rsid w:val="00762333"/>
    <w:rsid w:val="00763C4F"/>
    <w:rsid w:val="0077336C"/>
    <w:rsid w:val="007734FF"/>
    <w:rsid w:val="007738CC"/>
    <w:rsid w:val="007764B9"/>
    <w:rsid w:val="00777142"/>
    <w:rsid w:val="00780F6B"/>
    <w:rsid w:val="007817D3"/>
    <w:rsid w:val="007831B6"/>
    <w:rsid w:val="00785C08"/>
    <w:rsid w:val="007933E4"/>
    <w:rsid w:val="007943DE"/>
    <w:rsid w:val="00797F09"/>
    <w:rsid w:val="007A08CB"/>
    <w:rsid w:val="007A2943"/>
    <w:rsid w:val="007A393D"/>
    <w:rsid w:val="007A75A2"/>
    <w:rsid w:val="007A794D"/>
    <w:rsid w:val="007B4A99"/>
    <w:rsid w:val="007C15CB"/>
    <w:rsid w:val="007D06B3"/>
    <w:rsid w:val="007D0B9B"/>
    <w:rsid w:val="007D44B5"/>
    <w:rsid w:val="007D5836"/>
    <w:rsid w:val="007E3678"/>
    <w:rsid w:val="007F1CDA"/>
    <w:rsid w:val="007F27CE"/>
    <w:rsid w:val="007F523B"/>
    <w:rsid w:val="007F5669"/>
    <w:rsid w:val="00803F6B"/>
    <w:rsid w:val="00806C3B"/>
    <w:rsid w:val="0080733A"/>
    <w:rsid w:val="00810095"/>
    <w:rsid w:val="00810A1D"/>
    <w:rsid w:val="00813146"/>
    <w:rsid w:val="00814400"/>
    <w:rsid w:val="00824340"/>
    <w:rsid w:val="0082555D"/>
    <w:rsid w:val="00825F2C"/>
    <w:rsid w:val="008312B2"/>
    <w:rsid w:val="00835ADF"/>
    <w:rsid w:val="00836E9F"/>
    <w:rsid w:val="00840366"/>
    <w:rsid w:val="0084049E"/>
    <w:rsid w:val="0084488F"/>
    <w:rsid w:val="00845BAD"/>
    <w:rsid w:val="0084711D"/>
    <w:rsid w:val="0085280B"/>
    <w:rsid w:val="00854C2D"/>
    <w:rsid w:val="00854C4C"/>
    <w:rsid w:val="00855ED0"/>
    <w:rsid w:val="00857AE0"/>
    <w:rsid w:val="00863E11"/>
    <w:rsid w:val="00870518"/>
    <w:rsid w:val="00873D2A"/>
    <w:rsid w:val="0088188A"/>
    <w:rsid w:val="0088693E"/>
    <w:rsid w:val="008902C1"/>
    <w:rsid w:val="00892998"/>
    <w:rsid w:val="00897E4F"/>
    <w:rsid w:val="008A1319"/>
    <w:rsid w:val="008B02B5"/>
    <w:rsid w:val="008B4017"/>
    <w:rsid w:val="008B4A19"/>
    <w:rsid w:val="008C3DB0"/>
    <w:rsid w:val="008D1C64"/>
    <w:rsid w:val="008D1EB6"/>
    <w:rsid w:val="008E6456"/>
    <w:rsid w:val="008E7E25"/>
    <w:rsid w:val="008F24DA"/>
    <w:rsid w:val="008F3C44"/>
    <w:rsid w:val="008F5784"/>
    <w:rsid w:val="00900B0E"/>
    <w:rsid w:val="009014B9"/>
    <w:rsid w:val="00901CBD"/>
    <w:rsid w:val="00907C71"/>
    <w:rsid w:val="0091068E"/>
    <w:rsid w:val="00912406"/>
    <w:rsid w:val="00914450"/>
    <w:rsid w:val="00916B8E"/>
    <w:rsid w:val="00917DA5"/>
    <w:rsid w:val="00921985"/>
    <w:rsid w:val="00924509"/>
    <w:rsid w:val="0093172E"/>
    <w:rsid w:val="00941050"/>
    <w:rsid w:val="00941B4D"/>
    <w:rsid w:val="00941DA6"/>
    <w:rsid w:val="00943547"/>
    <w:rsid w:val="00944585"/>
    <w:rsid w:val="00944AB9"/>
    <w:rsid w:val="00952FA6"/>
    <w:rsid w:val="009540A4"/>
    <w:rsid w:val="009558A2"/>
    <w:rsid w:val="00956012"/>
    <w:rsid w:val="00957B41"/>
    <w:rsid w:val="009637BD"/>
    <w:rsid w:val="00964B03"/>
    <w:rsid w:val="0096636C"/>
    <w:rsid w:val="00973EBD"/>
    <w:rsid w:val="00973F65"/>
    <w:rsid w:val="00974466"/>
    <w:rsid w:val="00974BB5"/>
    <w:rsid w:val="009759FC"/>
    <w:rsid w:val="00976B79"/>
    <w:rsid w:val="00977CE7"/>
    <w:rsid w:val="00983AFB"/>
    <w:rsid w:val="00994555"/>
    <w:rsid w:val="0099602F"/>
    <w:rsid w:val="009A1752"/>
    <w:rsid w:val="009A32D2"/>
    <w:rsid w:val="009A61D7"/>
    <w:rsid w:val="009B1F19"/>
    <w:rsid w:val="009C32F1"/>
    <w:rsid w:val="009C4FFD"/>
    <w:rsid w:val="009D21F1"/>
    <w:rsid w:val="009D35A6"/>
    <w:rsid w:val="009E1319"/>
    <w:rsid w:val="009E2066"/>
    <w:rsid w:val="009F0283"/>
    <w:rsid w:val="009F0903"/>
    <w:rsid w:val="009F105C"/>
    <w:rsid w:val="009F2565"/>
    <w:rsid w:val="009F59F1"/>
    <w:rsid w:val="009F5D37"/>
    <w:rsid w:val="00A05253"/>
    <w:rsid w:val="00A066BA"/>
    <w:rsid w:val="00A07890"/>
    <w:rsid w:val="00A0794B"/>
    <w:rsid w:val="00A10EA8"/>
    <w:rsid w:val="00A1789B"/>
    <w:rsid w:val="00A25415"/>
    <w:rsid w:val="00A26E9C"/>
    <w:rsid w:val="00A302A1"/>
    <w:rsid w:val="00A33B4D"/>
    <w:rsid w:val="00A34C15"/>
    <w:rsid w:val="00A3526B"/>
    <w:rsid w:val="00A37831"/>
    <w:rsid w:val="00A40A3A"/>
    <w:rsid w:val="00A4278C"/>
    <w:rsid w:val="00A442BA"/>
    <w:rsid w:val="00A46F6B"/>
    <w:rsid w:val="00A50FA8"/>
    <w:rsid w:val="00A7063D"/>
    <w:rsid w:val="00A7694D"/>
    <w:rsid w:val="00A76D85"/>
    <w:rsid w:val="00A76F8D"/>
    <w:rsid w:val="00A80196"/>
    <w:rsid w:val="00A850B4"/>
    <w:rsid w:val="00A86C7C"/>
    <w:rsid w:val="00A877B4"/>
    <w:rsid w:val="00A90EE7"/>
    <w:rsid w:val="00A94C5A"/>
    <w:rsid w:val="00AA084C"/>
    <w:rsid w:val="00AA091E"/>
    <w:rsid w:val="00AA160A"/>
    <w:rsid w:val="00AA33DF"/>
    <w:rsid w:val="00AA3529"/>
    <w:rsid w:val="00AA3699"/>
    <w:rsid w:val="00AA3772"/>
    <w:rsid w:val="00AB2C8F"/>
    <w:rsid w:val="00AB6E36"/>
    <w:rsid w:val="00AC0ECC"/>
    <w:rsid w:val="00AC7A8E"/>
    <w:rsid w:val="00AC7C9A"/>
    <w:rsid w:val="00AD0B93"/>
    <w:rsid w:val="00AD3DB9"/>
    <w:rsid w:val="00AD4AA4"/>
    <w:rsid w:val="00AE16E7"/>
    <w:rsid w:val="00AE2B05"/>
    <w:rsid w:val="00AE4F34"/>
    <w:rsid w:val="00AE6707"/>
    <w:rsid w:val="00AE7DB7"/>
    <w:rsid w:val="00AF1BAB"/>
    <w:rsid w:val="00AF2FAF"/>
    <w:rsid w:val="00AF73B5"/>
    <w:rsid w:val="00B00495"/>
    <w:rsid w:val="00B007F7"/>
    <w:rsid w:val="00B0420D"/>
    <w:rsid w:val="00B10C09"/>
    <w:rsid w:val="00B11EE4"/>
    <w:rsid w:val="00B141D3"/>
    <w:rsid w:val="00B2776B"/>
    <w:rsid w:val="00B35A8E"/>
    <w:rsid w:val="00B37D6E"/>
    <w:rsid w:val="00B42AC6"/>
    <w:rsid w:val="00B43F25"/>
    <w:rsid w:val="00B44121"/>
    <w:rsid w:val="00B4574C"/>
    <w:rsid w:val="00B50B97"/>
    <w:rsid w:val="00B5392E"/>
    <w:rsid w:val="00B54E16"/>
    <w:rsid w:val="00B60D63"/>
    <w:rsid w:val="00B62D7B"/>
    <w:rsid w:val="00B65BC2"/>
    <w:rsid w:val="00B67E86"/>
    <w:rsid w:val="00B71F9F"/>
    <w:rsid w:val="00B767A4"/>
    <w:rsid w:val="00B77A11"/>
    <w:rsid w:val="00B80977"/>
    <w:rsid w:val="00B864BF"/>
    <w:rsid w:val="00B90E30"/>
    <w:rsid w:val="00B94218"/>
    <w:rsid w:val="00BA6D94"/>
    <w:rsid w:val="00BA6F45"/>
    <w:rsid w:val="00BA6F72"/>
    <w:rsid w:val="00BB20AA"/>
    <w:rsid w:val="00BB353F"/>
    <w:rsid w:val="00BB379C"/>
    <w:rsid w:val="00BB627E"/>
    <w:rsid w:val="00BB69BA"/>
    <w:rsid w:val="00BC2F77"/>
    <w:rsid w:val="00BC575A"/>
    <w:rsid w:val="00BC58E9"/>
    <w:rsid w:val="00BD0D9A"/>
    <w:rsid w:val="00BE3317"/>
    <w:rsid w:val="00BE340D"/>
    <w:rsid w:val="00BE4F18"/>
    <w:rsid w:val="00BE6287"/>
    <w:rsid w:val="00BE7207"/>
    <w:rsid w:val="00BF4022"/>
    <w:rsid w:val="00C00036"/>
    <w:rsid w:val="00C03B46"/>
    <w:rsid w:val="00C12C05"/>
    <w:rsid w:val="00C144EE"/>
    <w:rsid w:val="00C1527E"/>
    <w:rsid w:val="00C1667B"/>
    <w:rsid w:val="00C169B8"/>
    <w:rsid w:val="00C17FC5"/>
    <w:rsid w:val="00C2234B"/>
    <w:rsid w:val="00C2351D"/>
    <w:rsid w:val="00C277D7"/>
    <w:rsid w:val="00C3530F"/>
    <w:rsid w:val="00C378D4"/>
    <w:rsid w:val="00C44706"/>
    <w:rsid w:val="00C4641B"/>
    <w:rsid w:val="00C50C3C"/>
    <w:rsid w:val="00C53991"/>
    <w:rsid w:val="00C62C2E"/>
    <w:rsid w:val="00C7223B"/>
    <w:rsid w:val="00C750DC"/>
    <w:rsid w:val="00C812D2"/>
    <w:rsid w:val="00C8176D"/>
    <w:rsid w:val="00C832EE"/>
    <w:rsid w:val="00CA65AF"/>
    <w:rsid w:val="00CA6C30"/>
    <w:rsid w:val="00CB2301"/>
    <w:rsid w:val="00CB3975"/>
    <w:rsid w:val="00CB4D96"/>
    <w:rsid w:val="00CB5744"/>
    <w:rsid w:val="00CB6ADD"/>
    <w:rsid w:val="00CB6ECE"/>
    <w:rsid w:val="00CC03DA"/>
    <w:rsid w:val="00CC0B32"/>
    <w:rsid w:val="00CC10BB"/>
    <w:rsid w:val="00CD0AED"/>
    <w:rsid w:val="00CD1679"/>
    <w:rsid w:val="00CD22C8"/>
    <w:rsid w:val="00CD4C10"/>
    <w:rsid w:val="00CE665D"/>
    <w:rsid w:val="00CF146C"/>
    <w:rsid w:val="00CF3504"/>
    <w:rsid w:val="00CF40E7"/>
    <w:rsid w:val="00D02A83"/>
    <w:rsid w:val="00D07426"/>
    <w:rsid w:val="00D07549"/>
    <w:rsid w:val="00D11BD8"/>
    <w:rsid w:val="00D1209B"/>
    <w:rsid w:val="00D121DA"/>
    <w:rsid w:val="00D1635A"/>
    <w:rsid w:val="00D2131E"/>
    <w:rsid w:val="00D24A97"/>
    <w:rsid w:val="00D2618C"/>
    <w:rsid w:val="00D261E4"/>
    <w:rsid w:val="00D31117"/>
    <w:rsid w:val="00D411A8"/>
    <w:rsid w:val="00D42375"/>
    <w:rsid w:val="00D42942"/>
    <w:rsid w:val="00D5236C"/>
    <w:rsid w:val="00D57699"/>
    <w:rsid w:val="00D57DCB"/>
    <w:rsid w:val="00D65148"/>
    <w:rsid w:val="00D65A87"/>
    <w:rsid w:val="00D71BB7"/>
    <w:rsid w:val="00D71F26"/>
    <w:rsid w:val="00D84048"/>
    <w:rsid w:val="00D92F1E"/>
    <w:rsid w:val="00D966A2"/>
    <w:rsid w:val="00D96979"/>
    <w:rsid w:val="00DA0299"/>
    <w:rsid w:val="00DA0A58"/>
    <w:rsid w:val="00DA6698"/>
    <w:rsid w:val="00DA7A9D"/>
    <w:rsid w:val="00DB18EB"/>
    <w:rsid w:val="00DC38CB"/>
    <w:rsid w:val="00DC5EE5"/>
    <w:rsid w:val="00DD754D"/>
    <w:rsid w:val="00DE04DA"/>
    <w:rsid w:val="00DE3A73"/>
    <w:rsid w:val="00DE5B42"/>
    <w:rsid w:val="00DE5CC3"/>
    <w:rsid w:val="00DE6703"/>
    <w:rsid w:val="00DE6B69"/>
    <w:rsid w:val="00DE6DF6"/>
    <w:rsid w:val="00DE750A"/>
    <w:rsid w:val="00DF0B0D"/>
    <w:rsid w:val="00DF304C"/>
    <w:rsid w:val="00DF4C5C"/>
    <w:rsid w:val="00E00408"/>
    <w:rsid w:val="00E03D62"/>
    <w:rsid w:val="00E05F6D"/>
    <w:rsid w:val="00E1035C"/>
    <w:rsid w:val="00E10E5A"/>
    <w:rsid w:val="00E119D2"/>
    <w:rsid w:val="00E11AC2"/>
    <w:rsid w:val="00E16633"/>
    <w:rsid w:val="00E268C0"/>
    <w:rsid w:val="00E40CE9"/>
    <w:rsid w:val="00E43C82"/>
    <w:rsid w:val="00E461B5"/>
    <w:rsid w:val="00E47066"/>
    <w:rsid w:val="00E52E99"/>
    <w:rsid w:val="00E53D25"/>
    <w:rsid w:val="00E55126"/>
    <w:rsid w:val="00E565F6"/>
    <w:rsid w:val="00E60CA1"/>
    <w:rsid w:val="00E6165A"/>
    <w:rsid w:val="00E64E3A"/>
    <w:rsid w:val="00E653AC"/>
    <w:rsid w:val="00E67EE4"/>
    <w:rsid w:val="00E74532"/>
    <w:rsid w:val="00E809D3"/>
    <w:rsid w:val="00E858CB"/>
    <w:rsid w:val="00E8734D"/>
    <w:rsid w:val="00E879C9"/>
    <w:rsid w:val="00E912E8"/>
    <w:rsid w:val="00E925C7"/>
    <w:rsid w:val="00E93CAE"/>
    <w:rsid w:val="00E94862"/>
    <w:rsid w:val="00E971ED"/>
    <w:rsid w:val="00EA157B"/>
    <w:rsid w:val="00EA52D3"/>
    <w:rsid w:val="00EB09DB"/>
    <w:rsid w:val="00EB63E0"/>
    <w:rsid w:val="00EC0703"/>
    <w:rsid w:val="00EC26AD"/>
    <w:rsid w:val="00EC461B"/>
    <w:rsid w:val="00EC6980"/>
    <w:rsid w:val="00EC7A43"/>
    <w:rsid w:val="00EC7AF6"/>
    <w:rsid w:val="00ED1BAC"/>
    <w:rsid w:val="00ED28CE"/>
    <w:rsid w:val="00ED68C5"/>
    <w:rsid w:val="00ED774A"/>
    <w:rsid w:val="00EE0173"/>
    <w:rsid w:val="00EF2530"/>
    <w:rsid w:val="00EF513B"/>
    <w:rsid w:val="00F069F6"/>
    <w:rsid w:val="00F17138"/>
    <w:rsid w:val="00F24E23"/>
    <w:rsid w:val="00F254F2"/>
    <w:rsid w:val="00F304AD"/>
    <w:rsid w:val="00F31B72"/>
    <w:rsid w:val="00F322E5"/>
    <w:rsid w:val="00F365CA"/>
    <w:rsid w:val="00F40E90"/>
    <w:rsid w:val="00F42CE8"/>
    <w:rsid w:val="00F445BB"/>
    <w:rsid w:val="00F4799F"/>
    <w:rsid w:val="00F545B3"/>
    <w:rsid w:val="00F569DC"/>
    <w:rsid w:val="00F60070"/>
    <w:rsid w:val="00F64838"/>
    <w:rsid w:val="00F66317"/>
    <w:rsid w:val="00F74DF6"/>
    <w:rsid w:val="00F74EAB"/>
    <w:rsid w:val="00F76A1E"/>
    <w:rsid w:val="00F77944"/>
    <w:rsid w:val="00F77DA8"/>
    <w:rsid w:val="00F82CBC"/>
    <w:rsid w:val="00F85BF0"/>
    <w:rsid w:val="00F8783D"/>
    <w:rsid w:val="00F90622"/>
    <w:rsid w:val="00F94F36"/>
    <w:rsid w:val="00F95B45"/>
    <w:rsid w:val="00F96CCF"/>
    <w:rsid w:val="00FA1B1B"/>
    <w:rsid w:val="00FA42F4"/>
    <w:rsid w:val="00FA785E"/>
    <w:rsid w:val="00FA7C01"/>
    <w:rsid w:val="00FB06CE"/>
    <w:rsid w:val="00FB1B2F"/>
    <w:rsid w:val="00FB4C2F"/>
    <w:rsid w:val="00FB7EF8"/>
    <w:rsid w:val="00FC4DFE"/>
    <w:rsid w:val="00FC7672"/>
    <w:rsid w:val="00FD35C8"/>
    <w:rsid w:val="00FD549D"/>
    <w:rsid w:val="00FD66B6"/>
    <w:rsid w:val="00FD7853"/>
    <w:rsid w:val="00FD7F92"/>
    <w:rsid w:val="00FE0818"/>
    <w:rsid w:val="00FE181A"/>
    <w:rsid w:val="00FE19AA"/>
    <w:rsid w:val="00FE1DDC"/>
    <w:rsid w:val="00FE2069"/>
    <w:rsid w:val="00FE2091"/>
    <w:rsid w:val="00FE485E"/>
    <w:rsid w:val="00FF137B"/>
    <w:rsid w:val="00FF7738"/>
    <w:rsid w:val="01B043D4"/>
    <w:rsid w:val="02E84008"/>
    <w:rsid w:val="033A5697"/>
    <w:rsid w:val="04EE4E5B"/>
    <w:rsid w:val="05533799"/>
    <w:rsid w:val="06A34000"/>
    <w:rsid w:val="07FD72F1"/>
    <w:rsid w:val="089D172E"/>
    <w:rsid w:val="094716DC"/>
    <w:rsid w:val="09BA4874"/>
    <w:rsid w:val="0A1D5231"/>
    <w:rsid w:val="0BFF7BBA"/>
    <w:rsid w:val="0C600D5B"/>
    <w:rsid w:val="0D061702"/>
    <w:rsid w:val="0D18691A"/>
    <w:rsid w:val="0DAF1E7A"/>
    <w:rsid w:val="0DD72453"/>
    <w:rsid w:val="0E373F09"/>
    <w:rsid w:val="0E831D11"/>
    <w:rsid w:val="1137737A"/>
    <w:rsid w:val="128618EF"/>
    <w:rsid w:val="131816D9"/>
    <w:rsid w:val="1393592E"/>
    <w:rsid w:val="146B158C"/>
    <w:rsid w:val="14842B54"/>
    <w:rsid w:val="155532B9"/>
    <w:rsid w:val="164F48CB"/>
    <w:rsid w:val="174F412D"/>
    <w:rsid w:val="18591955"/>
    <w:rsid w:val="185D5B9A"/>
    <w:rsid w:val="18AB2091"/>
    <w:rsid w:val="19422BD6"/>
    <w:rsid w:val="195A36BB"/>
    <w:rsid w:val="1A8F2209"/>
    <w:rsid w:val="1B1B3478"/>
    <w:rsid w:val="1B375D24"/>
    <w:rsid w:val="1B4E1343"/>
    <w:rsid w:val="1B8F790E"/>
    <w:rsid w:val="1B9D644F"/>
    <w:rsid w:val="1C165B90"/>
    <w:rsid w:val="1CBF17F7"/>
    <w:rsid w:val="1CE054DA"/>
    <w:rsid w:val="1D076403"/>
    <w:rsid w:val="1DE06E6C"/>
    <w:rsid w:val="1E3F0587"/>
    <w:rsid w:val="1EE202D2"/>
    <w:rsid w:val="1FA37D92"/>
    <w:rsid w:val="1FE253DD"/>
    <w:rsid w:val="20734435"/>
    <w:rsid w:val="20AE0A7C"/>
    <w:rsid w:val="20B410B5"/>
    <w:rsid w:val="21222B8A"/>
    <w:rsid w:val="2210243D"/>
    <w:rsid w:val="22CD2AFB"/>
    <w:rsid w:val="234F125B"/>
    <w:rsid w:val="234F6DFE"/>
    <w:rsid w:val="25AB2BEA"/>
    <w:rsid w:val="26043B0B"/>
    <w:rsid w:val="26BD6A9C"/>
    <w:rsid w:val="271D284B"/>
    <w:rsid w:val="27B25DFF"/>
    <w:rsid w:val="27C5053D"/>
    <w:rsid w:val="288607F0"/>
    <w:rsid w:val="29770B6C"/>
    <w:rsid w:val="29E431C6"/>
    <w:rsid w:val="2A225DF1"/>
    <w:rsid w:val="2A893940"/>
    <w:rsid w:val="2C10586E"/>
    <w:rsid w:val="2C491E1C"/>
    <w:rsid w:val="2C710C74"/>
    <w:rsid w:val="2DDA6F31"/>
    <w:rsid w:val="30243EF1"/>
    <w:rsid w:val="32364631"/>
    <w:rsid w:val="328C4469"/>
    <w:rsid w:val="33143D42"/>
    <w:rsid w:val="33256626"/>
    <w:rsid w:val="33A55DC3"/>
    <w:rsid w:val="345F0439"/>
    <w:rsid w:val="349B714C"/>
    <w:rsid w:val="35FD7EA6"/>
    <w:rsid w:val="365B2817"/>
    <w:rsid w:val="368000F6"/>
    <w:rsid w:val="37B24C8D"/>
    <w:rsid w:val="38A17234"/>
    <w:rsid w:val="38D7610F"/>
    <w:rsid w:val="3C89428C"/>
    <w:rsid w:val="3D6B23CE"/>
    <w:rsid w:val="3FED79AA"/>
    <w:rsid w:val="40552C87"/>
    <w:rsid w:val="416C6C9C"/>
    <w:rsid w:val="4216172A"/>
    <w:rsid w:val="42A04521"/>
    <w:rsid w:val="42BF512A"/>
    <w:rsid w:val="448034C1"/>
    <w:rsid w:val="45B0548C"/>
    <w:rsid w:val="465101C5"/>
    <w:rsid w:val="46A2058E"/>
    <w:rsid w:val="47C87FFC"/>
    <w:rsid w:val="486209DA"/>
    <w:rsid w:val="49D64AD7"/>
    <w:rsid w:val="4AA11399"/>
    <w:rsid w:val="4CE2539C"/>
    <w:rsid w:val="4CEF1386"/>
    <w:rsid w:val="4E4001D5"/>
    <w:rsid w:val="4F6D65AC"/>
    <w:rsid w:val="4F7C5E20"/>
    <w:rsid w:val="4F837C81"/>
    <w:rsid w:val="4FD054CC"/>
    <w:rsid w:val="50244FC1"/>
    <w:rsid w:val="504E12FF"/>
    <w:rsid w:val="517B2A56"/>
    <w:rsid w:val="51A45394"/>
    <w:rsid w:val="5208036F"/>
    <w:rsid w:val="52421BCC"/>
    <w:rsid w:val="525A579A"/>
    <w:rsid w:val="53596086"/>
    <w:rsid w:val="57FB03B3"/>
    <w:rsid w:val="59660DA9"/>
    <w:rsid w:val="59C75727"/>
    <w:rsid w:val="5A224C42"/>
    <w:rsid w:val="5A696E7B"/>
    <w:rsid w:val="5A775974"/>
    <w:rsid w:val="5A926787"/>
    <w:rsid w:val="5AEE27A9"/>
    <w:rsid w:val="5D954CC3"/>
    <w:rsid w:val="5DEF0676"/>
    <w:rsid w:val="5FA205A2"/>
    <w:rsid w:val="5FF12376"/>
    <w:rsid w:val="6093148D"/>
    <w:rsid w:val="61C779DA"/>
    <w:rsid w:val="62043ED4"/>
    <w:rsid w:val="640F31BB"/>
    <w:rsid w:val="648A16D4"/>
    <w:rsid w:val="65C06368"/>
    <w:rsid w:val="67BD6E82"/>
    <w:rsid w:val="689B6E6C"/>
    <w:rsid w:val="69D8521D"/>
    <w:rsid w:val="6A2D67E1"/>
    <w:rsid w:val="6AE714EB"/>
    <w:rsid w:val="6AF12F2B"/>
    <w:rsid w:val="6B0A7F78"/>
    <w:rsid w:val="6B620ED4"/>
    <w:rsid w:val="6BA9750E"/>
    <w:rsid w:val="6BAD5DF4"/>
    <w:rsid w:val="6C7B0601"/>
    <w:rsid w:val="6D4A0355"/>
    <w:rsid w:val="6EFE0AC6"/>
    <w:rsid w:val="6F213D51"/>
    <w:rsid w:val="6F636B2F"/>
    <w:rsid w:val="6F9C60E1"/>
    <w:rsid w:val="6FE663F6"/>
    <w:rsid w:val="702350C8"/>
    <w:rsid w:val="70AB05CB"/>
    <w:rsid w:val="70E1765A"/>
    <w:rsid w:val="73766A80"/>
    <w:rsid w:val="757A236E"/>
    <w:rsid w:val="771F1CDB"/>
    <w:rsid w:val="777F4FE6"/>
    <w:rsid w:val="780A05B0"/>
    <w:rsid w:val="784C7702"/>
    <w:rsid w:val="79064192"/>
    <w:rsid w:val="7A37290A"/>
    <w:rsid w:val="7AED2E7F"/>
    <w:rsid w:val="7E9869CF"/>
    <w:rsid w:val="7FD40F99"/>
    <w:rsid w:val="7FF94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9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4"/>
    <w:qFormat/>
    <w:uiPriority w:val="9"/>
    <w:pPr>
      <w:keepNext/>
      <w:keepLines/>
      <w:spacing w:before="340" w:after="330" w:line="578" w:lineRule="auto"/>
      <w:outlineLvl w:val="0"/>
    </w:pPr>
    <w:rPr>
      <w:b/>
      <w:bCs/>
      <w:kern w:val="44"/>
      <w:sz w:val="44"/>
      <w:szCs w:val="4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32"/>
      <w:szCs w:val="32"/>
      <w:lang w:val="zh-CN" w:bidi="zh-CN"/>
    </w:rPr>
  </w:style>
  <w:style w:type="paragraph" w:styleId="4">
    <w:name w:val="annotation text"/>
    <w:basedOn w:val="1"/>
    <w:link w:val="22"/>
    <w:qFormat/>
    <w:uiPriority w:val="0"/>
    <w:pPr>
      <w:jc w:val="left"/>
    </w:pPr>
    <w:rPr>
      <w:rFonts w:ascii="Times New Roman" w:hAnsi="Times New Roman" w:eastAsia="宋体" w:cs="Times New Roman"/>
      <w:szCs w:val="24"/>
    </w:rPr>
  </w:style>
  <w:style w:type="paragraph" w:styleId="5">
    <w:name w:val="Body Text Indent"/>
    <w:basedOn w:val="1"/>
    <w:next w:val="1"/>
    <w:qFormat/>
    <w:uiPriority w:val="0"/>
    <w:pPr>
      <w:spacing w:line="500" w:lineRule="exact"/>
      <w:ind w:left="1588" w:leftChars="832" w:firstLine="433" w:firstLineChars="196"/>
    </w:pPr>
    <w:rPr>
      <w:sz w:val="24"/>
    </w:rPr>
  </w:style>
  <w:style w:type="paragraph" w:styleId="6">
    <w:name w:val="Plain Text"/>
    <w:basedOn w:val="1"/>
    <w:qFormat/>
    <w:uiPriority w:val="0"/>
    <w:rPr>
      <w:rFonts w:ascii="宋体" w:hAnsi="Courier New" w:cs="Courier New"/>
      <w:szCs w:val="21"/>
    </w:rPr>
  </w:style>
  <w:style w:type="paragraph" w:styleId="7">
    <w:name w:val="Balloon Text"/>
    <w:basedOn w:val="1"/>
    <w:link w:val="23"/>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8777"/>
      </w:tabs>
      <w:spacing w:line="360" w:lineRule="auto"/>
    </w:pPr>
    <w:rPr>
      <w:rFonts w:ascii="Times New Roman" w:hAnsi="Times New Roman" w:eastAsia="宋体" w:cs="Times New Roman"/>
      <w:szCs w:val="24"/>
    </w:rPr>
  </w:style>
  <w:style w:type="paragraph" w:styleId="11">
    <w:name w:val="toc 2"/>
    <w:basedOn w:val="1"/>
    <w:next w:val="1"/>
    <w:semiHidden/>
    <w:qFormat/>
    <w:uiPriority w:val="99"/>
    <w:pPr>
      <w:ind w:left="420" w:leftChars="200"/>
    </w:pPr>
    <w:rPr>
      <w:rFonts w:ascii="Times New Roman" w:hAnsi="Times New Roman" w:eastAsia="宋体" w:cs="Times New Roman"/>
      <w:szCs w:val="24"/>
    </w:rPr>
  </w:style>
  <w:style w:type="paragraph" w:styleId="12">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3">
    <w:name w:val="Body Text First Indent 2"/>
    <w:basedOn w:val="5"/>
    <w:qFormat/>
    <w:uiPriority w:val="0"/>
    <w:pPr>
      <w:spacing w:after="120" w:line="240" w:lineRule="auto"/>
      <w:ind w:left="420" w:leftChars="200" w:firstLine="420" w:firstLineChars="200"/>
    </w:pPr>
    <w:rPr>
      <w:sz w:val="21"/>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bCs/>
    </w:rPr>
  </w:style>
  <w:style w:type="character" w:styleId="18">
    <w:name w:val="Hyperlink"/>
    <w:basedOn w:val="16"/>
    <w:qFormat/>
    <w:uiPriority w:val="99"/>
    <w:rPr>
      <w:rFonts w:cs="Times New Roman"/>
      <w:color w:val="555555"/>
      <w:u w:val="none"/>
    </w:rPr>
  </w:style>
  <w:style w:type="character" w:styleId="19">
    <w:name w:val="annotation reference"/>
    <w:qFormat/>
    <w:uiPriority w:val="0"/>
    <w:rPr>
      <w:sz w:val="21"/>
      <w:szCs w:val="21"/>
    </w:rPr>
  </w:style>
  <w:style w:type="character" w:customStyle="1" w:styleId="20">
    <w:name w:val="页眉 Char"/>
    <w:basedOn w:val="16"/>
    <w:link w:val="9"/>
    <w:qFormat/>
    <w:uiPriority w:val="99"/>
    <w:rPr>
      <w:sz w:val="18"/>
      <w:szCs w:val="18"/>
    </w:rPr>
  </w:style>
  <w:style w:type="character" w:customStyle="1" w:styleId="21">
    <w:name w:val="页脚 Char"/>
    <w:basedOn w:val="16"/>
    <w:link w:val="8"/>
    <w:qFormat/>
    <w:uiPriority w:val="99"/>
    <w:rPr>
      <w:sz w:val="18"/>
      <w:szCs w:val="18"/>
    </w:rPr>
  </w:style>
  <w:style w:type="character" w:customStyle="1" w:styleId="22">
    <w:name w:val="批注文字 Char"/>
    <w:basedOn w:val="16"/>
    <w:link w:val="4"/>
    <w:qFormat/>
    <w:uiPriority w:val="0"/>
    <w:rPr>
      <w:rFonts w:ascii="Times New Roman" w:hAnsi="Times New Roman" w:eastAsia="宋体" w:cs="Times New Roman"/>
      <w:szCs w:val="24"/>
    </w:rPr>
  </w:style>
  <w:style w:type="character" w:customStyle="1" w:styleId="23">
    <w:name w:val="批注框文本 Char"/>
    <w:basedOn w:val="16"/>
    <w:link w:val="7"/>
    <w:semiHidden/>
    <w:qFormat/>
    <w:uiPriority w:val="99"/>
    <w:rPr>
      <w:sz w:val="18"/>
      <w:szCs w:val="18"/>
    </w:rPr>
  </w:style>
  <w:style w:type="character" w:customStyle="1" w:styleId="24">
    <w:name w:val="标题 1 Char"/>
    <w:basedOn w:val="16"/>
    <w:link w:val="3"/>
    <w:qFormat/>
    <w:uiPriority w:val="9"/>
    <w:rPr>
      <w:b/>
      <w:bCs/>
      <w:kern w:val="44"/>
      <w:sz w:val="44"/>
      <w:szCs w:val="44"/>
    </w:rPr>
  </w:style>
  <w:style w:type="paragraph" w:customStyle="1" w:styleId="25">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6">
    <w:name w:val="font11"/>
    <w:basedOn w:val="16"/>
    <w:qFormat/>
    <w:uiPriority w:val="0"/>
    <w:rPr>
      <w:rFonts w:hint="eastAsia" w:ascii="楷体" w:hAnsi="楷体" w:eastAsia="楷体" w:cs="楷体"/>
      <w:color w:val="000000"/>
      <w:sz w:val="21"/>
      <w:szCs w:val="21"/>
      <w:u w:val="none"/>
    </w:rPr>
  </w:style>
  <w:style w:type="character" w:customStyle="1" w:styleId="27">
    <w:name w:val="font31"/>
    <w:basedOn w:val="16"/>
    <w:qFormat/>
    <w:uiPriority w:val="0"/>
    <w:rPr>
      <w:rFonts w:hint="default" w:ascii="Times New Roman" w:hAnsi="Times New Roman" w:cs="Times New Roman"/>
      <w:color w:val="000000"/>
      <w:sz w:val="21"/>
      <w:szCs w:val="21"/>
      <w:u w:val="none"/>
    </w:rPr>
  </w:style>
  <w:style w:type="character" w:customStyle="1" w:styleId="28">
    <w:name w:val="font21"/>
    <w:basedOn w:val="16"/>
    <w:qFormat/>
    <w:uiPriority w:val="0"/>
    <w:rPr>
      <w:rFonts w:hint="eastAsia" w:ascii="楷体" w:hAnsi="楷体" w:eastAsia="楷体" w:cs="楷体"/>
      <w:color w:val="000000"/>
      <w:sz w:val="21"/>
      <w:szCs w:val="21"/>
      <w:u w:val="none"/>
    </w:rPr>
  </w:style>
  <w:style w:type="paragraph" w:customStyle="1" w:styleId="29">
    <w:name w:val="WPSOffice手动目录 1"/>
    <w:qFormat/>
    <w:uiPriority w:val="0"/>
    <w:pPr>
      <w:ind w:leftChars="0"/>
    </w:pPr>
    <w:rPr>
      <w:rFonts w:ascii="Times New Roman" w:hAnsi="Times New Roman" w:eastAsia="Times New Roman" w:cs="Times New Roman"/>
      <w:sz w:val="20"/>
      <w:szCs w:val="20"/>
    </w:rPr>
  </w:style>
  <w:style w:type="paragraph" w:customStyle="1" w:styleId="30">
    <w:name w:val="WPSOffice手动目录 3"/>
    <w:qFormat/>
    <w:uiPriority w:val="0"/>
    <w:pPr>
      <w:ind w:leftChars="400"/>
    </w:pPr>
    <w:rPr>
      <w:rFonts w:ascii="Times New Roman" w:hAnsi="Times New Roman" w:eastAsia="Times New Roman" w:cs="Times New Roman"/>
      <w:sz w:val="20"/>
      <w:szCs w:val="20"/>
    </w:rPr>
  </w:style>
  <w:style w:type="paragraph" w:customStyle="1" w:styleId="31">
    <w:name w:val="WPSOffice手动目录 2"/>
    <w:qFormat/>
    <w:uiPriority w:val="0"/>
    <w:pPr>
      <w:ind w:leftChars="200"/>
    </w:pPr>
    <w:rPr>
      <w:rFonts w:ascii="Times New Roman" w:hAnsi="Times New Roman" w:eastAsia="Times New Roman"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9" Type="http://schemas.openxmlformats.org/officeDocument/2006/relationships/fontTable" Target="fontTable.xml"/><Relationship Id="rId108" Type="http://schemas.openxmlformats.org/officeDocument/2006/relationships/customXml" Target="../customXml/item2.xml"/><Relationship Id="rId107" Type="http://schemas.openxmlformats.org/officeDocument/2006/relationships/customXml" Target="../customXml/item1.xml"/><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FEE471-582E-4B60-8BCD-0BA54C66B4C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38</Pages>
  <Words>18363</Words>
  <Characters>19616</Characters>
  <Lines>116</Lines>
  <Paragraphs>32</Paragraphs>
  <TotalTime>55</TotalTime>
  <ScaleCrop>false</ScaleCrop>
  <LinksUpToDate>false</LinksUpToDate>
  <CharactersWithSpaces>20291</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2021-09-02T12:04:00Z</dcterms:created>
  <dc:creator>CC</dc:creator>
  <cp:lastModifiedBy>HP</cp:lastModifiedBy>
  <dcterms:modified xsi:type="dcterms:W3CDTF">2021-12-21T01:48:00Z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y fmtid="{D5CDD505-2E9C-101B-9397-08002B2CF9AE}" pid="3" name="ICV">
    <vt:lpwstr>BB6AAFA871F1493A895F908456BEB13D</vt:lpwstr>
  </property>
</Properties>
</file>