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color w:val="auto"/>
          <w:sz w:val="44"/>
          <w:szCs w:val="44"/>
          <w:lang w:eastAsia="zh-CN"/>
        </w:rPr>
      </w:pPr>
    </w:p>
    <w:p>
      <w:pPr>
        <w:ind w:firstLine="0" w:firstLineChars="0"/>
        <w:jc w:val="center"/>
        <w:rPr>
          <w:rFonts w:hint="eastAsia" w:ascii="黑体" w:hAnsi="黑体" w:eastAsia="黑体"/>
          <w:color w:val="auto"/>
          <w:sz w:val="44"/>
          <w:szCs w:val="44"/>
          <w:lang w:eastAsia="zh-CN"/>
        </w:rPr>
      </w:pPr>
    </w:p>
    <w:p>
      <w:pPr>
        <w:ind w:firstLine="0" w:firstLineChars="0"/>
        <w:jc w:val="center"/>
        <w:rPr>
          <w:rFonts w:ascii="黑体" w:hAnsi="黑体" w:eastAsia="黑体"/>
          <w:color w:val="auto"/>
          <w:sz w:val="44"/>
          <w:szCs w:val="44"/>
        </w:rPr>
      </w:pPr>
      <w:r>
        <w:rPr>
          <w:rFonts w:hint="eastAsia" w:ascii="黑体" w:hAnsi="黑体" w:eastAsia="黑体"/>
          <w:color w:val="auto"/>
          <w:sz w:val="44"/>
          <w:szCs w:val="44"/>
          <w:lang w:val="en-US" w:eastAsia="zh-CN"/>
        </w:rPr>
        <w:t>泉州市洛江区粮食风险基金项目</w:t>
      </w:r>
      <w:r>
        <w:rPr>
          <w:rFonts w:ascii="黑体" w:hAnsi="黑体" w:eastAsia="黑体"/>
          <w:color w:val="auto"/>
          <w:sz w:val="44"/>
          <w:szCs w:val="44"/>
        </w:rPr>
        <w:br w:type="textWrapping"/>
      </w:r>
      <w:r>
        <w:rPr>
          <w:rFonts w:hint="eastAsia" w:ascii="黑体" w:hAnsi="黑体" w:eastAsia="黑体"/>
          <w:color w:val="auto"/>
          <w:sz w:val="44"/>
          <w:szCs w:val="44"/>
        </w:rPr>
        <w:t>绩效评价报告</w:t>
      </w:r>
    </w:p>
    <w:p>
      <w:pPr>
        <w:ind w:firstLine="480"/>
        <w:jc w:val="center"/>
        <w:rPr>
          <w:rFonts w:hint="eastAsia" w:eastAsia="宋体"/>
          <w:color w:val="auto"/>
          <w:lang w:eastAsia="zh-CN"/>
        </w:rPr>
      </w:pPr>
    </w:p>
    <w:p>
      <w:pPr>
        <w:ind w:firstLine="0" w:firstLineChars="0"/>
        <w:jc w:val="center"/>
        <w:rPr>
          <w:rFonts w:hint="eastAsia" w:ascii="黑体" w:hAnsi="黑体" w:eastAsia="黑体"/>
          <w:color w:val="000000"/>
          <w:sz w:val="44"/>
          <w:szCs w:val="44"/>
          <w:lang w:eastAsia="zh-CN"/>
        </w:rPr>
      </w:pPr>
      <w:r>
        <w:rPr>
          <w:rFonts w:hint="eastAsia" w:ascii="仿宋" w:hAnsi="仿宋" w:eastAsia="仿宋" w:cs="仿宋"/>
          <w:b/>
          <w:bCs/>
          <w:color w:val="000000"/>
          <w:sz w:val="28"/>
          <w:szCs w:val="28"/>
          <w:lang w:eastAsia="zh-CN"/>
        </w:rPr>
        <w:t>福征安绩</w:t>
      </w:r>
      <w:r>
        <w:rPr>
          <w:rFonts w:hint="eastAsia" w:ascii="仿宋" w:hAnsi="仿宋" w:eastAsia="仿宋"/>
          <w:b/>
          <w:color w:val="000000"/>
          <w:sz w:val="28"/>
          <w:szCs w:val="28"/>
        </w:rPr>
        <w:t>〔202</w:t>
      </w:r>
      <w:r>
        <w:rPr>
          <w:rFonts w:hint="eastAsia" w:ascii="仿宋" w:hAnsi="仿宋" w:eastAsia="仿宋"/>
          <w:b/>
          <w:color w:val="000000"/>
          <w:sz w:val="28"/>
          <w:szCs w:val="28"/>
          <w:lang w:val="en-US" w:eastAsia="zh-CN"/>
        </w:rPr>
        <w:t>2</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LJ001</w:t>
      </w:r>
      <w:r>
        <w:rPr>
          <w:rFonts w:hint="eastAsia" w:ascii="仿宋" w:hAnsi="仿宋" w:eastAsia="仿宋" w:cs="仿宋"/>
          <w:b/>
          <w:bCs/>
          <w:color w:val="000000"/>
          <w:sz w:val="28"/>
          <w:szCs w:val="28"/>
          <w:lang w:eastAsia="zh-CN"/>
        </w:rPr>
        <w:t>号</w:t>
      </w: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rFonts w:hint="eastAsia"/>
          <w:color w:val="auto"/>
        </w:rPr>
      </w:pPr>
    </w:p>
    <w:p>
      <w:pPr>
        <w:ind w:firstLine="480"/>
        <w:rPr>
          <w:rFonts w:hint="eastAsia"/>
          <w:color w:val="auto"/>
        </w:rPr>
      </w:pPr>
    </w:p>
    <w:p>
      <w:pPr>
        <w:ind w:firstLine="480"/>
        <w:rPr>
          <w:color w:val="auto"/>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6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项目名称：</w:t>
            </w:r>
          </w:p>
        </w:tc>
        <w:tc>
          <w:tcPr>
            <w:tcW w:w="6169" w:type="dxa"/>
            <w:tcBorders>
              <w:bottom w:val="single" w:color="auto" w:sz="4" w:space="0"/>
            </w:tcBorders>
            <w:noWrap w:val="0"/>
            <w:vAlign w:val="top"/>
          </w:tcPr>
          <w:p>
            <w:pPr>
              <w:ind w:firstLine="0" w:firstLineChars="0"/>
              <w:jc w:val="center"/>
              <w:rPr>
                <w:rFonts w:hint="default" w:eastAsia="宋体"/>
                <w:color w:val="auto"/>
                <w:sz w:val="28"/>
                <w:szCs w:val="28"/>
                <w:lang w:val="en-US" w:eastAsia="zh-CN"/>
              </w:rPr>
            </w:pPr>
            <w:r>
              <w:rPr>
                <w:rFonts w:hint="eastAsia"/>
                <w:color w:val="auto"/>
                <w:sz w:val="28"/>
                <w:szCs w:val="28"/>
                <w:lang w:val="en-US" w:eastAsia="zh-CN"/>
              </w:rPr>
              <w:t>粮食风险基金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项目承担单位：</w:t>
            </w:r>
          </w:p>
        </w:tc>
        <w:tc>
          <w:tcPr>
            <w:tcW w:w="6169" w:type="dxa"/>
            <w:tcBorders>
              <w:bottom w:val="single" w:color="auto" w:sz="4" w:space="0"/>
            </w:tcBorders>
            <w:noWrap w:val="0"/>
            <w:vAlign w:val="top"/>
          </w:tcPr>
          <w:p>
            <w:pPr>
              <w:ind w:firstLine="0" w:firstLineChars="0"/>
              <w:jc w:val="center"/>
              <w:rPr>
                <w:rFonts w:hint="default" w:eastAsia="宋体"/>
                <w:color w:val="auto"/>
                <w:sz w:val="28"/>
                <w:szCs w:val="28"/>
                <w:lang w:val="en-US" w:eastAsia="zh-CN"/>
              </w:rPr>
            </w:pPr>
            <w:r>
              <w:rPr>
                <w:rFonts w:hint="eastAsia"/>
                <w:color w:val="auto"/>
                <w:sz w:val="28"/>
                <w:szCs w:val="28"/>
                <w:lang w:val="en-US" w:eastAsia="zh-CN"/>
              </w:rPr>
              <w:t>泉州市洛江区发展和改革局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项目总金额：</w:t>
            </w:r>
          </w:p>
        </w:tc>
        <w:tc>
          <w:tcPr>
            <w:tcW w:w="6169" w:type="dxa"/>
            <w:tcBorders>
              <w:top w:val="single" w:color="auto" w:sz="4" w:space="0"/>
              <w:bottom w:val="single" w:color="auto" w:sz="4" w:space="0"/>
            </w:tcBorders>
            <w:noWrap w:val="0"/>
            <w:vAlign w:val="top"/>
          </w:tcPr>
          <w:p>
            <w:pPr>
              <w:ind w:firstLine="0" w:firstLineChars="0"/>
              <w:jc w:val="center"/>
              <w:rPr>
                <w:color w:val="auto"/>
                <w:sz w:val="28"/>
                <w:szCs w:val="28"/>
              </w:rPr>
            </w:pPr>
            <w:r>
              <w:rPr>
                <w:rFonts w:hint="eastAsia" w:ascii="宋体" w:hAnsi="宋体" w:eastAsia="宋体" w:cs="宋体"/>
                <w:color w:val="auto"/>
                <w:sz w:val="28"/>
                <w:szCs w:val="28"/>
                <w:lang w:val="en-US" w:eastAsia="zh-CN"/>
              </w:rPr>
              <w:t>560</w:t>
            </w:r>
            <w:r>
              <w:rPr>
                <w:rFonts w:hint="eastAsia" w:ascii="宋体" w:hAnsi="宋体" w:eastAsia="宋体" w:cs="宋体"/>
                <w:color w:val="auto"/>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评价年度：</w:t>
            </w:r>
          </w:p>
        </w:tc>
        <w:tc>
          <w:tcPr>
            <w:tcW w:w="6169" w:type="dxa"/>
            <w:tcBorders>
              <w:top w:val="single" w:color="auto" w:sz="4" w:space="0"/>
              <w:bottom w:val="single" w:color="auto" w:sz="4" w:space="0"/>
            </w:tcBorders>
            <w:noWrap w:val="0"/>
            <w:vAlign w:val="top"/>
          </w:tcPr>
          <w:p>
            <w:pPr>
              <w:ind w:firstLine="0" w:firstLineChars="0"/>
              <w:jc w:val="center"/>
              <w:rPr>
                <w:color w:val="auto"/>
                <w:sz w:val="28"/>
                <w:szCs w:val="28"/>
              </w:rPr>
            </w:pPr>
            <w:r>
              <w:rPr>
                <w:rFonts w:hint="eastAsia"/>
                <w:color w:val="auto"/>
                <w:sz w:val="28"/>
                <w:szCs w:val="28"/>
              </w:rPr>
              <w:t>20</w:t>
            </w:r>
            <w:r>
              <w:rPr>
                <w:rFonts w:hint="eastAsia"/>
                <w:color w:val="auto"/>
                <w:sz w:val="28"/>
                <w:szCs w:val="28"/>
                <w:lang w:val="en-US" w:eastAsia="zh-CN"/>
              </w:rPr>
              <w:t>21</w:t>
            </w:r>
            <w:r>
              <w:rPr>
                <w:rFonts w:hint="eastAsia"/>
                <w:color w:val="auto"/>
                <w:sz w:val="28"/>
                <w:szCs w:val="28"/>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noWrap w:val="0"/>
            <w:vAlign w:val="top"/>
          </w:tcPr>
          <w:p>
            <w:pPr>
              <w:ind w:firstLine="0" w:firstLineChars="0"/>
              <w:jc w:val="distribute"/>
              <w:rPr>
                <w:color w:val="auto"/>
                <w:sz w:val="28"/>
                <w:szCs w:val="28"/>
              </w:rPr>
            </w:pPr>
            <w:r>
              <w:rPr>
                <w:rFonts w:hint="eastAsia"/>
                <w:color w:val="auto"/>
                <w:sz w:val="28"/>
                <w:szCs w:val="28"/>
              </w:rPr>
              <w:t>评价机构：</w:t>
            </w:r>
          </w:p>
        </w:tc>
        <w:tc>
          <w:tcPr>
            <w:tcW w:w="6169" w:type="dxa"/>
            <w:tcBorders>
              <w:top w:val="single" w:color="auto" w:sz="4" w:space="0"/>
              <w:bottom w:val="single" w:color="auto" w:sz="4" w:space="0"/>
            </w:tcBorders>
            <w:noWrap w:val="0"/>
            <w:vAlign w:val="top"/>
          </w:tcPr>
          <w:p>
            <w:pPr>
              <w:ind w:firstLine="0" w:firstLineChars="0"/>
              <w:jc w:val="center"/>
              <w:rPr>
                <w:color w:val="auto"/>
                <w:sz w:val="28"/>
                <w:szCs w:val="28"/>
              </w:rPr>
            </w:pPr>
            <w:r>
              <w:rPr>
                <w:rFonts w:hint="eastAsia"/>
                <w:color w:val="auto"/>
                <w:sz w:val="28"/>
                <w:szCs w:val="28"/>
              </w:rPr>
              <w:t>福建征安会计师事务所（普通合伙）</w:t>
            </w:r>
          </w:p>
        </w:tc>
      </w:tr>
    </w:tbl>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0" w:firstLineChars="0"/>
        <w:jc w:val="center"/>
        <w:rPr>
          <w:color w:val="auto"/>
        </w:rPr>
      </w:pPr>
    </w:p>
    <w:p>
      <w:pPr>
        <w:ind w:firstLine="0" w:firstLineChar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w:t>
      </w:r>
      <w:r>
        <w:rPr>
          <w:rFonts w:hint="eastAsia" w:ascii="宋体" w:hAnsi="宋体" w:eastAsia="宋体" w:cs="宋体"/>
          <w:color w:val="000000"/>
          <w:sz w:val="28"/>
          <w:szCs w:val="28"/>
          <w:lang w:val="en-US" w:eastAsia="zh-CN"/>
        </w:rPr>
        <w:t>22</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15</w:t>
      </w:r>
      <w:r>
        <w:rPr>
          <w:rFonts w:hint="eastAsia" w:ascii="宋体" w:hAnsi="宋体" w:eastAsia="宋体" w:cs="宋体"/>
          <w:color w:val="000000"/>
          <w:sz w:val="28"/>
          <w:szCs w:val="28"/>
        </w:rPr>
        <w:t>日</w:t>
      </w:r>
    </w:p>
    <w:p>
      <w:pPr>
        <w:ind w:firstLine="0" w:firstLineChars="0"/>
        <w:jc w:val="center"/>
        <w:rPr>
          <w:rFonts w:hint="eastAsia"/>
          <w:color w:val="auto"/>
        </w:rPr>
      </w:pPr>
    </w:p>
    <w:p>
      <w:pPr>
        <w:ind w:firstLine="0" w:firstLineChars="0"/>
        <w:jc w:val="center"/>
        <w:rPr>
          <w:rFonts w:hint="eastAsia"/>
          <w:color w:val="auto"/>
        </w:rPr>
      </w:pPr>
    </w:p>
    <w:p>
      <w:pPr>
        <w:ind w:firstLine="0" w:firstLineChars="0"/>
        <w:jc w:val="center"/>
        <w:rPr>
          <w:rFonts w:hint="eastAsia"/>
          <w:color w:val="auto"/>
        </w:rPr>
      </w:pPr>
    </w:p>
    <w:p>
      <w:pPr>
        <w:ind w:firstLine="0" w:firstLineChars="0"/>
        <w:jc w:val="center"/>
        <w:rPr>
          <w:rFonts w:hint="eastAsia"/>
          <w:color w:val="auto"/>
        </w:rPr>
      </w:pPr>
    </w:p>
    <w:p>
      <w:pPr>
        <w:ind w:firstLine="0" w:firstLineChars="0"/>
        <w:jc w:val="center"/>
        <w:rPr>
          <w:rFonts w:hint="eastAsia"/>
          <w:color w:val="auto"/>
        </w:rPr>
      </w:pPr>
    </w:p>
    <w:p>
      <w:pPr>
        <w:pStyle w:val="2"/>
        <w:rPr>
          <w:rFonts w:hint="eastAsia"/>
        </w:rPr>
      </w:pPr>
    </w:p>
    <w:p>
      <w:pPr>
        <w:ind w:firstLine="0" w:firstLineChars="0"/>
        <w:jc w:val="center"/>
        <w:rPr>
          <w:rFonts w:ascii="黑体" w:hAnsi="黑体" w:eastAsia="黑体" w:cs="黑体"/>
          <w:color w:val="auto"/>
          <w:sz w:val="32"/>
          <w:szCs w:val="32"/>
        </w:rPr>
      </w:pPr>
      <w:r>
        <w:rPr>
          <w:rFonts w:hint="eastAsia" w:ascii="黑体" w:hAnsi="黑体" w:eastAsia="黑体" w:cs="黑体"/>
          <w:color w:val="auto"/>
          <w:sz w:val="32"/>
          <w:szCs w:val="32"/>
        </w:rPr>
        <w:t>绩效评价工作小组成员名单</w:t>
      </w:r>
    </w:p>
    <w:p>
      <w:pPr>
        <w:ind w:firstLine="0" w:firstLineChars="0"/>
        <w:jc w:val="center"/>
        <w:rPr>
          <w:rFonts w:ascii="黑体" w:hAnsi="黑体" w:eastAsia="黑体" w:cs="黑体"/>
          <w:color w:val="auto"/>
          <w:sz w:val="32"/>
          <w:szCs w:val="32"/>
        </w:rPr>
      </w:pPr>
    </w:p>
    <w:tbl>
      <w:tblPr>
        <w:tblStyle w:val="17"/>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040"/>
        <w:gridCol w:w="2714"/>
        <w:gridCol w:w="1626"/>
        <w:gridCol w:w="176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序号</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姓名</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 w:hAnsi="仿宋" w:eastAsia="仿宋"/>
                <w:color w:val="000000"/>
                <w:sz w:val="24"/>
                <w:szCs w:val="24"/>
              </w:rPr>
            </w:pPr>
            <w:r>
              <w:rPr>
                <w:rFonts w:hint="eastAsia" w:ascii="仿宋" w:hAnsi="仿宋" w:eastAsia="仿宋"/>
                <w:color w:val="000000"/>
                <w:sz w:val="24"/>
                <w:szCs w:val="24"/>
              </w:rPr>
              <w:t>工作单位</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both"/>
              <w:textAlignment w:val="auto"/>
              <w:rPr>
                <w:rFonts w:ascii="仿宋" w:hAnsi="仿宋" w:eastAsia="仿宋"/>
                <w:color w:val="000000"/>
                <w:sz w:val="24"/>
                <w:szCs w:val="24"/>
              </w:rPr>
            </w:pPr>
            <w:r>
              <w:rPr>
                <w:rFonts w:hint="eastAsia" w:ascii="仿宋" w:hAnsi="仿宋" w:eastAsia="仿宋"/>
                <w:color w:val="000000"/>
                <w:sz w:val="24"/>
                <w:szCs w:val="24"/>
              </w:rPr>
              <w:t>职级</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电话</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1</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田秀芳</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注册会计师</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13665027013</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2</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kern w:val="2"/>
                <w:sz w:val="24"/>
                <w:szCs w:val="24"/>
                <w:lang w:val="en-US" w:eastAsia="zh-CN" w:bidi="ar-SA"/>
              </w:rPr>
            </w:pPr>
            <w:r>
              <w:rPr>
                <w:rFonts w:hint="eastAsia" w:ascii="仿宋" w:hAnsi="仿宋" w:eastAsia="仿宋"/>
                <w:color w:val="000000"/>
                <w:sz w:val="24"/>
                <w:szCs w:val="24"/>
                <w:lang w:val="en-US" w:eastAsia="zh-CN"/>
              </w:rPr>
              <w:t>刘姣</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kern w:val="2"/>
                <w:sz w:val="24"/>
                <w:szCs w:val="24"/>
                <w:lang w:val="en-US" w:eastAsia="zh-CN" w:bidi="ar-SA"/>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kern w:val="2"/>
                <w:sz w:val="24"/>
                <w:szCs w:val="24"/>
                <w:lang w:val="en-US" w:eastAsia="zh-CN" w:bidi="ar-SA"/>
              </w:rPr>
            </w:pPr>
            <w:r>
              <w:rPr>
                <w:rFonts w:hint="eastAsia" w:ascii="仿宋" w:hAnsi="仿宋" w:eastAsia="仿宋"/>
                <w:color w:val="000000"/>
                <w:sz w:val="24"/>
                <w:szCs w:val="24"/>
              </w:rPr>
              <w:t>注册会计师</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kern w:val="2"/>
                <w:sz w:val="24"/>
                <w:szCs w:val="24"/>
                <w:lang w:val="en-US" w:eastAsia="zh-CN" w:bidi="ar-SA"/>
              </w:rPr>
            </w:pPr>
            <w:r>
              <w:rPr>
                <w:rFonts w:hint="eastAsia" w:ascii="仿宋" w:hAnsi="仿宋" w:eastAsia="仿宋"/>
                <w:color w:val="000000"/>
                <w:sz w:val="24"/>
                <w:szCs w:val="24"/>
              </w:rPr>
              <w:t>139</w:t>
            </w:r>
            <w:r>
              <w:rPr>
                <w:rFonts w:hint="eastAsia" w:ascii="仿宋" w:hAnsi="仿宋" w:eastAsia="仿宋"/>
                <w:color w:val="000000"/>
                <w:sz w:val="24"/>
                <w:szCs w:val="24"/>
                <w:lang w:val="en-US" w:eastAsia="zh-CN"/>
              </w:rPr>
              <w:t>04028916</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center"/>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3</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黄智取</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主任</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18100546130</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center"/>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sz w:val="24"/>
                <w:szCs w:val="24"/>
              </w:rPr>
            </w:pPr>
            <w:r>
              <w:rPr>
                <w:rFonts w:hint="eastAsia" w:ascii="仿宋" w:hAnsi="仿宋" w:eastAsia="仿宋"/>
                <w:color w:val="000000"/>
                <w:sz w:val="24"/>
                <w:szCs w:val="24"/>
              </w:rPr>
              <w:t>4</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kern w:val="2"/>
                <w:sz w:val="24"/>
                <w:szCs w:val="24"/>
                <w:lang w:val="en-US" w:eastAsia="zh-CN" w:bidi="ar-SA"/>
              </w:rPr>
            </w:pPr>
            <w:r>
              <w:rPr>
                <w:rFonts w:hint="eastAsia" w:ascii="仿宋" w:hAnsi="仿宋" w:eastAsia="仿宋"/>
                <w:color w:val="000000"/>
                <w:sz w:val="24"/>
                <w:szCs w:val="24"/>
                <w:lang w:val="en-US" w:eastAsia="zh-CN"/>
              </w:rPr>
              <w:t>柯娜芬</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ascii="仿宋" w:hAnsi="仿宋" w:eastAsia="仿宋"/>
                <w:color w:val="000000"/>
                <w:kern w:val="2"/>
                <w:sz w:val="24"/>
                <w:szCs w:val="24"/>
                <w:lang w:val="en-US" w:eastAsia="zh-CN" w:bidi="ar-SA"/>
              </w:rPr>
            </w:pPr>
            <w:r>
              <w:rPr>
                <w:rFonts w:hint="eastAsia" w:ascii="仿宋" w:hAnsi="仿宋" w:eastAsia="仿宋"/>
                <w:color w:val="000000"/>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olor w:val="000000"/>
                <w:kern w:val="2"/>
                <w:sz w:val="24"/>
                <w:szCs w:val="24"/>
                <w:lang w:val="en-US" w:eastAsia="zh-CN" w:bidi="ar-SA"/>
              </w:rPr>
            </w:pPr>
            <w:r>
              <w:rPr>
                <w:rFonts w:hint="eastAsia" w:ascii="仿宋" w:hAnsi="仿宋" w:eastAsia="仿宋"/>
                <w:color w:val="000000"/>
                <w:sz w:val="24"/>
                <w:szCs w:val="24"/>
                <w:lang w:eastAsia="zh-CN"/>
              </w:rPr>
              <w:t>助理</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olor w:val="000000"/>
                <w:kern w:val="2"/>
                <w:sz w:val="24"/>
                <w:szCs w:val="24"/>
                <w:lang w:val="en-US" w:eastAsia="zh-CN" w:bidi="ar-SA"/>
              </w:rPr>
            </w:pPr>
            <w:r>
              <w:rPr>
                <w:rFonts w:hint="eastAsia" w:ascii="仿宋" w:hAnsi="仿宋" w:eastAsia="仿宋"/>
                <w:color w:val="000000"/>
                <w:sz w:val="24"/>
                <w:szCs w:val="24"/>
                <w:lang w:val="en-US" w:eastAsia="zh-CN"/>
              </w:rPr>
              <w:t>13655966228</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jc w:val="center"/>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4"/>
                <w:lang w:val="en-US" w:eastAsia="zh-CN"/>
              </w:rPr>
              <w:t>5</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kern w:val="2"/>
                <w:sz w:val="24"/>
                <w:szCs w:val="24"/>
                <w:lang w:val="en-US" w:eastAsia="zh-CN" w:bidi="ar-SA"/>
              </w:rPr>
              <w:t>李丽金</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4"/>
                <w:lang w:eastAsia="zh-CN"/>
              </w:rPr>
              <w:t>助理</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4"/>
                <w:lang w:val="en-US" w:eastAsia="zh-CN"/>
              </w:rPr>
              <w:t>18016585305</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0"/>
              <w:jc w:val="center"/>
              <w:textAlignment w:val="auto"/>
              <w:rPr>
                <w:rFonts w:hint="eastAsia" w:ascii="仿宋" w:hAnsi="仿宋" w:eastAsia="仿宋"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4"/>
                <w:lang w:val="en-US" w:eastAsia="zh-CN"/>
              </w:rPr>
              <w:t>6</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4"/>
                <w:lang w:val="en-US" w:eastAsia="zh-CN"/>
              </w:rPr>
              <w:t>孙培煜</w:t>
            </w:r>
          </w:p>
        </w:tc>
        <w:tc>
          <w:tcPr>
            <w:tcW w:w="2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4"/>
              </w:rPr>
              <w:t>福建征安会计师事务所（普通合伙）</w:t>
            </w:r>
          </w:p>
        </w:tc>
        <w:tc>
          <w:tcPr>
            <w:tcW w:w="162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4"/>
                <w:lang w:eastAsia="zh-CN"/>
              </w:rPr>
              <w:t>助理</w:t>
            </w:r>
          </w:p>
        </w:tc>
        <w:tc>
          <w:tcPr>
            <w:tcW w:w="176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仿宋" w:hAnsi="仿宋" w:eastAsia="仿宋" w:cs="Times New Roman"/>
                <w:color w:val="auto"/>
                <w:kern w:val="2"/>
                <w:sz w:val="24"/>
                <w:szCs w:val="24"/>
                <w:lang w:val="en-US" w:eastAsia="zh-CN" w:bidi="ar-SA"/>
              </w:rPr>
            </w:pPr>
            <w:r>
              <w:rPr>
                <w:rFonts w:hint="eastAsia" w:ascii="仿宋" w:hAnsi="仿宋" w:eastAsia="仿宋"/>
                <w:color w:val="auto"/>
                <w:sz w:val="24"/>
                <w:szCs w:val="24"/>
                <w:lang w:val="en-US" w:eastAsia="zh-CN"/>
              </w:rPr>
              <w:t>18876503631</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0"/>
              <w:jc w:val="center"/>
              <w:textAlignment w:val="auto"/>
              <w:rPr>
                <w:rFonts w:ascii="仿宋" w:hAnsi="仿宋" w:eastAsia="仿宋" w:cs="Times New Roman"/>
                <w:color w:val="auto"/>
                <w:kern w:val="2"/>
                <w:sz w:val="24"/>
                <w:szCs w:val="24"/>
                <w:lang w:val="en-US" w:eastAsia="zh-CN" w:bidi="ar-SA"/>
              </w:rPr>
            </w:pPr>
          </w:p>
        </w:tc>
      </w:tr>
    </w:tbl>
    <w:p>
      <w:pPr>
        <w:jc w:val="center"/>
        <w:rPr>
          <w:rFonts w:hint="eastAsia" w:ascii="黑体" w:eastAsia="黑体"/>
          <w:b/>
          <w:color w:val="000000"/>
          <w:sz w:val="44"/>
          <w:szCs w:val="44"/>
        </w:rPr>
      </w:pPr>
    </w:p>
    <w:p>
      <w:pPr>
        <w:jc w:val="center"/>
        <w:rPr>
          <w:rFonts w:hint="eastAsia" w:ascii="黑体" w:eastAsia="黑体"/>
          <w:b/>
          <w:color w:val="000000"/>
          <w:sz w:val="44"/>
          <w:szCs w:val="44"/>
        </w:rPr>
      </w:pPr>
    </w:p>
    <w:p>
      <w:pPr>
        <w:jc w:val="center"/>
        <w:rPr>
          <w:rFonts w:hint="eastAsia" w:ascii="黑体" w:eastAsia="黑体"/>
          <w:b/>
          <w:color w:val="000000"/>
          <w:sz w:val="44"/>
          <w:szCs w:val="44"/>
        </w:rPr>
      </w:pPr>
    </w:p>
    <w:p>
      <w:pPr>
        <w:jc w:val="center"/>
        <w:rPr>
          <w:rFonts w:hint="eastAsia" w:ascii="黑体" w:eastAsia="黑体"/>
          <w:b/>
          <w:color w:val="000000"/>
          <w:sz w:val="44"/>
          <w:szCs w:val="44"/>
        </w:rPr>
      </w:pPr>
    </w:p>
    <w:p>
      <w:pPr>
        <w:jc w:val="center"/>
        <w:rPr>
          <w:rFonts w:hint="eastAsia" w:ascii="黑体" w:eastAsia="黑体"/>
          <w:b/>
          <w:color w:val="000000"/>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center"/>
        <w:rPr>
          <w:rFonts w:hint="eastAsia" w:ascii="黑体" w:eastAsia="黑体"/>
          <w:b/>
          <w:color w:val="auto"/>
          <w:sz w:val="44"/>
          <w:szCs w:val="44"/>
        </w:rPr>
      </w:pPr>
    </w:p>
    <w:p>
      <w:pPr>
        <w:jc w:val="both"/>
        <w:rPr>
          <w:rFonts w:hint="eastAsia" w:ascii="黑体" w:eastAsia="黑体"/>
          <w:color w:val="auto"/>
          <w:sz w:val="28"/>
          <w:szCs w:val="28"/>
        </w:rPr>
      </w:pPr>
    </w:p>
    <w:p>
      <w:pPr>
        <w:jc w:val="center"/>
        <w:rPr>
          <w:rFonts w:hint="eastAsia" w:ascii="黑体" w:eastAsia="黑体"/>
          <w:color w:val="000000"/>
          <w:sz w:val="28"/>
          <w:szCs w:val="28"/>
        </w:rPr>
      </w:pPr>
      <w:r>
        <w:rPr>
          <w:rFonts w:hint="eastAsia" w:ascii="黑体" w:eastAsia="黑体"/>
          <w:color w:val="000000"/>
          <w:sz w:val="28"/>
          <w:szCs w:val="28"/>
        </w:rPr>
        <w:t>目  录</w:t>
      </w:r>
    </w:p>
    <w:p>
      <w:pPr>
        <w:spacing w:line="360" w:lineRule="auto"/>
        <w:jc w:val="center"/>
        <w:rPr>
          <w:rFonts w:hint="eastAsia" w:ascii="宋体" w:hAnsi="宋体"/>
          <w:b/>
          <w:color w:val="000000"/>
          <w:sz w:val="24"/>
        </w:rPr>
      </w:pPr>
    </w:p>
    <w:p>
      <w:pPr>
        <w:pStyle w:val="10"/>
        <w:tabs>
          <w:tab w:val="right" w:leader="dot" w:pos="8504"/>
          <w:tab w:val="clear" w:pos="8777"/>
        </w:tabs>
        <w:spacing w:line="360" w:lineRule="auto"/>
        <w:rPr>
          <w:rFonts w:hint="eastAsia" w:ascii="宋体" w:hAnsi="宋体" w:eastAsia="宋体" w:cs="宋体"/>
          <w:color w:val="000000"/>
          <w:sz w:val="24"/>
          <w:szCs w:val="24"/>
        </w:rPr>
      </w:pPr>
      <w:r>
        <w:rPr>
          <w:rFonts w:ascii="宋体" w:hAnsi="宋体"/>
          <w:b/>
          <w:color w:val="000000"/>
          <w:sz w:val="24"/>
          <w:szCs w:val="24"/>
        </w:rPr>
        <w:fldChar w:fldCharType="begin"/>
      </w:r>
      <w:r>
        <w:rPr>
          <w:rFonts w:ascii="宋体" w:hAnsi="宋体"/>
          <w:b/>
          <w:color w:val="000000"/>
          <w:sz w:val="24"/>
          <w:szCs w:val="24"/>
        </w:rPr>
        <w:instrText xml:space="preserve"> TOC \o "1-2" \h \z \u </w:instrText>
      </w:r>
      <w:r>
        <w:rPr>
          <w:rFonts w:ascii="宋体" w:hAnsi="宋体"/>
          <w:b/>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_Toc10861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rPr>
        <w:t>一、基本</w:t>
      </w:r>
      <w:r>
        <w:rPr>
          <w:rFonts w:hint="eastAsia" w:ascii="宋体" w:hAnsi="宋体" w:eastAsia="宋体" w:cs="宋体"/>
          <w:color w:val="000000"/>
          <w:kern w:val="0"/>
          <w:sz w:val="24"/>
          <w:szCs w:val="24"/>
          <w:lang w:eastAsia="zh-CN"/>
        </w:rPr>
        <w:t>情</w:t>
      </w:r>
      <w:r>
        <w:rPr>
          <w:rFonts w:hint="eastAsia" w:ascii="宋体" w:hAnsi="宋体" w:eastAsia="宋体" w:cs="宋体"/>
          <w:color w:val="000000"/>
          <w:kern w:val="0"/>
          <w:sz w:val="24"/>
          <w:szCs w:val="24"/>
        </w:rPr>
        <w:t>况</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_Toc10861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_Toc26259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lang w:bidi="ar"/>
        </w:rPr>
        <w:t>（一）项目</w:t>
      </w:r>
      <w:r>
        <w:rPr>
          <w:rFonts w:hint="eastAsia" w:ascii="宋体" w:hAnsi="宋体" w:eastAsia="宋体" w:cs="宋体"/>
          <w:color w:val="000000"/>
          <w:kern w:val="0"/>
          <w:sz w:val="24"/>
          <w:szCs w:val="24"/>
          <w:lang w:eastAsia="zh-CN" w:bidi="ar"/>
        </w:rPr>
        <w:t>概况</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_Toc26259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_Toc8558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lang w:bidi="ar"/>
        </w:rPr>
        <w:t>（二）</w:t>
      </w:r>
      <w:r>
        <w:rPr>
          <w:rFonts w:hint="eastAsia" w:ascii="宋体" w:hAnsi="宋体" w:eastAsia="宋体" w:cs="宋体"/>
          <w:color w:val="000000"/>
          <w:kern w:val="0"/>
          <w:sz w:val="24"/>
          <w:szCs w:val="24"/>
          <w:lang w:eastAsia="zh-CN" w:bidi="ar"/>
        </w:rPr>
        <w:t>项目绩效目标</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_Toc8558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0"/>
        <w:tabs>
          <w:tab w:val="right" w:leader="dot" w:pos="8504"/>
          <w:tab w:val="clear" w:pos="8777"/>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_Toc11881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rPr>
        <w:t>二、绩效评价工作开展情况</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_Toc27780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lang w:bidi="ar"/>
        </w:rPr>
        <w:t>（一）绩效评价目的、对象和范围</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_Toc27134 </w:instrText>
      </w:r>
      <w:r>
        <w:rPr>
          <w:rFonts w:hint="eastAsia" w:ascii="宋体" w:hAnsi="宋体" w:eastAsia="宋体" w:cs="宋体"/>
          <w:color w:val="000000"/>
          <w:sz w:val="24"/>
          <w:szCs w:val="24"/>
        </w:rPr>
        <w:fldChar w:fldCharType="separate"/>
      </w:r>
      <w:r>
        <w:rPr>
          <w:rFonts w:hint="eastAsia" w:ascii="宋体" w:hAnsi="宋体" w:eastAsia="宋体" w:cs="宋体"/>
          <w:bCs w:val="0"/>
          <w:color w:val="000000"/>
          <w:sz w:val="24"/>
          <w:szCs w:val="24"/>
          <w:lang w:val="en-US" w:eastAsia="zh-CN"/>
        </w:rPr>
        <w:t>（二）绩效评价指标确定原则</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_Toc21861 </w:instrText>
      </w:r>
      <w:r>
        <w:rPr>
          <w:rFonts w:hint="eastAsia" w:ascii="宋体" w:hAnsi="宋体" w:eastAsia="宋体" w:cs="宋体"/>
          <w:color w:val="000000"/>
          <w:sz w:val="24"/>
          <w:szCs w:val="24"/>
        </w:rPr>
        <w:fldChar w:fldCharType="separate"/>
      </w:r>
      <w:r>
        <w:rPr>
          <w:rFonts w:hint="eastAsia" w:ascii="宋体" w:hAnsi="宋体" w:eastAsia="宋体" w:cs="宋体"/>
          <w:bCs w:val="0"/>
          <w:color w:val="000000"/>
          <w:sz w:val="24"/>
          <w:szCs w:val="24"/>
          <w:lang w:val="en-US" w:eastAsia="zh-CN"/>
        </w:rPr>
        <w:t>（三）评价方法及评价标准</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_Toc1568 </w:instrText>
      </w:r>
      <w:r>
        <w:rPr>
          <w:rFonts w:hint="eastAsia" w:ascii="宋体" w:hAnsi="宋体" w:eastAsia="宋体" w:cs="宋体"/>
          <w:color w:val="000000"/>
          <w:sz w:val="24"/>
          <w:szCs w:val="24"/>
        </w:rPr>
        <w:fldChar w:fldCharType="separate"/>
      </w:r>
      <w:r>
        <w:rPr>
          <w:rFonts w:hint="eastAsia" w:ascii="宋体" w:hAnsi="宋体" w:eastAsia="宋体" w:cs="宋体"/>
          <w:bCs w:val="0"/>
          <w:color w:val="000000"/>
          <w:sz w:val="24"/>
          <w:szCs w:val="24"/>
          <w:lang w:val="en-US" w:eastAsia="zh-CN"/>
        </w:rPr>
        <w:t>（四）评价指标体系及评分标准</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_Toc32714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五</w:t>
      </w:r>
      <w:r>
        <w:rPr>
          <w:rFonts w:hint="eastAsia" w:ascii="宋体" w:hAnsi="宋体" w:eastAsia="宋体" w:cs="宋体"/>
          <w:color w:val="000000"/>
          <w:kern w:val="0"/>
          <w:sz w:val="24"/>
          <w:szCs w:val="24"/>
          <w:lang w:bidi="ar"/>
        </w:rPr>
        <w:t>）绩效评价工作过程</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fldChar w:fldCharType="end"/>
      </w:r>
    </w:p>
    <w:p>
      <w:pPr>
        <w:pStyle w:val="10"/>
        <w:tabs>
          <w:tab w:val="right" w:leader="dot" w:pos="8504"/>
          <w:tab w:val="clear" w:pos="8777"/>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_Toc298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rPr>
        <w:t>三、</w:t>
      </w:r>
      <w:r>
        <w:rPr>
          <w:rFonts w:hint="eastAsia" w:ascii="宋体" w:hAnsi="宋体" w:eastAsia="宋体" w:cs="宋体"/>
          <w:color w:val="000000"/>
          <w:kern w:val="0"/>
          <w:sz w:val="24"/>
          <w:szCs w:val="24"/>
          <w:lang w:eastAsia="zh-CN"/>
        </w:rPr>
        <w:t>综合评价及评价结论</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fldChar w:fldCharType="end"/>
      </w:r>
    </w:p>
    <w:p>
      <w:pPr>
        <w:pStyle w:val="10"/>
        <w:tabs>
          <w:tab w:val="right" w:leader="dot" w:pos="8504"/>
          <w:tab w:val="clear" w:pos="8777"/>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_Toc15395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rPr>
        <w:t>四、绩效评价指标分析</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_Toc28508 </w:instrText>
      </w:r>
      <w:r>
        <w:rPr>
          <w:rFonts w:hint="eastAsia" w:ascii="宋体" w:hAnsi="宋体" w:eastAsia="宋体" w:cs="宋体"/>
          <w:color w:val="000000"/>
          <w:sz w:val="24"/>
          <w:szCs w:val="24"/>
        </w:rPr>
        <w:fldChar w:fldCharType="separate"/>
      </w:r>
      <w:r>
        <w:rPr>
          <w:rFonts w:hint="eastAsia" w:ascii="宋体" w:hAnsi="宋体" w:eastAsia="宋体" w:cs="宋体"/>
          <w:bCs w:val="0"/>
          <w:color w:val="000000"/>
          <w:sz w:val="24"/>
          <w:szCs w:val="24"/>
        </w:rPr>
        <w:t>（一）项目决策情况</w:t>
      </w:r>
      <w:r>
        <w:rPr>
          <w:rFonts w:hint="eastAsia" w:ascii="宋体" w:hAnsi="宋体" w:eastAsia="宋体" w:cs="宋体"/>
          <w:bCs w:val="0"/>
          <w:color w:val="000000"/>
          <w:sz w:val="24"/>
          <w:szCs w:val="24"/>
          <w:lang w:eastAsia="zh-CN"/>
        </w:rPr>
        <w:t>（分值</w:t>
      </w:r>
      <w:r>
        <w:rPr>
          <w:rFonts w:hint="eastAsia" w:ascii="宋体" w:hAnsi="宋体" w:eastAsia="宋体" w:cs="宋体"/>
          <w:bCs w:val="0"/>
          <w:color w:val="000000"/>
          <w:sz w:val="24"/>
          <w:szCs w:val="24"/>
          <w:lang w:val="en-US" w:eastAsia="zh-CN"/>
        </w:rPr>
        <w:t>22分，得分1</w:t>
      </w:r>
      <w:r>
        <w:rPr>
          <w:rFonts w:hint="eastAsia" w:ascii="宋体" w:hAnsi="宋体" w:cs="宋体"/>
          <w:bCs w:val="0"/>
          <w:color w:val="000000"/>
          <w:sz w:val="24"/>
          <w:szCs w:val="24"/>
          <w:lang w:val="en-US" w:eastAsia="zh-CN"/>
        </w:rPr>
        <w:t>9</w:t>
      </w:r>
      <w:r>
        <w:rPr>
          <w:rFonts w:hint="eastAsia" w:ascii="宋体" w:hAnsi="宋体" w:eastAsia="宋体" w:cs="宋体"/>
          <w:bCs w:val="0"/>
          <w:color w:val="000000"/>
          <w:sz w:val="24"/>
          <w:szCs w:val="24"/>
          <w:lang w:val="en-US" w:eastAsia="zh-CN"/>
        </w:rPr>
        <w:t>分）</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_Toc1270 </w:instrText>
      </w:r>
      <w:r>
        <w:rPr>
          <w:rFonts w:hint="eastAsia" w:ascii="宋体" w:hAnsi="宋体" w:eastAsia="宋体" w:cs="宋体"/>
          <w:color w:val="000000"/>
          <w:sz w:val="24"/>
          <w:szCs w:val="24"/>
        </w:rPr>
        <w:fldChar w:fldCharType="separate"/>
      </w:r>
      <w:r>
        <w:rPr>
          <w:rFonts w:hint="eastAsia" w:ascii="宋体" w:hAnsi="宋体" w:eastAsia="宋体" w:cs="宋体"/>
          <w:bCs w:val="0"/>
          <w:color w:val="000000"/>
          <w:sz w:val="24"/>
          <w:szCs w:val="24"/>
        </w:rPr>
        <w:t>（二）项目过程情况</w:t>
      </w:r>
      <w:r>
        <w:rPr>
          <w:rFonts w:hint="eastAsia" w:ascii="宋体" w:hAnsi="宋体" w:eastAsia="宋体" w:cs="宋体"/>
          <w:bCs w:val="0"/>
          <w:color w:val="000000"/>
          <w:sz w:val="24"/>
          <w:szCs w:val="24"/>
          <w:lang w:eastAsia="zh-CN"/>
        </w:rPr>
        <w:t>（分值</w:t>
      </w:r>
      <w:r>
        <w:rPr>
          <w:rFonts w:hint="eastAsia" w:ascii="宋体" w:hAnsi="宋体" w:eastAsia="宋体" w:cs="宋体"/>
          <w:bCs w:val="0"/>
          <w:color w:val="000000"/>
          <w:sz w:val="24"/>
          <w:szCs w:val="24"/>
          <w:lang w:val="en-US" w:eastAsia="zh-CN"/>
        </w:rPr>
        <w:t>20分，得分1</w:t>
      </w:r>
      <w:r>
        <w:rPr>
          <w:rFonts w:hint="eastAsia" w:ascii="宋体" w:hAnsi="宋体" w:cs="宋体"/>
          <w:bCs w:val="0"/>
          <w:color w:val="000000"/>
          <w:sz w:val="24"/>
          <w:szCs w:val="24"/>
          <w:lang w:val="en-US" w:eastAsia="zh-CN"/>
        </w:rPr>
        <w:t>8</w:t>
      </w:r>
      <w:r>
        <w:rPr>
          <w:rFonts w:hint="eastAsia" w:ascii="宋体" w:hAnsi="宋体" w:eastAsia="宋体" w:cs="宋体"/>
          <w:bCs w:val="0"/>
          <w:color w:val="000000"/>
          <w:sz w:val="24"/>
          <w:szCs w:val="24"/>
          <w:lang w:val="en-US" w:eastAsia="zh-CN"/>
        </w:rPr>
        <w:t>分）</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_Toc25415 </w:instrText>
      </w:r>
      <w:r>
        <w:rPr>
          <w:rFonts w:hint="eastAsia" w:ascii="宋体" w:hAnsi="宋体" w:eastAsia="宋体" w:cs="宋体"/>
          <w:color w:val="000000"/>
          <w:sz w:val="24"/>
          <w:szCs w:val="24"/>
        </w:rPr>
        <w:fldChar w:fldCharType="separate"/>
      </w:r>
      <w:r>
        <w:rPr>
          <w:rFonts w:hint="eastAsia" w:ascii="宋体" w:hAnsi="宋体" w:eastAsia="宋体" w:cs="宋体"/>
          <w:bCs w:val="0"/>
          <w:color w:val="000000"/>
          <w:sz w:val="24"/>
          <w:szCs w:val="24"/>
        </w:rPr>
        <w:t>（三）项目产出情况</w:t>
      </w:r>
      <w:r>
        <w:rPr>
          <w:rFonts w:hint="eastAsia" w:ascii="宋体" w:hAnsi="宋体" w:eastAsia="宋体" w:cs="宋体"/>
          <w:bCs w:val="0"/>
          <w:color w:val="000000"/>
          <w:sz w:val="24"/>
          <w:szCs w:val="24"/>
          <w:lang w:eastAsia="zh-CN"/>
        </w:rPr>
        <w:t>（分值</w:t>
      </w:r>
      <w:r>
        <w:rPr>
          <w:rFonts w:hint="eastAsia" w:ascii="宋体" w:hAnsi="宋体" w:eastAsia="宋体" w:cs="宋体"/>
          <w:bCs w:val="0"/>
          <w:color w:val="000000"/>
          <w:sz w:val="24"/>
          <w:szCs w:val="24"/>
          <w:lang w:val="en-US" w:eastAsia="zh-CN"/>
        </w:rPr>
        <w:t>30分，得分30分）</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_Toc9262 </w:instrText>
      </w:r>
      <w:r>
        <w:rPr>
          <w:rFonts w:hint="eastAsia" w:ascii="宋体" w:hAnsi="宋体" w:eastAsia="宋体" w:cs="宋体"/>
          <w:color w:val="000000"/>
          <w:sz w:val="24"/>
          <w:szCs w:val="24"/>
        </w:rPr>
        <w:fldChar w:fldCharType="separate"/>
      </w:r>
      <w:r>
        <w:rPr>
          <w:rFonts w:hint="eastAsia" w:ascii="宋体" w:hAnsi="宋体" w:eastAsia="宋体" w:cs="宋体"/>
          <w:bCs w:val="0"/>
          <w:color w:val="000000"/>
          <w:sz w:val="24"/>
          <w:szCs w:val="24"/>
        </w:rPr>
        <w:t>（四）项目效益情况</w:t>
      </w:r>
      <w:r>
        <w:rPr>
          <w:rFonts w:hint="eastAsia" w:ascii="宋体" w:hAnsi="宋体" w:eastAsia="宋体" w:cs="宋体"/>
          <w:bCs w:val="0"/>
          <w:color w:val="000000"/>
          <w:sz w:val="24"/>
          <w:szCs w:val="24"/>
          <w:lang w:eastAsia="zh-CN"/>
        </w:rPr>
        <w:t>（分值</w:t>
      </w:r>
      <w:r>
        <w:rPr>
          <w:rFonts w:hint="eastAsia" w:ascii="宋体" w:hAnsi="宋体" w:eastAsia="宋体" w:cs="宋体"/>
          <w:bCs w:val="0"/>
          <w:color w:val="000000"/>
          <w:sz w:val="24"/>
          <w:szCs w:val="24"/>
          <w:lang w:val="en-US" w:eastAsia="zh-CN"/>
        </w:rPr>
        <w:t>28分，得分24分）</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fldChar w:fldCharType="end"/>
      </w:r>
      <w:r>
        <w:rPr>
          <w:rFonts w:hint="eastAsia" w:ascii="宋体" w:hAnsi="宋体" w:cs="宋体"/>
          <w:color w:val="000000"/>
          <w:sz w:val="24"/>
          <w:szCs w:val="24"/>
          <w:lang w:val="en-US" w:eastAsia="zh-CN"/>
        </w:rPr>
        <w:t>1</w:t>
      </w:r>
    </w:p>
    <w:p>
      <w:pPr>
        <w:pStyle w:val="10"/>
        <w:tabs>
          <w:tab w:val="right" w:leader="dot" w:pos="8504"/>
          <w:tab w:val="clear" w:pos="8777"/>
        </w:tabs>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_Toc25177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rPr>
        <w:t>五、</w:t>
      </w:r>
      <w:r>
        <w:rPr>
          <w:rFonts w:hint="eastAsia" w:ascii="宋体" w:hAnsi="宋体" w:eastAsia="宋体" w:cs="宋体"/>
          <w:color w:val="000000"/>
          <w:kern w:val="0"/>
          <w:sz w:val="24"/>
          <w:szCs w:val="24"/>
          <w:lang w:eastAsia="zh-CN"/>
        </w:rPr>
        <w:t>主要成效、</w:t>
      </w:r>
      <w:r>
        <w:rPr>
          <w:rFonts w:hint="eastAsia" w:ascii="宋体" w:hAnsi="宋体" w:eastAsia="宋体" w:cs="宋体"/>
          <w:color w:val="000000"/>
          <w:kern w:val="0"/>
          <w:sz w:val="24"/>
          <w:szCs w:val="24"/>
        </w:rPr>
        <w:t>存在问题及原因分析</w:t>
      </w: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lang w:val="en-US" w:eastAsia="zh-CN"/>
        </w:rPr>
        <w:t>2</w:t>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_Toc10211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lang w:bidi="ar"/>
        </w:rPr>
        <w:t>（一）主要成效</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_Toc10211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12</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_Toc3854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lang w:bidi="ar"/>
        </w:rPr>
        <w:t>（二）存在问题及原因分析</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_Toc3854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12</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0"/>
        <w:tabs>
          <w:tab w:val="right" w:leader="dot" w:pos="8504"/>
          <w:tab w:val="clear" w:pos="8777"/>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_Toc19045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rPr>
        <w:t>六、</w:t>
      </w:r>
      <w:r>
        <w:rPr>
          <w:rFonts w:hint="eastAsia" w:ascii="宋体" w:hAnsi="宋体" w:eastAsia="宋体" w:cs="宋体"/>
          <w:color w:val="000000"/>
          <w:kern w:val="0"/>
          <w:sz w:val="24"/>
          <w:szCs w:val="24"/>
          <w:lang w:eastAsia="zh-CN"/>
        </w:rPr>
        <w:t>改进</w:t>
      </w:r>
      <w:r>
        <w:rPr>
          <w:rFonts w:hint="eastAsia" w:ascii="宋体" w:hAnsi="宋体" w:eastAsia="宋体" w:cs="宋体"/>
          <w:color w:val="000000"/>
          <w:kern w:val="0"/>
          <w:sz w:val="24"/>
          <w:szCs w:val="24"/>
        </w:rPr>
        <w:t>建议</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_Toc19045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13</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_Toc15691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lang w:val="en-US" w:eastAsia="zh-CN"/>
        </w:rPr>
        <w:t>（一）</w:t>
      </w:r>
      <w:r>
        <w:rPr>
          <w:rFonts w:hint="eastAsia" w:ascii="宋体" w:hAnsi="宋体" w:eastAsia="宋体" w:cs="宋体"/>
          <w:b w:val="0"/>
          <w:bCs w:val="0"/>
          <w:color w:val="000000"/>
          <w:sz w:val="24"/>
          <w:szCs w:val="24"/>
          <w:lang w:val="en-US" w:eastAsia="zh-CN"/>
        </w:rPr>
        <w:t>加强资金管理，提高资金使用效能</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_Toc15691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13</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_Toc20362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lang w:val="en-US" w:eastAsia="zh-CN"/>
        </w:rPr>
        <w:t>（二）</w:t>
      </w:r>
      <w:r>
        <w:rPr>
          <w:rFonts w:hint="eastAsia" w:ascii="宋体" w:hAnsi="宋体" w:cs="宋体"/>
          <w:b w:val="0"/>
          <w:bCs w:val="0"/>
          <w:color w:val="000000"/>
          <w:kern w:val="2"/>
          <w:sz w:val="24"/>
          <w:szCs w:val="24"/>
          <w:lang w:val="en-US" w:eastAsia="zh-CN" w:bidi="ar-SA"/>
        </w:rPr>
        <w:t>建立健全项目管理制度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_Toc20362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13</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8504"/>
        </w:tabs>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lang w:eastAsia="zh-CN"/>
        </w:rPr>
        <w:t>）</w:t>
      </w:r>
      <w:r>
        <w:rPr>
          <w:rFonts w:hint="eastAsia" w:ascii="宋体" w:hAnsi="宋体" w:eastAsia="宋体" w:cs="宋体"/>
          <w:color w:val="000000"/>
          <w:sz w:val="24"/>
          <w:lang w:val="en-US" w:eastAsia="zh-CN"/>
        </w:rPr>
        <w:t>加强预算项目绩效管理，提高项目绩效管理水平</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_Toc20362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13</w:t>
      </w:r>
      <w:r>
        <w:rPr>
          <w:rFonts w:hint="eastAsia" w:ascii="宋体" w:hAnsi="宋体" w:eastAsia="宋体" w:cs="宋体"/>
          <w:color w:val="000000"/>
          <w:sz w:val="24"/>
          <w:szCs w:val="24"/>
        </w:rPr>
        <w:fldChar w:fldCharType="end"/>
      </w:r>
    </w:p>
    <w:p>
      <w:pPr>
        <w:pStyle w:val="10"/>
        <w:tabs>
          <w:tab w:val="right" w:leader="dot" w:pos="8504"/>
          <w:tab w:val="clear" w:pos="8777"/>
        </w:tabs>
        <w:spacing w:line="360" w:lineRule="auto"/>
        <w:rPr>
          <w:color w:val="000000"/>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_Toc2797 </w:instrText>
      </w:r>
      <w:r>
        <w:rPr>
          <w:rFonts w:hint="eastAsia" w:ascii="宋体" w:hAnsi="宋体" w:eastAsia="宋体" w:cs="宋体"/>
          <w:color w:val="000000"/>
          <w:sz w:val="24"/>
          <w:szCs w:val="24"/>
        </w:rPr>
        <w:fldChar w:fldCharType="separate"/>
      </w:r>
      <w:r>
        <w:rPr>
          <w:rFonts w:hint="eastAsia" w:ascii="宋体" w:hAnsi="宋体" w:eastAsia="宋体" w:cs="宋体"/>
          <w:color w:val="000000"/>
          <w:kern w:val="0"/>
          <w:sz w:val="24"/>
          <w:szCs w:val="24"/>
        </w:rPr>
        <w:t>七、</w:t>
      </w:r>
      <w:r>
        <w:rPr>
          <w:rFonts w:hint="eastAsia" w:ascii="宋体" w:hAnsi="宋体" w:eastAsia="宋体" w:cs="宋体"/>
          <w:color w:val="000000"/>
          <w:kern w:val="0"/>
          <w:sz w:val="24"/>
          <w:szCs w:val="24"/>
          <w:lang w:eastAsia="zh-CN"/>
        </w:rPr>
        <w:t>其他需要说明的问题</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_Toc2797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tabs>
          <w:tab w:val="center" w:pos="4393"/>
          <w:tab w:val="left" w:pos="7914"/>
          <w:tab w:val="right" w:pos="8787"/>
        </w:tabs>
        <w:spacing w:line="360" w:lineRule="auto"/>
        <w:jc w:val="left"/>
        <w:rPr>
          <w:rFonts w:ascii="宋体" w:hAnsi="宋体"/>
          <w:b/>
          <w:color w:val="FF0000"/>
          <w:sz w:val="24"/>
        </w:rPr>
      </w:pPr>
      <w:r>
        <w:rPr>
          <w:rFonts w:ascii="宋体" w:hAnsi="宋体"/>
          <w:color w:val="000000"/>
          <w:szCs w:val="24"/>
        </w:rPr>
        <w:fldChar w:fldCharType="end"/>
      </w:r>
      <w:r>
        <w:rPr>
          <w:rFonts w:ascii="宋体" w:hAnsi="宋体"/>
          <w:b/>
          <w:color w:val="FF0000"/>
          <w:sz w:val="24"/>
        </w:rPr>
        <w:tab/>
      </w:r>
    </w:p>
    <w:p>
      <w:pPr>
        <w:tabs>
          <w:tab w:val="center" w:pos="4393"/>
          <w:tab w:val="left" w:pos="7914"/>
          <w:tab w:val="right" w:pos="8787"/>
        </w:tabs>
        <w:spacing w:line="360" w:lineRule="auto"/>
        <w:jc w:val="left"/>
        <w:rPr>
          <w:rFonts w:ascii="宋体" w:hAnsi="宋体"/>
          <w:b/>
          <w:color w:val="FF0000"/>
          <w:sz w:val="24"/>
        </w:rPr>
      </w:pPr>
    </w:p>
    <w:p>
      <w:pPr>
        <w:jc w:val="both"/>
        <w:rPr>
          <w:rFonts w:hint="eastAsia" w:ascii="宋体" w:hAnsi="宋体" w:eastAsia="宋体" w:cs="Times New Roman"/>
          <w:b/>
          <w:color w:val="FF0000"/>
          <w:sz w:val="30"/>
          <w:szCs w:val="30"/>
          <w:lang w:val="en-US" w:eastAsia="zh-CN"/>
        </w:rPr>
        <w:sectPr>
          <w:footerReference r:id="rId3" w:type="default"/>
          <w:pgSz w:w="11906" w:h="16838"/>
          <w:pgMar w:top="1418" w:right="1701" w:bottom="1418" w:left="1701" w:header="851" w:footer="992" w:gutter="0"/>
          <w:pgNumType w:fmt="decimal"/>
          <w:cols w:space="720" w:num="1"/>
          <w:docGrid w:type="lines" w:linePitch="312" w:charSpace="0"/>
        </w:sectPr>
      </w:pPr>
    </w:p>
    <w:p>
      <w:pPr>
        <w:ind w:firstLine="480"/>
        <w:jc w:val="center"/>
        <w:rPr>
          <w:rFonts w:hint="default" w:ascii="宋体" w:hAnsi="宋体" w:eastAsia="宋体" w:cs="Times New Roman"/>
          <w:b/>
          <w:color w:val="auto"/>
          <w:sz w:val="30"/>
          <w:szCs w:val="30"/>
          <w:lang w:val="en-US" w:eastAsia="zh-CN"/>
        </w:rPr>
      </w:pPr>
      <w:r>
        <w:rPr>
          <w:rFonts w:hint="eastAsia" w:ascii="宋体" w:hAnsi="宋体" w:eastAsia="宋体" w:cs="Times New Roman"/>
          <w:b/>
          <w:color w:val="auto"/>
          <w:sz w:val="30"/>
          <w:szCs w:val="30"/>
          <w:lang w:val="en-US" w:eastAsia="zh-CN"/>
        </w:rPr>
        <w:t>2021年度泉州市洛江区粮食风险基金</w:t>
      </w:r>
      <w:r>
        <w:rPr>
          <w:rFonts w:hint="eastAsia" w:ascii="宋体" w:hAnsi="宋体" w:cs="Times New Roman"/>
          <w:b/>
          <w:color w:val="auto"/>
          <w:sz w:val="30"/>
          <w:szCs w:val="30"/>
          <w:lang w:val="en-US" w:eastAsia="zh-CN"/>
        </w:rPr>
        <w:t>项目</w:t>
      </w:r>
    </w:p>
    <w:p>
      <w:pPr>
        <w:ind w:firstLine="480"/>
        <w:jc w:val="center"/>
        <w:rPr>
          <w:rFonts w:hint="eastAsia"/>
          <w:color w:val="auto"/>
        </w:rPr>
      </w:pPr>
      <w:r>
        <w:rPr>
          <w:rFonts w:hint="eastAsia" w:ascii="宋体" w:hAnsi="宋体" w:eastAsia="宋体" w:cs="Times New Roman"/>
          <w:b/>
          <w:color w:val="auto"/>
          <w:sz w:val="30"/>
          <w:szCs w:val="30"/>
          <w:lang w:val="en-US" w:eastAsia="zh-CN"/>
        </w:rPr>
        <w:t>绩效评价报告</w:t>
      </w:r>
    </w:p>
    <w:p>
      <w:pPr>
        <w:spacing w:line="360" w:lineRule="auto"/>
        <w:ind w:firstLine="480" w:firstLineChars="200"/>
        <w:rPr>
          <w:rFonts w:hint="eastAsia" w:ascii="宋体" w:hAnsi="宋体" w:eastAsia="宋体" w:cs="Times New Roman"/>
          <w:color w:val="auto"/>
          <w:sz w:val="24"/>
          <w:szCs w:val="22"/>
        </w:rPr>
      </w:pPr>
      <w:r>
        <w:rPr>
          <w:rFonts w:hint="eastAsia" w:ascii="宋体" w:hAnsi="宋体" w:eastAsia="宋体" w:cs="Times New Roman"/>
          <w:color w:val="auto"/>
          <w:sz w:val="24"/>
          <w:szCs w:val="22"/>
        </w:rPr>
        <w:t>为加强财政资金管理，强化支出责任，提高财政资金的使用效益，建立科学、合理的财政支出绩效评价管理体系，根据</w:t>
      </w:r>
      <w:r>
        <w:rPr>
          <w:rFonts w:hint="eastAsia" w:ascii="宋体" w:hAnsi="宋体"/>
          <w:sz w:val="24"/>
          <w:szCs w:val="22"/>
          <w:highlight w:val="none"/>
        </w:rPr>
        <w:t>《</w:t>
      </w:r>
      <w:r>
        <w:rPr>
          <w:rFonts w:hint="eastAsia" w:ascii="宋体" w:hAnsi="宋体"/>
          <w:color w:val="000000"/>
          <w:sz w:val="24"/>
          <w:szCs w:val="22"/>
          <w:highlight w:val="none"/>
          <w:lang w:eastAsia="zh-CN"/>
        </w:rPr>
        <w:t>关于开展洛江区预算绩效重点（整体）评价项目绩效评价工作的通知</w:t>
      </w:r>
      <w:r>
        <w:rPr>
          <w:rFonts w:hint="eastAsia" w:ascii="宋体" w:hAnsi="宋体"/>
          <w:color w:val="000000"/>
          <w:sz w:val="24"/>
          <w:szCs w:val="22"/>
          <w:highlight w:val="none"/>
        </w:rPr>
        <w:t>》</w:t>
      </w:r>
      <w:r>
        <w:rPr>
          <w:rFonts w:hint="eastAsia" w:ascii="宋体" w:hAnsi="宋体" w:eastAsia="宋体" w:cs="Times New Roman"/>
          <w:color w:val="000000"/>
          <w:sz w:val="24"/>
          <w:szCs w:val="22"/>
        </w:rPr>
        <w:t>及</w:t>
      </w:r>
      <w:r>
        <w:rPr>
          <w:rFonts w:hint="eastAsia" w:ascii="宋体" w:hAnsi="宋体" w:eastAsia="宋体" w:cs="Times New Roman"/>
          <w:color w:val="auto"/>
          <w:sz w:val="24"/>
          <w:szCs w:val="22"/>
        </w:rPr>
        <w:t>文件有关规定，福建征安会计师事务所（普通合伙）接</w:t>
      </w:r>
      <w:r>
        <w:rPr>
          <w:rFonts w:hint="eastAsia" w:ascii="宋体" w:hAnsi="宋体" w:eastAsia="宋体" w:cs="Times New Roman"/>
          <w:color w:val="auto"/>
          <w:sz w:val="24"/>
          <w:szCs w:val="22"/>
          <w:lang w:val="en-US" w:eastAsia="zh-CN"/>
        </w:rPr>
        <w:t>受泉州市洛江区</w:t>
      </w:r>
      <w:r>
        <w:rPr>
          <w:rFonts w:hint="eastAsia" w:ascii="宋体" w:hAnsi="宋体" w:eastAsia="宋体" w:cs="Times New Roman"/>
          <w:color w:val="auto"/>
          <w:sz w:val="24"/>
          <w:szCs w:val="22"/>
        </w:rPr>
        <w:t>财政局委托组建绩效评价工作小组，对</w:t>
      </w:r>
      <w:r>
        <w:rPr>
          <w:rFonts w:hint="eastAsia" w:ascii="宋体" w:hAnsi="宋体" w:eastAsia="宋体" w:cs="Times New Roman"/>
          <w:color w:val="auto"/>
          <w:sz w:val="24"/>
          <w:szCs w:val="22"/>
          <w:lang w:val="en-US" w:eastAsia="zh-CN"/>
        </w:rPr>
        <w:t>泉州市洛江区粮食风险基金项目</w:t>
      </w:r>
      <w:r>
        <w:rPr>
          <w:rFonts w:hint="eastAsia" w:ascii="宋体" w:hAnsi="宋体" w:eastAsia="宋体" w:cs="Times New Roman"/>
          <w:color w:val="auto"/>
          <w:sz w:val="24"/>
          <w:szCs w:val="22"/>
        </w:rPr>
        <w:t>开展绩效评价工作。</w:t>
      </w:r>
    </w:p>
    <w:p>
      <w:pPr>
        <w:spacing w:line="360" w:lineRule="auto"/>
        <w:ind w:firstLine="480" w:firstLineChars="200"/>
        <w:rPr>
          <w:rFonts w:ascii="宋体" w:hAnsi="宋体"/>
          <w:color w:val="FF0000"/>
          <w:sz w:val="24"/>
        </w:rPr>
      </w:pPr>
      <w:r>
        <w:rPr>
          <w:rFonts w:hint="eastAsia" w:ascii="宋体" w:hAnsi="宋体" w:eastAsia="宋体" w:cs="Times New Roman"/>
          <w:color w:val="auto"/>
          <w:sz w:val="24"/>
          <w:szCs w:val="22"/>
        </w:rPr>
        <w:t>本次绩效评价的对象是财政预算下拨的</w:t>
      </w:r>
      <w:r>
        <w:rPr>
          <w:rFonts w:hint="eastAsia" w:ascii="宋体" w:hAnsi="宋体" w:eastAsia="宋体" w:cs="Times New Roman"/>
          <w:color w:val="auto"/>
          <w:sz w:val="24"/>
          <w:szCs w:val="22"/>
          <w:lang w:val="en-US" w:eastAsia="zh-CN"/>
        </w:rPr>
        <w:t>2021</w:t>
      </w:r>
      <w:r>
        <w:rPr>
          <w:rFonts w:hint="eastAsia" w:ascii="宋体" w:hAnsi="宋体" w:eastAsia="宋体" w:cs="Times New Roman"/>
          <w:color w:val="auto"/>
          <w:sz w:val="24"/>
          <w:szCs w:val="22"/>
        </w:rPr>
        <w:t>年度</w:t>
      </w:r>
      <w:r>
        <w:rPr>
          <w:rFonts w:hint="eastAsia" w:ascii="宋体" w:hAnsi="宋体" w:eastAsia="宋体" w:cs="Times New Roman"/>
          <w:color w:val="auto"/>
          <w:sz w:val="24"/>
          <w:szCs w:val="22"/>
          <w:lang w:val="en-US" w:eastAsia="zh-CN"/>
        </w:rPr>
        <w:t>泉州市洛江区粮食风险基金项目560</w:t>
      </w:r>
      <w:r>
        <w:rPr>
          <w:rFonts w:hint="eastAsia" w:ascii="宋体" w:hAnsi="宋体" w:eastAsia="宋体" w:cs="Times New Roman"/>
          <w:color w:val="auto"/>
          <w:sz w:val="24"/>
          <w:szCs w:val="22"/>
          <w:lang w:eastAsia="zh-CN"/>
        </w:rPr>
        <w:t>万元</w:t>
      </w:r>
      <w:r>
        <w:rPr>
          <w:rFonts w:hint="eastAsia" w:ascii="宋体" w:hAnsi="宋体" w:eastAsia="宋体" w:cs="Times New Roman"/>
          <w:color w:val="auto"/>
          <w:sz w:val="24"/>
          <w:szCs w:val="22"/>
        </w:rPr>
        <w:t>。绩效评价工作小组在收集、整理、汇总、分析相关绩效评价资料的基础上，通过</w:t>
      </w:r>
      <w:r>
        <w:rPr>
          <w:rFonts w:hint="eastAsia" w:ascii="宋体" w:hAnsi="宋体" w:eastAsia="宋体" w:cs="Times New Roman"/>
          <w:color w:val="auto"/>
          <w:sz w:val="24"/>
          <w:szCs w:val="22"/>
          <w:lang w:eastAsia="zh-CN"/>
        </w:rPr>
        <w:t>核</w:t>
      </w:r>
      <w:r>
        <w:rPr>
          <w:rFonts w:hint="eastAsia" w:ascii="宋体" w:hAnsi="宋体" w:eastAsia="宋体" w:cs="Times New Roman"/>
          <w:color w:val="auto"/>
          <w:sz w:val="24"/>
          <w:szCs w:val="22"/>
        </w:rPr>
        <w:t>查</w:t>
      </w:r>
      <w:r>
        <w:rPr>
          <w:rFonts w:hint="eastAsia" w:ascii="宋体" w:hAnsi="宋体" w:eastAsia="宋体" w:cs="Times New Roman"/>
          <w:color w:val="auto"/>
          <w:sz w:val="24"/>
          <w:szCs w:val="22"/>
          <w:lang w:eastAsia="zh-CN"/>
        </w:rPr>
        <w:t>资料</w:t>
      </w:r>
      <w:r>
        <w:rPr>
          <w:rFonts w:hint="eastAsia" w:ascii="宋体" w:hAnsi="宋体" w:eastAsia="宋体" w:cs="Times New Roman"/>
          <w:color w:val="auto"/>
          <w:sz w:val="24"/>
          <w:szCs w:val="22"/>
        </w:rPr>
        <w:t>、调查</w:t>
      </w:r>
      <w:r>
        <w:rPr>
          <w:rFonts w:hint="eastAsia" w:ascii="宋体" w:hAnsi="宋体" w:eastAsia="宋体" w:cs="Times New Roman"/>
          <w:color w:val="auto"/>
          <w:sz w:val="24"/>
          <w:szCs w:val="22"/>
          <w:lang w:eastAsia="zh-CN"/>
        </w:rPr>
        <w:t>分析</w:t>
      </w:r>
      <w:r>
        <w:rPr>
          <w:rFonts w:hint="eastAsia" w:ascii="宋体" w:hAnsi="宋体" w:eastAsia="宋体" w:cs="Times New Roman"/>
          <w:color w:val="auto"/>
          <w:sz w:val="24"/>
          <w:szCs w:val="22"/>
        </w:rPr>
        <w:t>等方式进行了解核实，并对相关评价指标进行汇总分析，对照</w:t>
      </w:r>
      <w:r>
        <w:rPr>
          <w:rFonts w:hint="eastAsia" w:ascii="宋体" w:hAnsi="宋体" w:eastAsia="宋体" w:cs="Times New Roman"/>
          <w:color w:val="auto"/>
          <w:sz w:val="24"/>
          <w:szCs w:val="22"/>
          <w:lang w:eastAsia="zh-CN"/>
        </w:rPr>
        <w:t>评价指标和标准进行评议与打分，形成《20</w:t>
      </w:r>
      <w:r>
        <w:rPr>
          <w:rFonts w:hint="eastAsia" w:ascii="宋体" w:hAnsi="宋体" w:eastAsia="宋体" w:cs="Times New Roman"/>
          <w:color w:val="auto"/>
          <w:sz w:val="24"/>
          <w:szCs w:val="22"/>
          <w:lang w:val="en-US" w:eastAsia="zh-CN"/>
        </w:rPr>
        <w:t>21</w:t>
      </w:r>
      <w:r>
        <w:rPr>
          <w:rFonts w:hint="eastAsia" w:ascii="宋体" w:hAnsi="宋体" w:eastAsia="宋体" w:cs="Times New Roman"/>
          <w:color w:val="auto"/>
          <w:sz w:val="24"/>
          <w:szCs w:val="22"/>
          <w:lang w:eastAsia="zh-CN"/>
        </w:rPr>
        <w:t>年度</w:t>
      </w:r>
      <w:r>
        <w:rPr>
          <w:rFonts w:hint="eastAsia" w:ascii="宋体" w:hAnsi="宋体" w:eastAsia="宋体" w:cs="Times New Roman"/>
          <w:color w:val="auto"/>
          <w:sz w:val="24"/>
          <w:szCs w:val="22"/>
          <w:lang w:val="en-US" w:eastAsia="zh-CN"/>
        </w:rPr>
        <w:t>泉州市洛江区粮食风险基金项目</w:t>
      </w:r>
      <w:r>
        <w:rPr>
          <w:rFonts w:hint="eastAsia" w:ascii="宋体" w:hAnsi="宋体" w:eastAsia="宋体" w:cs="Times New Roman"/>
          <w:color w:val="auto"/>
          <w:sz w:val="24"/>
          <w:szCs w:val="22"/>
          <w:lang w:eastAsia="zh-CN"/>
        </w:rPr>
        <w:t>绩效评价报告》。</w:t>
      </w:r>
    </w:p>
    <w:p>
      <w:pPr>
        <w:pStyle w:val="3"/>
        <w:spacing w:before="0" w:after="0" w:line="360" w:lineRule="auto"/>
        <w:ind w:firstLine="562" w:firstLineChars="200"/>
        <w:rPr>
          <w:color w:val="auto"/>
          <w:kern w:val="0"/>
          <w:sz w:val="28"/>
          <w:szCs w:val="28"/>
        </w:rPr>
      </w:pPr>
      <w:bookmarkStart w:id="0" w:name="_Toc10861"/>
      <w:r>
        <w:rPr>
          <w:rFonts w:hint="eastAsia"/>
          <w:color w:val="auto"/>
          <w:kern w:val="0"/>
          <w:sz w:val="28"/>
          <w:szCs w:val="28"/>
        </w:rPr>
        <w:t>一、基本</w:t>
      </w:r>
      <w:r>
        <w:rPr>
          <w:rFonts w:hint="eastAsia"/>
          <w:color w:val="auto"/>
          <w:kern w:val="0"/>
          <w:sz w:val="28"/>
          <w:szCs w:val="28"/>
          <w:lang w:eastAsia="zh-CN"/>
        </w:rPr>
        <w:t>情</w:t>
      </w:r>
      <w:r>
        <w:rPr>
          <w:rFonts w:hint="eastAsia"/>
          <w:color w:val="auto"/>
          <w:kern w:val="0"/>
          <w:sz w:val="28"/>
          <w:szCs w:val="28"/>
        </w:rPr>
        <w:t>况</w:t>
      </w:r>
      <w:bookmarkEnd w:id="0"/>
    </w:p>
    <w:p>
      <w:pPr>
        <w:pStyle w:val="4"/>
        <w:spacing w:before="0" w:after="0" w:line="360" w:lineRule="auto"/>
        <w:ind w:firstLine="560" w:firstLineChars="200"/>
        <w:rPr>
          <w:rFonts w:hint="eastAsia" w:ascii="宋体" w:hAnsi="宋体" w:eastAsia="宋体"/>
          <w:b w:val="0"/>
          <w:color w:val="auto"/>
          <w:kern w:val="0"/>
          <w:sz w:val="28"/>
          <w:szCs w:val="28"/>
          <w:lang w:eastAsia="zh-CN" w:bidi="ar"/>
        </w:rPr>
      </w:pPr>
      <w:bookmarkStart w:id="1" w:name="_Toc500226180"/>
      <w:bookmarkStart w:id="2" w:name="_Toc26259"/>
      <w:r>
        <w:rPr>
          <w:rFonts w:hint="eastAsia" w:ascii="宋体" w:hAnsi="宋体" w:eastAsia="宋体"/>
          <w:b w:val="0"/>
          <w:color w:val="auto"/>
          <w:kern w:val="0"/>
          <w:sz w:val="28"/>
          <w:szCs w:val="28"/>
          <w:lang w:bidi="ar"/>
        </w:rPr>
        <w:t>（一）项目</w:t>
      </w:r>
      <w:bookmarkEnd w:id="1"/>
      <w:r>
        <w:rPr>
          <w:rFonts w:hint="eastAsia" w:ascii="宋体" w:hAnsi="宋体" w:eastAsia="宋体"/>
          <w:b w:val="0"/>
          <w:color w:val="auto"/>
          <w:kern w:val="0"/>
          <w:sz w:val="28"/>
          <w:szCs w:val="28"/>
          <w:lang w:eastAsia="zh-CN" w:bidi="ar"/>
        </w:rPr>
        <w:t>概况</w:t>
      </w:r>
      <w:bookmarkEnd w:id="2"/>
    </w:p>
    <w:p>
      <w:pPr>
        <w:spacing w:line="360" w:lineRule="auto"/>
        <w:ind w:firstLine="480" w:firstLineChars="200"/>
        <w:rPr>
          <w:rFonts w:hint="eastAsia" w:ascii="宋体" w:hAnsi="宋体" w:eastAsia="宋体" w:cs="Times New Roman"/>
          <w:color w:val="auto"/>
          <w:sz w:val="24"/>
          <w:szCs w:val="22"/>
          <w:lang w:eastAsia="zh-CN"/>
        </w:rPr>
      </w:pPr>
      <w:r>
        <w:rPr>
          <w:rFonts w:hint="eastAsia" w:ascii="宋体" w:hAnsi="宋体" w:eastAsia="宋体" w:cs="Times New Roman"/>
          <w:color w:val="auto"/>
          <w:sz w:val="24"/>
          <w:szCs w:val="22"/>
          <w:lang w:val="en-US" w:eastAsia="zh-CN"/>
        </w:rPr>
        <w:t>1.</w:t>
      </w:r>
      <w:r>
        <w:rPr>
          <w:rFonts w:hint="eastAsia" w:ascii="宋体" w:hAnsi="宋体" w:eastAsia="宋体" w:cs="Times New Roman"/>
          <w:color w:val="auto"/>
          <w:sz w:val="24"/>
          <w:szCs w:val="22"/>
          <w:lang w:eastAsia="zh-CN"/>
        </w:rPr>
        <w:t>项目背景</w:t>
      </w:r>
    </w:p>
    <w:p>
      <w:pPr>
        <w:spacing w:line="360" w:lineRule="auto"/>
        <w:ind w:firstLine="480" w:firstLineChars="200"/>
        <w:rPr>
          <w:rFonts w:hint="default" w:ascii="宋体" w:hAnsi="宋体" w:eastAsia="宋体" w:cs="Times New Roman"/>
          <w:color w:val="00B0F0"/>
          <w:sz w:val="24"/>
          <w:szCs w:val="22"/>
          <w:lang w:val="en-US" w:eastAsia="zh-CN"/>
        </w:rPr>
      </w:pPr>
      <w:r>
        <w:rPr>
          <w:rFonts w:hint="eastAsia" w:ascii="宋体" w:hAnsi="宋体" w:eastAsia="宋体" w:cs="Times New Roman"/>
          <w:color w:val="auto"/>
          <w:sz w:val="24"/>
          <w:szCs w:val="22"/>
          <w:lang w:val="en-US" w:eastAsia="zh-CN"/>
        </w:rPr>
        <w:t>根据《福建省人民政府贯彻国务院关于进一步深化粮食流通体制改革的决定的实施办法》以及《国务院办公厅转发财政部、中国农业发展银行关于完善粮食风险基金管理办法的通知》（国办发[1998]17号）的精神，紧紧围绕区委、区政府中心工作，认真落实粮食安全责任制，切实加强粮食风险基金的管理，充分发挥粮食风险基金的调控作用，保护生产者和消费者利益，保障粮食安全，促进粮食生产稳定增长和粮食流通体制改革，维护社会稳定。</w:t>
      </w:r>
    </w:p>
    <w:p>
      <w:pPr>
        <w:spacing w:line="360" w:lineRule="auto"/>
        <w:ind w:firstLine="480" w:firstLineChars="200"/>
        <w:rPr>
          <w:rFonts w:hint="eastAsia" w:ascii="宋体" w:hAnsi="宋体" w:eastAsia="宋体" w:cs="Times New Roman"/>
          <w:color w:val="auto"/>
          <w:sz w:val="24"/>
          <w:szCs w:val="22"/>
          <w:lang w:eastAsia="zh-CN"/>
        </w:rPr>
      </w:pPr>
      <w:r>
        <w:rPr>
          <w:rFonts w:hint="eastAsia" w:ascii="宋体" w:hAnsi="宋体" w:eastAsia="宋体" w:cs="Times New Roman"/>
          <w:color w:val="auto"/>
          <w:sz w:val="24"/>
          <w:szCs w:val="22"/>
          <w:lang w:val="en-US" w:eastAsia="zh-CN"/>
        </w:rPr>
        <w:t>2.</w:t>
      </w:r>
      <w:r>
        <w:rPr>
          <w:rFonts w:hint="eastAsia" w:ascii="宋体" w:hAnsi="宋体" w:eastAsia="宋体" w:cs="Times New Roman"/>
          <w:color w:val="auto"/>
          <w:sz w:val="24"/>
          <w:szCs w:val="22"/>
          <w:lang w:eastAsia="zh-CN"/>
        </w:rPr>
        <w:t>主要内容及实施情况</w:t>
      </w:r>
    </w:p>
    <w:p>
      <w:pPr>
        <w:spacing w:line="360" w:lineRule="auto"/>
        <w:ind w:firstLine="480" w:firstLineChars="200"/>
        <w:rPr>
          <w:rFonts w:hint="eastAsia" w:ascii="宋体" w:hAnsi="宋体" w:eastAsia="宋体" w:cs="Times New Roman"/>
          <w:color w:val="FF0000"/>
          <w:sz w:val="24"/>
          <w:lang w:val="en-US" w:eastAsia="zh-CN"/>
        </w:rPr>
      </w:pPr>
      <w:r>
        <w:rPr>
          <w:rFonts w:hint="eastAsia" w:ascii="宋体" w:hAnsi="宋体" w:eastAsia="宋体" w:cs="Times New Roman"/>
          <w:color w:val="auto"/>
          <w:sz w:val="24"/>
          <w:lang w:val="en-US" w:eastAsia="zh-CN"/>
        </w:rPr>
        <w:t>根据《福建省地方储备粮管理办法》和《关于下达2021年度地方粮油储备任务及政策性粮油业务的通知》等文件要求，一是完成区级地方储备粮11</w:t>
      </w:r>
      <w:r>
        <w:rPr>
          <w:rFonts w:hint="eastAsia" w:ascii="宋体" w:hAnsi="宋体" w:cs="Times New Roman"/>
          <w:color w:val="auto"/>
          <w:sz w:val="24"/>
          <w:lang w:val="en-US" w:eastAsia="zh-CN"/>
        </w:rPr>
        <w:t>,</w:t>
      </w:r>
      <w:r>
        <w:rPr>
          <w:rFonts w:hint="eastAsia" w:ascii="宋体" w:hAnsi="宋体" w:eastAsia="宋体" w:cs="Times New Roman"/>
          <w:color w:val="auto"/>
          <w:sz w:val="24"/>
          <w:lang w:val="en-US" w:eastAsia="zh-CN"/>
        </w:rPr>
        <w:t>850吨、食用油100吨、应急大米600吨的储备保管任务；二是完成5</w:t>
      </w:r>
      <w:r>
        <w:rPr>
          <w:rFonts w:hint="eastAsia" w:ascii="宋体" w:hAnsi="宋体" w:cs="Times New Roman"/>
          <w:color w:val="auto"/>
          <w:sz w:val="24"/>
          <w:lang w:val="en-US" w:eastAsia="zh-CN"/>
        </w:rPr>
        <w:t>,</w:t>
      </w:r>
      <w:r>
        <w:rPr>
          <w:rFonts w:hint="eastAsia" w:ascii="宋体" w:hAnsi="宋体" w:eastAsia="宋体" w:cs="Times New Roman"/>
          <w:color w:val="auto"/>
          <w:sz w:val="24"/>
          <w:lang w:val="en-US" w:eastAsia="zh-CN"/>
        </w:rPr>
        <w:t>000吨储备粮的轮换任务,及时结算拍卖差价，确保资产保值增值</w:t>
      </w:r>
      <w:r>
        <w:rPr>
          <w:rFonts w:hint="eastAsia" w:ascii="宋体" w:hAnsi="宋体" w:eastAsia="宋体" w:cs="Times New Roman"/>
          <w:color w:val="FF0000"/>
          <w:sz w:val="24"/>
          <w:lang w:val="en-US" w:eastAsia="zh-CN"/>
        </w:rPr>
        <w:t>。</w:t>
      </w:r>
    </w:p>
    <w:p>
      <w:pPr>
        <w:spacing w:line="360"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根据《关于下达新增地方粮油储备管理任务的通知》（泉洛发改[2021]25号）和《泉州市人民政府关于落实新增地方粮食储备规模的通知</w:t>
      </w:r>
      <w:r>
        <w:rPr>
          <w:rFonts w:hint="eastAsia" w:ascii="宋体" w:hAnsi="宋体" w:cs="Times New Roman"/>
          <w:color w:val="auto"/>
          <w:sz w:val="24"/>
          <w:lang w:val="en-US" w:eastAsia="zh-CN"/>
        </w:rPr>
        <w:t>》</w:t>
      </w:r>
      <w:r>
        <w:rPr>
          <w:rFonts w:hint="eastAsia" w:ascii="宋体" w:hAnsi="宋体" w:eastAsia="宋体" w:cs="Times New Roman"/>
          <w:color w:val="auto"/>
          <w:sz w:val="24"/>
          <w:lang w:val="en-US" w:eastAsia="zh-CN"/>
        </w:rPr>
        <w:t>（泉政文[2021]11号）等文件精神，新增储备粮任务500吨。</w:t>
      </w:r>
    </w:p>
    <w:p>
      <w:pPr>
        <w:spacing w:line="360" w:lineRule="auto"/>
        <w:ind w:firstLine="480" w:firstLineChars="200"/>
        <w:rPr>
          <w:rFonts w:hint="default" w:ascii="宋体" w:hAnsi="宋体" w:eastAsia="宋体" w:cs="Times New Roman"/>
          <w:color w:val="00B0F0"/>
          <w:sz w:val="24"/>
          <w:lang w:val="en-US" w:eastAsia="zh-CN"/>
        </w:rPr>
      </w:pPr>
      <w:r>
        <w:rPr>
          <w:rFonts w:hint="eastAsia" w:ascii="宋体" w:hAnsi="宋体" w:eastAsia="宋体" w:cs="Times New Roman"/>
          <w:color w:val="auto"/>
          <w:sz w:val="24"/>
          <w:lang w:val="en-US" w:eastAsia="zh-CN"/>
        </w:rPr>
        <w:t>一是2021年度粮食政策性补贴申请。2021年度福建省泉州市洛江区粮油食品有限公司的粮食风险基金项目根据《关于下达地方粮油储备任务及政策性粮油业务的通知》（泉洛发改[2021]12号）、《泉州市洛江区财政局洛江区发改局关于下达2021年度粮食政策性补贴计划的通知》（泉洛财[2021]27号）等文件精神申请立项。泉州市洛江区粮油食品有限公司分别于2021年3月、6月、9月、12月向泉州市洛江区财政局报告《关于申请拨付储备粮油保管费用、利息补贴的报告》申请粮食风险基金389.1万元（不含结算性补贴）。</w:t>
      </w:r>
    </w:p>
    <w:p>
      <w:pPr>
        <w:spacing w:line="360"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3.资金投入和使用情况</w:t>
      </w:r>
    </w:p>
    <w:p>
      <w:pPr>
        <w:spacing w:line="360"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根据项目单位提供《专项资金绩效目标批复表》及相关文件，2021年度粮食风险基金预算资金560万元。</w:t>
      </w:r>
    </w:p>
    <w:p>
      <w:pPr>
        <w:spacing w:line="360"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根据项目单位提供各季度请款及资金拨付材料，如《关于申请拨付第一季度储备粮油保管费用补贴的报告》、《关于申请拨付第一季度储备粮利息补贴的报告》等，泉州市洛江区粮食风险基金项目实际支出金额389.1万元，资金到位率69.48%。其中：</w:t>
      </w:r>
    </w:p>
    <w:p>
      <w:pPr>
        <w:pStyle w:val="2"/>
        <w:spacing w:line="360" w:lineRule="auto"/>
        <w:ind w:firstLine="480"/>
        <w:rPr>
          <w:rFonts w:hint="eastAsia" w:asci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2021</w:t>
      </w:r>
      <w:r>
        <w:rPr>
          <w:rFonts w:hint="eastAsia" w:ascii="宋体" w:eastAsia="宋体" w:cs="Times New Roman"/>
          <w:color w:val="auto"/>
          <w:kern w:val="2"/>
          <w:sz w:val="24"/>
          <w:szCs w:val="24"/>
          <w:lang w:val="en-US" w:eastAsia="zh-CN" w:bidi="ar-SA"/>
        </w:rPr>
        <w:t>年3月24日到位85.22万元；</w:t>
      </w:r>
    </w:p>
    <w:p>
      <w:pPr>
        <w:pStyle w:val="2"/>
        <w:spacing w:line="360" w:lineRule="auto"/>
        <w:ind w:firstLine="480"/>
        <w:rPr>
          <w:rFonts w:hint="eastAsia" w:ascii="宋体" w:eastAsia="宋体" w:cs="Times New Roman"/>
          <w:color w:val="auto"/>
          <w:kern w:val="2"/>
          <w:sz w:val="24"/>
          <w:szCs w:val="24"/>
          <w:lang w:val="en-US" w:eastAsia="zh-CN" w:bidi="ar-SA"/>
        </w:rPr>
      </w:pPr>
      <w:r>
        <w:rPr>
          <w:rFonts w:hint="eastAsia" w:ascii="宋体" w:eastAsia="宋体" w:cs="Times New Roman"/>
          <w:color w:val="auto"/>
          <w:kern w:val="2"/>
          <w:sz w:val="24"/>
          <w:szCs w:val="24"/>
          <w:lang w:val="en-US" w:eastAsia="zh-CN" w:bidi="ar-SA"/>
        </w:rPr>
        <w:t>2021年6月29日到位112.97万元；</w:t>
      </w:r>
    </w:p>
    <w:p>
      <w:pPr>
        <w:pStyle w:val="2"/>
        <w:spacing w:line="360" w:lineRule="auto"/>
        <w:ind w:firstLine="480"/>
        <w:rPr>
          <w:rFonts w:hint="eastAsia" w:ascii="宋体" w:eastAsia="宋体" w:cs="Times New Roman"/>
          <w:color w:val="auto"/>
          <w:kern w:val="2"/>
          <w:sz w:val="24"/>
          <w:szCs w:val="24"/>
          <w:lang w:val="en-US" w:eastAsia="zh-CN" w:bidi="ar-SA"/>
        </w:rPr>
      </w:pPr>
      <w:r>
        <w:rPr>
          <w:rFonts w:hint="eastAsia" w:ascii="宋体" w:eastAsia="宋体" w:cs="Times New Roman"/>
          <w:color w:val="auto"/>
          <w:kern w:val="2"/>
          <w:sz w:val="24"/>
          <w:szCs w:val="24"/>
          <w:lang w:val="en-US" w:eastAsia="zh-CN" w:bidi="ar-SA"/>
        </w:rPr>
        <w:t>2021年9月23日、26日共到位99.3万元；</w:t>
      </w:r>
    </w:p>
    <w:p>
      <w:pPr>
        <w:pStyle w:val="2"/>
        <w:spacing w:line="360" w:lineRule="auto"/>
        <w:ind w:firstLine="480"/>
        <w:rPr>
          <w:rFonts w:hint="default" w:ascii="宋体" w:eastAsia="宋体" w:cs="Times New Roman"/>
          <w:color w:val="auto"/>
          <w:kern w:val="2"/>
          <w:sz w:val="24"/>
          <w:szCs w:val="24"/>
          <w:lang w:val="en-US" w:eastAsia="zh-CN" w:bidi="ar-SA"/>
        </w:rPr>
      </w:pPr>
      <w:r>
        <w:rPr>
          <w:rFonts w:hint="eastAsia" w:ascii="宋体" w:eastAsia="宋体" w:cs="Times New Roman"/>
          <w:color w:val="auto"/>
          <w:kern w:val="2"/>
          <w:sz w:val="24"/>
          <w:szCs w:val="24"/>
          <w:lang w:val="en-US" w:eastAsia="zh-CN" w:bidi="ar-SA"/>
        </w:rPr>
        <w:t>2021年12月20日、28日共到位91.59万元。</w:t>
      </w:r>
    </w:p>
    <w:p>
      <w:pPr>
        <w:pStyle w:val="4"/>
        <w:spacing w:before="0" w:after="0" w:line="360" w:lineRule="auto"/>
        <w:ind w:firstLine="560" w:firstLineChars="200"/>
        <w:rPr>
          <w:rFonts w:hint="eastAsia" w:ascii="宋体" w:hAnsi="宋体" w:eastAsia="宋体"/>
          <w:b w:val="0"/>
          <w:color w:val="auto"/>
          <w:kern w:val="0"/>
          <w:sz w:val="28"/>
          <w:szCs w:val="28"/>
          <w:lang w:eastAsia="zh-CN" w:bidi="ar"/>
        </w:rPr>
      </w:pPr>
      <w:bookmarkStart w:id="3" w:name="_Toc500226181"/>
      <w:bookmarkStart w:id="4" w:name="_Toc8558"/>
      <w:r>
        <w:rPr>
          <w:rFonts w:hint="eastAsia" w:ascii="宋体" w:hAnsi="宋体" w:eastAsia="宋体"/>
          <w:b w:val="0"/>
          <w:color w:val="auto"/>
          <w:kern w:val="0"/>
          <w:sz w:val="28"/>
          <w:szCs w:val="28"/>
          <w:lang w:bidi="ar"/>
        </w:rPr>
        <w:t>（二）</w:t>
      </w:r>
      <w:bookmarkEnd w:id="3"/>
      <w:r>
        <w:rPr>
          <w:rFonts w:hint="eastAsia" w:ascii="宋体" w:hAnsi="宋体" w:eastAsia="宋体"/>
          <w:b w:val="0"/>
          <w:color w:val="auto"/>
          <w:kern w:val="0"/>
          <w:sz w:val="28"/>
          <w:szCs w:val="28"/>
          <w:lang w:eastAsia="zh-CN" w:bidi="ar"/>
        </w:rPr>
        <w:t>项目绩效目标</w:t>
      </w:r>
      <w:bookmarkEnd w:id="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en-US" w:eastAsia="zh-CN"/>
        </w:rPr>
      </w:pPr>
      <w:bookmarkStart w:id="5" w:name="_Toc500226182"/>
      <w:r>
        <w:rPr>
          <w:rFonts w:hint="eastAsia" w:ascii="宋体" w:hAnsi="宋体" w:eastAsia="宋体" w:cs="Times New Roman"/>
          <w:color w:val="auto"/>
          <w:sz w:val="24"/>
          <w:lang w:val="en-US" w:eastAsia="zh-CN"/>
        </w:rPr>
        <w:t xml:space="preserve"> 1.总体目标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 xml:space="preserve">通过项目实施，平衡泉州市洛江区粮食市场供需、防止粮食价格出现大幅波动,维持正常粮食流通秩序，确保粮食市场宏观调控有力，防范粮食市场重大风险，维护社会稳定。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 xml:space="preserve">2.阶段性目标  </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通过项目实施，加强区级</w:t>
      </w:r>
      <w:r>
        <w:rPr>
          <w:rFonts w:hint="eastAsia" w:ascii="宋体" w:eastAsia="宋体" w:cs="Times New Roman"/>
          <w:color w:val="auto"/>
          <w:kern w:val="2"/>
          <w:sz w:val="24"/>
          <w:szCs w:val="24"/>
          <w:lang w:val="en-US" w:eastAsia="zh-CN" w:bidi="ar-SA"/>
        </w:rPr>
        <w:t>13,050</w:t>
      </w:r>
      <w:r>
        <w:rPr>
          <w:rFonts w:hint="eastAsia" w:ascii="宋体" w:hAnsi="宋体" w:eastAsia="宋体" w:cs="Times New Roman"/>
          <w:color w:val="auto"/>
          <w:kern w:val="2"/>
          <w:sz w:val="24"/>
          <w:szCs w:val="24"/>
          <w:lang w:val="en-US" w:eastAsia="zh-CN" w:bidi="ar-SA"/>
        </w:rPr>
        <w:t>吨储备粮的管理，确保区级储备粮的安全，维护粮食市场稳定，有效发挥区级储备粮在宏观调控中的作用。</w:t>
      </w:r>
    </w:p>
    <w:bookmarkEnd w:id="5"/>
    <w:p>
      <w:pPr>
        <w:pStyle w:val="3"/>
        <w:spacing w:before="0" w:after="0" w:line="360" w:lineRule="auto"/>
        <w:ind w:firstLine="562" w:firstLineChars="200"/>
        <w:rPr>
          <w:rFonts w:hint="eastAsia"/>
          <w:color w:val="auto"/>
          <w:kern w:val="0"/>
          <w:sz w:val="28"/>
          <w:szCs w:val="28"/>
        </w:rPr>
      </w:pPr>
      <w:bookmarkStart w:id="6" w:name="_Toc11881"/>
      <w:r>
        <w:rPr>
          <w:rFonts w:hint="eastAsia"/>
          <w:color w:val="auto"/>
          <w:kern w:val="0"/>
          <w:sz w:val="28"/>
          <w:szCs w:val="28"/>
        </w:rPr>
        <w:t>二、绩效评价工作开展情况</w:t>
      </w:r>
      <w:bookmarkEnd w:id="6"/>
    </w:p>
    <w:p>
      <w:pPr>
        <w:pStyle w:val="4"/>
        <w:spacing w:before="0" w:after="0" w:line="360" w:lineRule="auto"/>
        <w:ind w:firstLine="560" w:firstLineChars="200"/>
        <w:rPr>
          <w:rFonts w:hint="eastAsia" w:ascii="宋体" w:hAnsi="宋体" w:eastAsia="宋体"/>
          <w:b w:val="0"/>
          <w:color w:val="auto"/>
          <w:kern w:val="0"/>
          <w:sz w:val="28"/>
          <w:szCs w:val="28"/>
          <w:lang w:bidi="ar"/>
        </w:rPr>
      </w:pPr>
      <w:bookmarkStart w:id="7" w:name="_Toc27780"/>
      <w:r>
        <w:rPr>
          <w:rFonts w:hint="eastAsia" w:ascii="宋体" w:hAnsi="宋体" w:eastAsia="宋体"/>
          <w:b w:val="0"/>
          <w:color w:val="auto"/>
          <w:kern w:val="0"/>
          <w:sz w:val="28"/>
          <w:szCs w:val="28"/>
          <w:lang w:bidi="ar"/>
        </w:rPr>
        <w:t>（一）绩效评价目的、对象和范围</w:t>
      </w:r>
      <w:bookmarkEnd w:id="7"/>
    </w:p>
    <w:p>
      <w:pPr>
        <w:spacing w:line="360" w:lineRule="auto"/>
        <w:ind w:firstLine="420" w:firstLineChars="200"/>
        <w:rPr>
          <w:rFonts w:hint="eastAsia" w:ascii="宋体" w:hAnsi="宋体"/>
          <w:color w:val="auto"/>
          <w:sz w:val="24"/>
          <w:lang w:val="en-US" w:eastAsia="zh-CN"/>
        </w:rPr>
      </w:pPr>
      <w:r>
        <w:rPr>
          <w:rFonts w:hint="eastAsia" w:eastAsia="宋体"/>
          <w:color w:val="auto"/>
          <w:lang w:val="en-US" w:eastAsia="zh-CN"/>
        </w:rPr>
        <w:t xml:space="preserve"> </w:t>
      </w:r>
      <w:r>
        <w:rPr>
          <w:rFonts w:hint="eastAsia" w:ascii="宋体" w:hAnsi="宋体"/>
          <w:color w:val="auto"/>
          <w:sz w:val="24"/>
          <w:lang w:val="en-US" w:eastAsia="zh-CN"/>
        </w:rPr>
        <w:t>1.绩效评价目的</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通过对泉州市洛江区粮食风险基金专项</w:t>
      </w:r>
      <w:r>
        <w:rPr>
          <w:rFonts w:hint="eastAsia" w:ascii="宋体" w:hAnsi="宋体" w:eastAsia="宋体" w:cs="Times New Roman"/>
          <w:color w:val="auto"/>
          <w:sz w:val="24"/>
          <w:szCs w:val="22"/>
          <w:lang w:val="en-US" w:eastAsia="zh-CN"/>
        </w:rPr>
        <w:t>项目</w:t>
      </w:r>
      <w:r>
        <w:rPr>
          <w:rFonts w:hint="eastAsia" w:ascii="宋体" w:hAnsi="宋体"/>
          <w:color w:val="auto"/>
          <w:sz w:val="24"/>
          <w:lang w:val="en-US" w:eastAsia="zh-CN"/>
        </w:rPr>
        <w:t>进行绩效评价，得出评价结论，针对项目管理不足之处，提出改进建议，供泉州市洛江区财政局及项目单位参考应用，以强化泉州市洛江区粮食风险基金专项管理，压实支出责任，提高财政资金的使用效益。</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2.绩效评价对象、范围</w:t>
      </w:r>
    </w:p>
    <w:p>
      <w:pPr>
        <w:spacing w:line="360" w:lineRule="auto"/>
        <w:ind w:firstLine="480" w:firstLineChars="200"/>
        <w:rPr>
          <w:rFonts w:hint="eastAsia" w:ascii="宋体" w:hAnsi="宋体"/>
          <w:color w:val="00B0F0"/>
          <w:sz w:val="24"/>
          <w:lang w:val="en-US" w:eastAsia="zh-CN"/>
        </w:rPr>
      </w:pPr>
      <w:r>
        <w:rPr>
          <w:rFonts w:hint="eastAsia" w:ascii="宋体" w:hAnsi="宋体"/>
          <w:color w:val="auto"/>
          <w:sz w:val="24"/>
          <w:lang w:val="en-US" w:eastAsia="zh-CN"/>
        </w:rPr>
        <w:t xml:space="preserve">绩效评价对象为2021年度泉州市洛江区粮食风险基金560万元，绩效评价范围覆盖泉州市洛江区粮食风险基金项目决策、过程、产出和效益情况。 </w:t>
      </w:r>
    </w:p>
    <w:p>
      <w:pPr>
        <w:ind w:firstLine="562"/>
        <w:rPr>
          <w:rStyle w:val="25"/>
          <w:rFonts w:hint="eastAsia" w:ascii="宋体" w:hAnsi="宋体" w:eastAsia="宋体" w:cs="宋体"/>
          <w:b w:val="0"/>
          <w:bCs w:val="0"/>
          <w:color w:val="auto"/>
          <w:sz w:val="28"/>
          <w:szCs w:val="28"/>
          <w:lang w:val="en-US" w:eastAsia="zh-CN"/>
        </w:rPr>
      </w:pPr>
      <w:bookmarkStart w:id="8" w:name="_Toc27134"/>
      <w:r>
        <w:rPr>
          <w:rStyle w:val="25"/>
          <w:rFonts w:hint="eastAsia" w:ascii="宋体" w:hAnsi="宋体" w:eastAsia="宋体" w:cs="宋体"/>
          <w:b w:val="0"/>
          <w:bCs w:val="0"/>
          <w:color w:val="auto"/>
          <w:sz w:val="28"/>
          <w:szCs w:val="28"/>
          <w:lang w:val="en-US" w:eastAsia="zh-CN"/>
        </w:rPr>
        <w:t>（二）绩效评价指标确定原则</w:t>
      </w:r>
    </w:p>
    <w:bookmarkEnd w:id="8"/>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1.相关性原则。确定的绩效评价指标应当与绩效目标有直接的联系，能够恰当反映目标的实现程度，而与绩效目标无关的指标不应列入评价体系。</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2.重要性原则。应当优先使用最具评价对象代表性、最能反映评价要求的核心指标。</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3.可比性原则。对同类评价对象要设定共性的绩效评价指标，以便于评价结果可以相互比较。</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4.系统性原则。应当将定量指标与定性指标相结合，系统反映财政支出所产生的社会效益、经济效益和可持续影响等。</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5.经济性原则。绩效评价指标不是设计得越复杂越好，应当通俗易懂、简便易行，数据的获得应当考虑现实条件和可操作性，符合成本效益原则。</w:t>
      </w:r>
    </w:p>
    <w:p>
      <w:pPr>
        <w:ind w:firstLine="562"/>
        <w:rPr>
          <w:rStyle w:val="25"/>
          <w:rFonts w:hint="eastAsia" w:ascii="宋体" w:hAnsi="宋体" w:eastAsia="宋体" w:cs="宋体"/>
          <w:b w:val="0"/>
          <w:bCs w:val="0"/>
          <w:color w:val="auto"/>
          <w:sz w:val="28"/>
          <w:szCs w:val="28"/>
          <w:lang w:val="en-US" w:eastAsia="zh-CN"/>
        </w:rPr>
      </w:pPr>
      <w:bookmarkStart w:id="9" w:name="_Toc21861"/>
      <w:r>
        <w:rPr>
          <w:rStyle w:val="25"/>
          <w:rFonts w:hint="eastAsia" w:ascii="宋体" w:hAnsi="宋体" w:eastAsia="宋体" w:cs="宋体"/>
          <w:b w:val="0"/>
          <w:bCs w:val="0"/>
          <w:color w:val="auto"/>
          <w:sz w:val="28"/>
          <w:szCs w:val="28"/>
          <w:lang w:val="en-US" w:eastAsia="zh-CN"/>
        </w:rPr>
        <w:t>（三）评价方法及评价标准</w:t>
      </w:r>
    </w:p>
    <w:bookmarkEnd w:id="9"/>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本次绩效评价主要采用比较法、成本效益分析法、公众评判法等。</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1.比较法。是指通过实际支出、实施效果等与绩效目标、历史情况、不同地区同类支出等的比较，综合分析绩效目标实现程度。</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2.成本效益分析法。是指将一定时期内的支出与效益进行对比分析，以评价绩效目标实现程度。</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3.服务对象评判法。是指通过对服务对象进行问卷及抽样调查等对财政支出的效果进行评判，评价绩效目标实现程度。</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绩效评价标准是衡量财政支出绩效目标完成程度的尺度，采用标准主要包括：</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1.计划标准。是指以预先制定的目标、计划、预算、定额等数据作为评价的标准。</w:t>
      </w:r>
    </w:p>
    <w:p>
      <w:pPr>
        <w:spacing w:line="360" w:lineRule="auto"/>
        <w:ind w:firstLine="480" w:firstLineChars="200"/>
        <w:rPr>
          <w:rFonts w:hint="eastAsia" w:ascii="宋体" w:hAnsi="宋体"/>
          <w:color w:val="FF0000"/>
          <w:sz w:val="24"/>
          <w:lang w:val="en-US" w:eastAsia="zh-CN"/>
        </w:rPr>
      </w:pPr>
      <w:r>
        <w:rPr>
          <w:rFonts w:hint="eastAsia" w:ascii="宋体" w:hAnsi="宋体"/>
          <w:color w:val="auto"/>
          <w:sz w:val="24"/>
          <w:lang w:val="en-US" w:eastAsia="zh-CN"/>
        </w:rPr>
        <w:t>2.历史标准。是指参照同类指标的历史数据制定的评价标准。</w:t>
      </w:r>
    </w:p>
    <w:p>
      <w:pPr>
        <w:spacing w:line="360" w:lineRule="auto"/>
        <w:ind w:firstLine="480" w:firstLineChars="200"/>
        <w:rPr>
          <w:rFonts w:hint="eastAsia" w:ascii="宋体" w:hAnsi="宋体"/>
          <w:color w:val="FF0000"/>
          <w:sz w:val="24"/>
          <w:lang w:val="en-US" w:eastAsia="zh-CN"/>
        </w:rPr>
      </w:pPr>
      <w:r>
        <w:rPr>
          <w:rFonts w:hint="eastAsia" w:ascii="宋体" w:hAnsi="宋体"/>
          <w:color w:val="auto"/>
          <w:sz w:val="24"/>
          <w:lang w:val="en-US" w:eastAsia="zh-CN"/>
        </w:rPr>
        <w:t>3.行业标准。是指参照各级政府机关评价粮食风险基金</w:t>
      </w:r>
      <w:r>
        <w:rPr>
          <w:rFonts w:hint="eastAsia" w:ascii="宋体" w:hAnsi="宋体" w:eastAsia="宋体" w:cs="Times New Roman"/>
          <w:color w:val="auto"/>
          <w:sz w:val="24"/>
          <w:szCs w:val="22"/>
          <w:lang w:val="en-US" w:eastAsia="zh-CN"/>
        </w:rPr>
        <w:t>项目</w:t>
      </w:r>
      <w:r>
        <w:rPr>
          <w:rFonts w:hint="eastAsia" w:ascii="宋体" w:hAnsi="宋体"/>
          <w:color w:val="auto"/>
          <w:sz w:val="24"/>
          <w:lang w:val="en-US" w:eastAsia="zh-CN"/>
        </w:rPr>
        <w:t>所采用的指标数据而制定相应的评价标准。</w:t>
      </w:r>
    </w:p>
    <w:p>
      <w:pPr>
        <w:spacing w:line="360" w:lineRule="auto"/>
        <w:ind w:firstLine="560" w:firstLineChars="200"/>
        <w:rPr>
          <w:rStyle w:val="25"/>
          <w:rFonts w:hint="eastAsia" w:ascii="宋体" w:hAnsi="宋体" w:eastAsia="宋体" w:cs="宋体"/>
          <w:b w:val="0"/>
          <w:bCs w:val="0"/>
          <w:color w:val="auto"/>
          <w:sz w:val="28"/>
          <w:szCs w:val="28"/>
          <w:lang w:val="en-US" w:eastAsia="zh-CN"/>
        </w:rPr>
      </w:pPr>
      <w:bookmarkStart w:id="10" w:name="_Toc1568"/>
      <w:r>
        <w:rPr>
          <w:rStyle w:val="25"/>
          <w:rFonts w:hint="eastAsia" w:ascii="宋体" w:hAnsi="宋体" w:eastAsia="宋体" w:cs="宋体"/>
          <w:b w:val="0"/>
          <w:bCs w:val="0"/>
          <w:color w:val="auto"/>
          <w:sz w:val="28"/>
          <w:szCs w:val="28"/>
          <w:lang w:val="en-US" w:eastAsia="zh-CN"/>
        </w:rPr>
        <w:t>（四）评价指标体系及评分标准</w:t>
      </w:r>
    </w:p>
    <w:bookmarkEnd w:id="10"/>
    <w:p>
      <w:pPr>
        <w:spacing w:line="360" w:lineRule="auto"/>
        <w:ind w:firstLine="480" w:firstLineChars="200"/>
        <w:rPr>
          <w:rFonts w:hint="eastAsia" w:ascii="宋体" w:hAnsi="宋体"/>
          <w:color w:val="000000"/>
          <w:sz w:val="24"/>
          <w:lang w:val="en-US" w:eastAsia="zh-CN"/>
        </w:rPr>
      </w:pPr>
      <w:r>
        <w:rPr>
          <w:rFonts w:hint="eastAsia" w:ascii="宋体" w:hAnsi="宋体"/>
          <w:color w:val="auto"/>
          <w:sz w:val="24"/>
          <w:lang w:val="en-US" w:eastAsia="zh-CN"/>
        </w:rPr>
        <w:t>绩效评价工作小组根据财政部、福建省、泉州市和泉州洛江区财政支出绩效评价管理办法的要求，依据相关性、重要性、可比性、系统性及经济性原则，围绕决策、过程、产出和效益四个方面设计绩效评价指标、评分标准和分值。指标体系共设置4个一级指标、13个二级指标、23个三级指标。指标体系设定满分100分，其中：“决策”22分，主要体现项目立项、绩效目标和资金投入情况；“过程”20分，主要体现项目的资金管理和组织实施方面的情况；“产出”30分，主要体现产出数量、产出质量、产出时效和产出成本情况；“效益”28分，主要体现项目社会效益、经济效益、可持续影响和群众满意度等，详见附件</w:t>
      </w:r>
      <w:r>
        <w:rPr>
          <w:rFonts w:hint="eastAsia" w:ascii="宋体" w:hAnsi="宋体"/>
          <w:color w:val="000000"/>
          <w:sz w:val="24"/>
          <w:lang w:val="en-US" w:eastAsia="zh-CN"/>
        </w:rPr>
        <w:t>《洛江区粮食风险基金项目绩效评价指标体系及分值表》。</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绩效评价结果采取评分和评级相结合的方式。总分设置为100分，等级划分为四档：90（含）-100分为优、80（含）-90分为良、60（含）-80分为中、60分以下为差。</w:t>
      </w:r>
    </w:p>
    <w:p>
      <w:pPr>
        <w:pStyle w:val="4"/>
        <w:spacing w:before="0" w:after="0" w:line="360" w:lineRule="auto"/>
        <w:ind w:firstLine="560" w:firstLineChars="200"/>
        <w:rPr>
          <w:rFonts w:hint="eastAsia" w:ascii="宋体" w:hAnsi="宋体" w:eastAsia="宋体"/>
          <w:b w:val="0"/>
          <w:color w:val="auto"/>
          <w:kern w:val="0"/>
          <w:sz w:val="28"/>
          <w:szCs w:val="28"/>
          <w:lang w:bidi="ar"/>
        </w:rPr>
      </w:pPr>
      <w:bookmarkStart w:id="11" w:name="_Toc32714"/>
      <w:r>
        <w:rPr>
          <w:rFonts w:hint="eastAsia" w:ascii="宋体" w:hAnsi="宋体" w:eastAsia="宋体"/>
          <w:b w:val="0"/>
          <w:color w:val="auto"/>
          <w:kern w:val="0"/>
          <w:sz w:val="28"/>
          <w:szCs w:val="28"/>
          <w:lang w:bidi="ar"/>
        </w:rPr>
        <w:t>（</w:t>
      </w:r>
      <w:r>
        <w:rPr>
          <w:rFonts w:hint="eastAsia" w:ascii="宋体" w:hAnsi="宋体" w:eastAsia="宋体"/>
          <w:b w:val="0"/>
          <w:color w:val="auto"/>
          <w:kern w:val="0"/>
          <w:sz w:val="28"/>
          <w:szCs w:val="28"/>
          <w:lang w:eastAsia="zh-CN" w:bidi="ar"/>
        </w:rPr>
        <w:t>五</w:t>
      </w:r>
      <w:r>
        <w:rPr>
          <w:rFonts w:hint="eastAsia" w:ascii="宋体" w:hAnsi="宋体" w:eastAsia="宋体"/>
          <w:b w:val="0"/>
          <w:color w:val="auto"/>
          <w:kern w:val="0"/>
          <w:sz w:val="28"/>
          <w:szCs w:val="28"/>
          <w:lang w:bidi="ar"/>
        </w:rPr>
        <w:t>）绩效评价工作过程</w:t>
      </w:r>
      <w:bookmarkEnd w:id="11"/>
    </w:p>
    <w:p>
      <w:pPr>
        <w:spacing w:line="360" w:lineRule="auto"/>
        <w:ind w:firstLine="480" w:firstLineChars="200"/>
        <w:rPr>
          <w:rFonts w:hint="eastAsia" w:ascii="宋体" w:hAnsi="宋体" w:eastAsia="宋体"/>
          <w:b w:val="0"/>
          <w:bCs w:val="0"/>
          <w:color w:val="auto"/>
          <w:kern w:val="2"/>
          <w:sz w:val="24"/>
          <w:szCs w:val="24"/>
          <w:lang w:val="en-US" w:eastAsia="zh-CN" w:bidi="ar-SA"/>
        </w:rPr>
      </w:pPr>
      <w:r>
        <w:rPr>
          <w:rFonts w:hint="eastAsia" w:ascii="宋体" w:hAnsi="宋体" w:eastAsia="宋体"/>
          <w:b w:val="0"/>
          <w:bCs w:val="0"/>
          <w:color w:val="auto"/>
          <w:kern w:val="2"/>
          <w:sz w:val="24"/>
          <w:szCs w:val="24"/>
          <w:lang w:val="en-US" w:eastAsia="zh-CN" w:bidi="ar-SA"/>
        </w:rPr>
        <w:t>1.前期准备</w:t>
      </w:r>
    </w:p>
    <w:p>
      <w:pPr>
        <w:spacing w:line="360" w:lineRule="auto"/>
        <w:ind w:firstLine="480" w:firstLineChars="200"/>
        <w:rPr>
          <w:rFonts w:hint="eastAsia" w:ascii="宋体" w:hAnsi="宋体" w:eastAsia="宋体"/>
          <w:b w:val="0"/>
          <w:bCs w:val="0"/>
          <w:color w:val="FF0000"/>
          <w:kern w:val="2"/>
          <w:sz w:val="24"/>
          <w:szCs w:val="24"/>
          <w:lang w:val="en-US" w:eastAsia="zh-CN" w:bidi="ar-SA"/>
        </w:rPr>
      </w:pPr>
      <w:r>
        <w:rPr>
          <w:rFonts w:hint="eastAsia" w:ascii="宋体" w:hAnsi="宋体" w:eastAsia="宋体"/>
          <w:b w:val="0"/>
          <w:bCs w:val="0"/>
          <w:color w:val="auto"/>
          <w:kern w:val="2"/>
          <w:sz w:val="24"/>
          <w:szCs w:val="24"/>
          <w:lang w:val="en-US" w:eastAsia="zh-CN" w:bidi="ar-SA"/>
        </w:rPr>
        <w:t>福建征安会计师事务所（普通合伙）组织专业人员，成立泉州市洛江区粮食风险基金绩效评价工作小组。绩效评价工作小组按照</w:t>
      </w:r>
      <w:r>
        <w:rPr>
          <w:rFonts w:hint="eastAsia" w:ascii="宋体" w:hAnsi="宋体" w:eastAsia="宋体" w:cs="Times New Roman"/>
          <w:color w:val="auto"/>
          <w:sz w:val="24"/>
          <w:szCs w:val="22"/>
        </w:rPr>
        <w:t>《项目支出绩效评价管理办法》（财预〔2020〕10号）</w:t>
      </w:r>
      <w:r>
        <w:rPr>
          <w:rFonts w:hint="eastAsia" w:ascii="宋体" w:hAnsi="宋体" w:eastAsia="宋体"/>
          <w:b w:val="0"/>
          <w:bCs w:val="0"/>
          <w:color w:val="auto"/>
          <w:kern w:val="2"/>
          <w:sz w:val="24"/>
          <w:szCs w:val="24"/>
          <w:lang w:val="en-US" w:eastAsia="zh-CN" w:bidi="ar-SA"/>
        </w:rPr>
        <w:t>、《关于全面实施预算绩效管理的实施意见》（闽委发〔2019〕5号）、《全面实施预算绩效管理的若干措施》（泉委办发〔2019〕42号）以及</w:t>
      </w:r>
      <w:r>
        <w:rPr>
          <w:rFonts w:hint="eastAsia" w:ascii="宋体" w:hAnsi="宋体" w:eastAsia="宋体" w:cs="Times New Roman"/>
          <w:color w:val="auto"/>
          <w:sz w:val="24"/>
          <w:szCs w:val="22"/>
        </w:rPr>
        <w:t>《关于开展洛江区预算绩效重点（整体）评价项目绩效评价工作的通知》</w:t>
      </w:r>
      <w:r>
        <w:rPr>
          <w:rFonts w:hint="eastAsia" w:ascii="宋体" w:hAnsi="宋体" w:eastAsia="宋体"/>
          <w:b w:val="0"/>
          <w:bCs w:val="0"/>
          <w:color w:val="auto"/>
          <w:kern w:val="2"/>
          <w:sz w:val="24"/>
          <w:szCs w:val="24"/>
          <w:lang w:val="en-US" w:eastAsia="zh-CN" w:bidi="ar-SA"/>
        </w:rPr>
        <w:t>等文件要求，结合泉州市洛江区粮食风险基金具体情况制定绩效评价工作计划。</w:t>
      </w:r>
    </w:p>
    <w:p>
      <w:pPr>
        <w:spacing w:line="360" w:lineRule="auto"/>
        <w:ind w:firstLine="480" w:firstLineChars="200"/>
        <w:rPr>
          <w:rFonts w:hint="eastAsia" w:ascii="宋体" w:hAnsi="宋体" w:eastAsia="宋体"/>
          <w:b w:val="0"/>
          <w:bCs w:val="0"/>
          <w:color w:val="auto"/>
          <w:kern w:val="2"/>
          <w:sz w:val="24"/>
          <w:szCs w:val="24"/>
          <w:lang w:val="en-US" w:eastAsia="zh-CN" w:bidi="ar-SA"/>
        </w:rPr>
      </w:pPr>
      <w:r>
        <w:rPr>
          <w:rFonts w:hint="eastAsia" w:ascii="宋体" w:hAnsi="宋体" w:eastAsia="宋体"/>
          <w:b w:val="0"/>
          <w:bCs w:val="0"/>
          <w:color w:val="auto"/>
          <w:kern w:val="2"/>
          <w:sz w:val="24"/>
          <w:szCs w:val="24"/>
          <w:lang w:val="en-US" w:eastAsia="zh-CN" w:bidi="ar-SA"/>
        </w:rPr>
        <w:t>2.组织实施</w:t>
      </w:r>
    </w:p>
    <w:p>
      <w:pPr>
        <w:spacing w:line="360" w:lineRule="auto"/>
        <w:ind w:firstLine="480" w:firstLineChars="200"/>
        <w:rPr>
          <w:rFonts w:ascii="宋体" w:hAnsi="宋体"/>
          <w:color w:val="FF0000"/>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rPr>
        <w:t>按计划与要求对20</w:t>
      </w:r>
      <w:r>
        <w:rPr>
          <w:rFonts w:hint="eastAsia" w:ascii="宋体" w:hAnsi="宋体"/>
          <w:color w:val="auto"/>
          <w:sz w:val="24"/>
          <w:lang w:val="en-US" w:eastAsia="zh-CN"/>
        </w:rPr>
        <w:t>21</w:t>
      </w:r>
      <w:r>
        <w:rPr>
          <w:rFonts w:hint="eastAsia" w:ascii="宋体" w:hAnsi="宋体"/>
          <w:color w:val="auto"/>
          <w:sz w:val="24"/>
        </w:rPr>
        <w:t>年度</w:t>
      </w:r>
      <w:r>
        <w:rPr>
          <w:rFonts w:hint="eastAsia" w:ascii="宋体" w:hAnsi="宋体"/>
          <w:color w:val="auto"/>
          <w:sz w:val="24"/>
          <w:lang w:val="en-US" w:eastAsia="zh-CN"/>
        </w:rPr>
        <w:t>泉州市洛江区粮食风险基金</w:t>
      </w:r>
      <w:r>
        <w:rPr>
          <w:rFonts w:hint="eastAsia" w:ascii="宋体" w:hAnsi="宋体"/>
          <w:color w:val="auto"/>
          <w:sz w:val="24"/>
        </w:rPr>
        <w:t>绩效评价工作进行调研方案设计；</w:t>
      </w:r>
    </w:p>
    <w:p>
      <w:pPr>
        <w:spacing w:line="360" w:lineRule="auto"/>
        <w:ind w:firstLine="480" w:firstLineChars="20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rPr>
        <w:t>2</w:t>
      </w:r>
      <w:r>
        <w:rPr>
          <w:rFonts w:hint="eastAsia" w:ascii="宋体" w:hAnsi="宋体"/>
          <w:color w:val="auto"/>
          <w:sz w:val="24"/>
          <w:lang w:eastAsia="zh-CN"/>
        </w:rPr>
        <w:t>）</w:t>
      </w:r>
      <w:r>
        <w:rPr>
          <w:rFonts w:hint="eastAsia" w:ascii="宋体" w:hAnsi="宋体"/>
          <w:color w:val="auto"/>
          <w:sz w:val="24"/>
        </w:rPr>
        <w:t>项目绩效评价工作组成员收集项目资料</w:t>
      </w:r>
      <w:r>
        <w:rPr>
          <w:rFonts w:hint="eastAsia" w:ascii="宋体" w:hAnsi="宋体"/>
          <w:color w:val="auto"/>
          <w:sz w:val="24"/>
          <w:lang w:eastAsia="zh-CN"/>
        </w:rPr>
        <w:t>，</w:t>
      </w:r>
      <w:r>
        <w:rPr>
          <w:rFonts w:hint="eastAsia" w:ascii="宋体" w:hAnsi="宋体" w:cs="宋体"/>
          <w:color w:val="auto"/>
          <w:kern w:val="0"/>
          <w:sz w:val="24"/>
        </w:rPr>
        <w:t>审查核实项目申报、评审、批复及实施等情况，资金拨付、使用及管理情况，相关制度建设执行情况，绩效目标实现程度等</w:t>
      </w:r>
      <w:r>
        <w:rPr>
          <w:rFonts w:hint="eastAsia" w:ascii="宋体" w:hAnsi="宋体"/>
          <w:color w:val="auto"/>
          <w:sz w:val="24"/>
        </w:rPr>
        <w:t>；</w:t>
      </w:r>
    </w:p>
    <w:p>
      <w:pPr>
        <w:spacing w:line="360" w:lineRule="auto"/>
        <w:ind w:firstLine="480" w:firstLineChars="200"/>
        <w:rPr>
          <w:rFonts w:hint="eastAsia" w:ascii="宋体" w:hAnsi="宋体"/>
          <w:color w:val="FF0000"/>
          <w:sz w:val="24"/>
        </w:rPr>
      </w:pPr>
      <w:r>
        <w:rPr>
          <w:rFonts w:hint="eastAsia" w:ascii="宋体" w:hAnsi="宋体"/>
          <w:color w:val="auto"/>
          <w:sz w:val="24"/>
          <w:lang w:eastAsia="zh-CN"/>
        </w:rPr>
        <w:t>（</w:t>
      </w:r>
      <w:r>
        <w:rPr>
          <w:rFonts w:hint="eastAsia" w:ascii="宋体" w:hAnsi="宋体"/>
          <w:color w:val="auto"/>
          <w:sz w:val="24"/>
        </w:rPr>
        <w:t>3</w:t>
      </w:r>
      <w:r>
        <w:rPr>
          <w:rFonts w:hint="eastAsia" w:ascii="宋体" w:hAnsi="宋体"/>
          <w:color w:val="auto"/>
          <w:sz w:val="24"/>
          <w:lang w:eastAsia="zh-CN"/>
        </w:rPr>
        <w:t>）</w:t>
      </w:r>
      <w:r>
        <w:rPr>
          <w:rFonts w:hint="eastAsia" w:ascii="宋体" w:hAnsi="宋体"/>
          <w:color w:val="auto"/>
          <w:sz w:val="24"/>
        </w:rPr>
        <w:t>拟定20</w:t>
      </w:r>
      <w:r>
        <w:rPr>
          <w:rFonts w:hint="eastAsia" w:ascii="宋体" w:hAnsi="宋体"/>
          <w:color w:val="auto"/>
          <w:sz w:val="24"/>
          <w:lang w:val="en-US" w:eastAsia="zh-CN"/>
        </w:rPr>
        <w:t>21</w:t>
      </w:r>
      <w:r>
        <w:rPr>
          <w:rFonts w:hint="eastAsia" w:ascii="宋体" w:hAnsi="宋体"/>
          <w:color w:val="auto"/>
          <w:sz w:val="24"/>
        </w:rPr>
        <w:t>年度</w:t>
      </w:r>
      <w:r>
        <w:rPr>
          <w:rFonts w:hint="eastAsia" w:ascii="宋体" w:hAnsi="宋体"/>
          <w:color w:val="auto"/>
          <w:sz w:val="24"/>
          <w:lang w:val="en-US" w:eastAsia="zh-CN"/>
        </w:rPr>
        <w:t>泉州市洛江区粮食风险基金</w:t>
      </w:r>
      <w:r>
        <w:rPr>
          <w:rFonts w:hint="eastAsia" w:ascii="宋体" w:hAnsi="宋体"/>
          <w:color w:val="auto"/>
          <w:sz w:val="24"/>
        </w:rPr>
        <w:t>绩效评价指标体系，与</w:t>
      </w:r>
      <w:r>
        <w:rPr>
          <w:rFonts w:hint="eastAsia" w:ascii="宋体" w:hAnsi="宋体"/>
          <w:color w:val="auto"/>
          <w:sz w:val="24"/>
          <w:lang w:val="en-US" w:eastAsia="zh-CN"/>
        </w:rPr>
        <w:t>泉州市洛江区财政局、泉州市洛江区发展和改革局</w:t>
      </w:r>
      <w:r>
        <w:rPr>
          <w:rFonts w:hint="eastAsia" w:ascii="宋体" w:hAnsi="宋体"/>
          <w:color w:val="auto"/>
          <w:sz w:val="24"/>
        </w:rPr>
        <w:t>等相关部门商讨指标体系，根据反馈意见，修订绩效评价指标体系；</w:t>
      </w:r>
    </w:p>
    <w:p>
      <w:pPr>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rPr>
        <w:t>4</w:t>
      </w:r>
      <w:r>
        <w:rPr>
          <w:rFonts w:hint="eastAsia" w:ascii="宋体" w:hAnsi="宋体"/>
          <w:color w:val="auto"/>
          <w:sz w:val="24"/>
          <w:lang w:eastAsia="zh-CN"/>
        </w:rPr>
        <w:t>）</w:t>
      </w:r>
      <w:r>
        <w:rPr>
          <w:rFonts w:hint="eastAsia" w:ascii="宋体" w:hAnsi="宋体"/>
          <w:color w:val="auto"/>
          <w:sz w:val="24"/>
        </w:rPr>
        <w:t>根据修订后的指标体系以及绩效评价过程中出现的问题，项目绩效评价工作组进一步搜集</w:t>
      </w:r>
      <w:r>
        <w:rPr>
          <w:rFonts w:hint="eastAsia" w:ascii="宋体" w:hAnsi="宋体"/>
          <w:color w:val="auto"/>
          <w:sz w:val="24"/>
          <w:lang w:eastAsia="zh-CN"/>
        </w:rPr>
        <w:t>、审核</w:t>
      </w:r>
      <w:r>
        <w:rPr>
          <w:rFonts w:hint="eastAsia" w:ascii="宋体" w:hAnsi="宋体"/>
          <w:color w:val="auto"/>
          <w:sz w:val="24"/>
        </w:rPr>
        <w:t>绩效评价所需的数据、资料</w:t>
      </w:r>
      <w:r>
        <w:rPr>
          <w:rFonts w:hint="eastAsia" w:ascii="宋体" w:hAnsi="宋体"/>
          <w:color w:val="auto"/>
          <w:sz w:val="24"/>
          <w:lang w:eastAsia="zh-CN"/>
        </w:rPr>
        <w:t>。</w:t>
      </w:r>
    </w:p>
    <w:p>
      <w:pPr>
        <w:spacing w:line="360" w:lineRule="auto"/>
        <w:ind w:firstLine="480" w:firstLineChars="200"/>
        <w:rPr>
          <w:rFonts w:hint="eastAsia" w:ascii="宋体" w:hAnsi="宋体" w:eastAsia="宋体"/>
          <w:b w:val="0"/>
          <w:bCs w:val="0"/>
          <w:color w:val="FF0000"/>
          <w:kern w:val="2"/>
          <w:sz w:val="24"/>
          <w:szCs w:val="24"/>
          <w:lang w:val="en-US" w:eastAsia="zh-CN" w:bidi="ar-SA"/>
        </w:rPr>
      </w:pPr>
      <w:r>
        <w:rPr>
          <w:rFonts w:hint="eastAsia" w:ascii="宋体" w:hAnsi="宋体" w:eastAsia="宋体"/>
          <w:b w:val="0"/>
          <w:bCs w:val="0"/>
          <w:color w:val="auto"/>
          <w:kern w:val="2"/>
          <w:sz w:val="24"/>
          <w:szCs w:val="24"/>
          <w:lang w:val="en-US" w:eastAsia="zh-CN" w:bidi="ar-SA"/>
        </w:rPr>
        <w:t>3.撰写报告</w:t>
      </w:r>
    </w:p>
    <w:p>
      <w:pPr>
        <w:spacing w:line="360" w:lineRule="auto"/>
        <w:ind w:firstLine="480" w:firstLineChars="200"/>
        <w:rPr>
          <w:rFonts w:hint="eastAsia" w:ascii="宋体" w:hAnsi="宋体"/>
          <w:color w:val="FF0000"/>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lang w:eastAsia="zh-CN"/>
        </w:rPr>
        <w:t>）</w:t>
      </w:r>
      <w:r>
        <w:rPr>
          <w:rFonts w:hint="eastAsia" w:ascii="宋体" w:hAnsi="宋体"/>
          <w:color w:val="auto"/>
          <w:sz w:val="24"/>
        </w:rPr>
        <w:t>归纳、分析、综合数据与资料，对20</w:t>
      </w:r>
      <w:r>
        <w:rPr>
          <w:rFonts w:hint="eastAsia" w:ascii="宋体" w:hAnsi="宋体"/>
          <w:color w:val="auto"/>
          <w:sz w:val="24"/>
          <w:lang w:val="en-US" w:eastAsia="zh-CN"/>
        </w:rPr>
        <w:t>21</w:t>
      </w:r>
      <w:r>
        <w:rPr>
          <w:rFonts w:hint="eastAsia" w:ascii="宋体" w:hAnsi="宋体"/>
          <w:color w:val="auto"/>
          <w:sz w:val="24"/>
        </w:rPr>
        <w:t>年度</w:t>
      </w:r>
      <w:r>
        <w:rPr>
          <w:rFonts w:hint="eastAsia" w:ascii="宋体" w:hAnsi="宋体"/>
          <w:color w:val="auto"/>
          <w:sz w:val="24"/>
          <w:lang w:val="en-US" w:eastAsia="zh-CN"/>
        </w:rPr>
        <w:t>泉州市洛江区粮食风险基金</w:t>
      </w:r>
      <w:r>
        <w:rPr>
          <w:rFonts w:hint="eastAsia" w:ascii="宋体" w:hAnsi="宋体"/>
          <w:color w:val="auto"/>
          <w:sz w:val="24"/>
        </w:rPr>
        <w:t>绩效进行分析，完成20</w:t>
      </w:r>
      <w:r>
        <w:rPr>
          <w:rFonts w:hint="eastAsia" w:ascii="宋体" w:hAnsi="宋体"/>
          <w:color w:val="auto"/>
          <w:sz w:val="24"/>
          <w:lang w:val="en-US" w:eastAsia="zh-CN"/>
        </w:rPr>
        <w:t>21</w:t>
      </w:r>
      <w:r>
        <w:rPr>
          <w:rFonts w:hint="eastAsia" w:ascii="宋体" w:hAnsi="宋体"/>
          <w:color w:val="auto"/>
          <w:sz w:val="24"/>
        </w:rPr>
        <w:t>年度</w:t>
      </w:r>
      <w:r>
        <w:rPr>
          <w:rFonts w:hint="eastAsia" w:ascii="宋体" w:hAnsi="宋体"/>
          <w:color w:val="auto"/>
          <w:sz w:val="24"/>
          <w:lang w:val="en-US" w:eastAsia="zh-CN"/>
        </w:rPr>
        <w:t>泉州市洛江区粮食风险基金</w:t>
      </w:r>
      <w:r>
        <w:rPr>
          <w:rFonts w:hint="eastAsia" w:ascii="宋体" w:hAnsi="宋体"/>
          <w:color w:val="auto"/>
          <w:sz w:val="24"/>
        </w:rPr>
        <w:t>绩效评价报告</w:t>
      </w:r>
      <w:r>
        <w:rPr>
          <w:rFonts w:hint="eastAsia" w:ascii="宋体" w:hAnsi="宋体"/>
          <w:color w:val="auto"/>
          <w:sz w:val="24"/>
          <w:lang w:eastAsia="zh-CN"/>
        </w:rPr>
        <w:t>征求意见</w:t>
      </w:r>
      <w:r>
        <w:rPr>
          <w:rFonts w:hint="eastAsia" w:ascii="宋体" w:hAnsi="宋体"/>
          <w:color w:val="auto"/>
          <w:sz w:val="24"/>
        </w:rPr>
        <w:t>稿；</w:t>
      </w:r>
    </w:p>
    <w:p>
      <w:pPr>
        <w:spacing w:line="360" w:lineRule="auto"/>
        <w:ind w:firstLine="480" w:firstLineChars="200"/>
        <w:rPr>
          <w:rFonts w:hint="eastAsia" w:ascii="宋体" w:hAnsi="宋体"/>
          <w:color w:val="FF0000"/>
          <w:sz w:val="24"/>
        </w:rPr>
      </w:pPr>
      <w:r>
        <w:rPr>
          <w:rFonts w:hint="eastAsia" w:ascii="宋体" w:hAnsi="宋体"/>
          <w:color w:val="auto"/>
          <w:sz w:val="24"/>
          <w:lang w:eastAsia="zh-CN"/>
        </w:rPr>
        <w:t>（</w:t>
      </w:r>
      <w:r>
        <w:rPr>
          <w:rFonts w:hint="eastAsia" w:ascii="宋体" w:hAnsi="宋体"/>
          <w:color w:val="auto"/>
          <w:sz w:val="24"/>
          <w:lang w:val="en-US" w:eastAsia="zh-CN"/>
        </w:rPr>
        <w:t>2</w:t>
      </w:r>
      <w:r>
        <w:rPr>
          <w:rFonts w:hint="eastAsia" w:ascii="宋体" w:hAnsi="宋体"/>
          <w:color w:val="auto"/>
          <w:sz w:val="24"/>
          <w:lang w:eastAsia="zh-CN"/>
        </w:rPr>
        <w:t>）</w:t>
      </w:r>
      <w:r>
        <w:rPr>
          <w:rFonts w:hint="eastAsia" w:ascii="宋体" w:hAnsi="宋体"/>
          <w:color w:val="auto"/>
          <w:sz w:val="24"/>
        </w:rPr>
        <w:t>征询</w:t>
      </w:r>
      <w:r>
        <w:rPr>
          <w:rFonts w:hint="eastAsia" w:ascii="宋体" w:hAnsi="宋体"/>
          <w:color w:val="auto"/>
          <w:sz w:val="24"/>
          <w:lang w:val="en-US" w:eastAsia="zh-CN"/>
        </w:rPr>
        <w:t>泉州市洛江区财政局和泉州市洛江区发展和改革局</w:t>
      </w:r>
      <w:r>
        <w:rPr>
          <w:rFonts w:hint="eastAsia" w:ascii="宋体" w:hAnsi="宋体"/>
          <w:color w:val="auto"/>
          <w:sz w:val="24"/>
        </w:rPr>
        <w:t>的意见</w:t>
      </w:r>
      <w:r>
        <w:rPr>
          <w:rFonts w:hint="eastAsia" w:ascii="宋体" w:hAnsi="宋体"/>
          <w:color w:val="FF0000"/>
          <w:sz w:val="24"/>
        </w:rPr>
        <w:t>，</w:t>
      </w:r>
      <w:r>
        <w:rPr>
          <w:rFonts w:hint="eastAsia" w:ascii="宋体" w:hAnsi="宋体"/>
          <w:color w:val="auto"/>
          <w:sz w:val="24"/>
        </w:rPr>
        <w:t>对</w:t>
      </w:r>
      <w:r>
        <w:rPr>
          <w:rFonts w:hint="eastAsia" w:ascii="宋体" w:hAnsi="宋体"/>
          <w:color w:val="auto"/>
          <w:sz w:val="24"/>
          <w:lang w:eastAsia="zh-CN"/>
        </w:rPr>
        <w:t>征求意见</w:t>
      </w:r>
      <w:r>
        <w:rPr>
          <w:rFonts w:hint="eastAsia" w:ascii="宋体" w:hAnsi="宋体"/>
          <w:color w:val="auto"/>
          <w:sz w:val="24"/>
        </w:rPr>
        <w:t>稿进行修改，完成《20</w:t>
      </w:r>
      <w:r>
        <w:rPr>
          <w:rFonts w:hint="eastAsia" w:ascii="宋体" w:hAnsi="宋体"/>
          <w:color w:val="auto"/>
          <w:sz w:val="24"/>
          <w:lang w:val="en-US" w:eastAsia="zh-CN"/>
        </w:rPr>
        <w:t>21</w:t>
      </w:r>
      <w:r>
        <w:rPr>
          <w:rFonts w:hint="eastAsia" w:ascii="宋体" w:hAnsi="宋体"/>
          <w:color w:val="auto"/>
          <w:sz w:val="24"/>
        </w:rPr>
        <w:t>年度</w:t>
      </w:r>
      <w:r>
        <w:rPr>
          <w:rFonts w:hint="eastAsia" w:ascii="宋体" w:hAnsi="宋体"/>
          <w:color w:val="auto"/>
          <w:sz w:val="24"/>
          <w:lang w:val="en-US" w:eastAsia="zh-CN"/>
        </w:rPr>
        <w:t>泉州市洛江区粮食风险基金项目</w:t>
      </w:r>
      <w:r>
        <w:rPr>
          <w:rFonts w:hint="eastAsia" w:ascii="宋体" w:hAnsi="宋体"/>
          <w:color w:val="auto"/>
          <w:sz w:val="24"/>
        </w:rPr>
        <w:t>绩效评价报告》。</w:t>
      </w:r>
    </w:p>
    <w:p>
      <w:pPr>
        <w:pStyle w:val="3"/>
        <w:spacing w:before="0" w:after="0" w:line="360" w:lineRule="auto"/>
        <w:ind w:firstLine="562" w:firstLineChars="200"/>
        <w:rPr>
          <w:rFonts w:hint="eastAsia" w:eastAsia="宋体"/>
          <w:color w:val="auto"/>
          <w:kern w:val="0"/>
          <w:sz w:val="28"/>
          <w:szCs w:val="28"/>
          <w:lang w:eastAsia="zh-CN"/>
        </w:rPr>
      </w:pPr>
      <w:bookmarkStart w:id="12" w:name="_Toc298"/>
      <w:r>
        <w:rPr>
          <w:rFonts w:hint="eastAsia"/>
          <w:color w:val="auto"/>
          <w:kern w:val="0"/>
          <w:sz w:val="28"/>
          <w:szCs w:val="28"/>
        </w:rPr>
        <w:t>三、</w:t>
      </w:r>
      <w:r>
        <w:rPr>
          <w:rFonts w:hint="eastAsia"/>
          <w:color w:val="auto"/>
          <w:kern w:val="0"/>
          <w:sz w:val="28"/>
          <w:szCs w:val="28"/>
          <w:lang w:eastAsia="zh-CN"/>
        </w:rPr>
        <w:t>综合评价及评价结论</w:t>
      </w:r>
      <w:bookmarkEnd w:id="12"/>
    </w:p>
    <w:p>
      <w:pPr>
        <w:widowControl/>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auto"/>
          <w:sz w:val="24"/>
        </w:rPr>
        <w:t>绩效评价工作小组审阅了</w:t>
      </w:r>
      <w:r>
        <w:rPr>
          <w:rFonts w:hint="eastAsia" w:ascii="宋体" w:hAnsi="宋体"/>
          <w:color w:val="auto"/>
          <w:sz w:val="24"/>
          <w:lang w:val="en-US" w:eastAsia="zh-CN"/>
        </w:rPr>
        <w:t>泉州市洛江区发展和改革局粮食风险基金</w:t>
      </w:r>
      <w:r>
        <w:rPr>
          <w:rFonts w:hint="eastAsia" w:ascii="宋体" w:hAnsi="宋体"/>
          <w:color w:val="auto"/>
          <w:sz w:val="24"/>
        </w:rPr>
        <w:t>相关资料，与</w:t>
      </w:r>
      <w:r>
        <w:rPr>
          <w:rFonts w:hint="eastAsia" w:ascii="宋体" w:hAnsi="宋体"/>
          <w:color w:val="auto"/>
          <w:sz w:val="24"/>
          <w:lang w:val="en-US" w:eastAsia="zh-CN"/>
        </w:rPr>
        <w:t>相关</w:t>
      </w:r>
      <w:r>
        <w:rPr>
          <w:rFonts w:hint="eastAsia" w:ascii="宋体" w:hAnsi="宋体"/>
          <w:color w:val="000000" w:themeColor="text1"/>
          <w:sz w:val="24"/>
          <w:u w:val="none"/>
          <w14:textFill>
            <w14:solidFill>
              <w14:schemeClr w14:val="tx1"/>
            </w14:solidFill>
          </w14:textFill>
        </w:rPr>
        <w:t>工作人员</w:t>
      </w:r>
      <w:r>
        <w:rPr>
          <w:rFonts w:hint="eastAsia" w:ascii="宋体" w:hAnsi="宋体"/>
          <w:color w:val="auto"/>
          <w:sz w:val="24"/>
        </w:rPr>
        <w:t>进行座谈和征求意见，查阅档案、收集资金使用和成果的相关信息资料，采取定性和定量分析方法，对20</w:t>
      </w:r>
      <w:r>
        <w:rPr>
          <w:rFonts w:hint="eastAsia" w:ascii="宋体" w:hAnsi="宋体"/>
          <w:color w:val="auto"/>
          <w:sz w:val="24"/>
          <w:lang w:val="en-US" w:eastAsia="zh-CN"/>
        </w:rPr>
        <w:t>21</w:t>
      </w:r>
      <w:r>
        <w:rPr>
          <w:rFonts w:hint="eastAsia" w:ascii="宋体" w:hAnsi="宋体"/>
          <w:color w:val="auto"/>
          <w:sz w:val="24"/>
        </w:rPr>
        <w:t>年度</w:t>
      </w:r>
      <w:r>
        <w:rPr>
          <w:rFonts w:hint="eastAsia" w:ascii="宋体" w:hAnsi="宋体"/>
          <w:color w:val="auto"/>
          <w:sz w:val="24"/>
          <w:lang w:val="en-US" w:eastAsia="zh-CN"/>
        </w:rPr>
        <w:t>泉州市洛江区发展和改革局粮食</w:t>
      </w:r>
      <w:r>
        <w:rPr>
          <w:rFonts w:hint="eastAsia" w:ascii="宋体" w:hAnsi="宋体"/>
          <w:color w:val="000000" w:themeColor="text1"/>
          <w:sz w:val="24"/>
          <w:lang w:val="en-US" w:eastAsia="zh-CN"/>
          <w14:textFill>
            <w14:solidFill>
              <w14:schemeClr w14:val="tx1"/>
            </w14:solidFill>
          </w14:textFill>
        </w:rPr>
        <w:t>风险基金</w:t>
      </w:r>
      <w:r>
        <w:rPr>
          <w:rFonts w:hint="eastAsia" w:ascii="宋体" w:hAnsi="宋体"/>
          <w:color w:val="000000" w:themeColor="text1"/>
          <w:sz w:val="24"/>
          <w14:textFill>
            <w14:solidFill>
              <w14:schemeClr w14:val="tx1"/>
            </w14:solidFill>
          </w14:textFill>
        </w:rPr>
        <w:t>决策、过程管理、产出与效益等方面进行综合评价。</w:t>
      </w:r>
    </w:p>
    <w:p>
      <w:pPr>
        <w:widowControl/>
        <w:spacing w:line="360" w:lineRule="auto"/>
        <w:ind w:firstLine="480" w:firstLineChars="200"/>
        <w:rPr>
          <w:rFonts w:hint="eastAsia" w:ascii="宋体" w:hAnsi="宋体"/>
          <w:color w:val="000000"/>
          <w:sz w:val="24"/>
        </w:rPr>
      </w:pPr>
      <w:r>
        <w:rPr>
          <w:rFonts w:hint="eastAsia" w:ascii="宋体" w:hAnsi="宋体"/>
          <w:color w:val="auto"/>
          <w:sz w:val="24"/>
        </w:rPr>
        <w:t>20</w:t>
      </w:r>
      <w:r>
        <w:rPr>
          <w:rFonts w:hint="eastAsia" w:ascii="宋体" w:hAnsi="宋体"/>
          <w:color w:val="auto"/>
          <w:sz w:val="24"/>
          <w:lang w:val="en-US" w:eastAsia="zh-CN"/>
        </w:rPr>
        <w:t>21</w:t>
      </w:r>
      <w:r>
        <w:rPr>
          <w:rFonts w:hint="eastAsia" w:ascii="宋体" w:hAnsi="宋体"/>
          <w:color w:val="auto"/>
          <w:sz w:val="24"/>
        </w:rPr>
        <w:t>年度</w:t>
      </w:r>
      <w:r>
        <w:rPr>
          <w:rFonts w:hint="eastAsia" w:ascii="宋体" w:hAnsi="宋体"/>
          <w:color w:val="auto"/>
          <w:sz w:val="24"/>
          <w:lang w:val="en-US" w:eastAsia="zh-CN"/>
        </w:rPr>
        <w:t>泉州市洛江区发展和改革局粮食风险基金</w:t>
      </w:r>
      <w:r>
        <w:rPr>
          <w:rFonts w:hint="eastAsia" w:ascii="宋体" w:hAnsi="宋体"/>
          <w:color w:val="auto"/>
          <w:sz w:val="24"/>
          <w:lang w:eastAsia="zh-CN"/>
        </w:rPr>
        <w:t>立项</w:t>
      </w:r>
      <w:r>
        <w:rPr>
          <w:rFonts w:hint="eastAsia" w:ascii="宋体" w:hAnsi="宋体"/>
          <w:color w:val="auto"/>
          <w:sz w:val="24"/>
          <w:lang w:val="en-US" w:eastAsia="zh-CN"/>
        </w:rPr>
        <w:t>依据充分、</w:t>
      </w:r>
      <w:r>
        <w:rPr>
          <w:rFonts w:hint="eastAsia" w:ascii="宋体" w:hAnsi="宋体"/>
          <w:color w:val="000000"/>
          <w:sz w:val="24"/>
          <w:lang w:val="en-US" w:eastAsia="zh-CN"/>
        </w:rPr>
        <w:t>程序规范，资金到位及时，业务管理制度和财务管理制度较健全，产出和效益绩效目标基本完成，</w:t>
      </w:r>
      <w:r>
        <w:rPr>
          <w:rFonts w:hint="eastAsia" w:ascii="宋体" w:hAnsi="宋体"/>
          <w:color w:val="000000"/>
          <w:sz w:val="24"/>
        </w:rPr>
        <w:t>执行情况较好，大部分达到了各项绩效指标的要求，绩效评价共得分</w:t>
      </w:r>
      <w:r>
        <w:rPr>
          <w:rFonts w:hint="eastAsia" w:ascii="宋体" w:hAnsi="宋体"/>
          <w:color w:val="000000"/>
          <w:sz w:val="24"/>
          <w:lang w:val="en-US" w:eastAsia="zh-CN"/>
        </w:rPr>
        <w:t>91</w:t>
      </w:r>
      <w:r>
        <w:rPr>
          <w:rFonts w:hint="eastAsia" w:ascii="宋体" w:hAnsi="宋体"/>
          <w:color w:val="000000"/>
          <w:sz w:val="24"/>
        </w:rPr>
        <w:t>分，评价等级为</w:t>
      </w:r>
      <w:r>
        <w:rPr>
          <w:rFonts w:hint="eastAsia" w:ascii="宋体" w:hAnsi="宋体"/>
          <w:color w:val="000000"/>
          <w:sz w:val="24"/>
          <w:lang w:val="en-US" w:eastAsia="zh-CN"/>
        </w:rPr>
        <w:t>优</w:t>
      </w:r>
      <w:r>
        <w:rPr>
          <w:rFonts w:hint="eastAsia" w:ascii="宋体" w:hAnsi="宋体"/>
          <w:color w:val="000000"/>
          <w:sz w:val="24"/>
        </w:rPr>
        <w:t>。</w:t>
      </w:r>
    </w:p>
    <w:p>
      <w:pPr>
        <w:pStyle w:val="3"/>
        <w:spacing w:before="0" w:after="0" w:line="360" w:lineRule="auto"/>
        <w:ind w:firstLine="562" w:firstLineChars="200"/>
        <w:rPr>
          <w:rFonts w:hint="eastAsia"/>
          <w:color w:val="auto"/>
          <w:kern w:val="0"/>
          <w:sz w:val="28"/>
          <w:szCs w:val="28"/>
        </w:rPr>
      </w:pPr>
      <w:bookmarkStart w:id="13" w:name="_Toc15395"/>
      <w:r>
        <w:rPr>
          <w:rFonts w:hint="eastAsia"/>
          <w:color w:val="auto"/>
          <w:kern w:val="0"/>
          <w:sz w:val="28"/>
          <w:szCs w:val="28"/>
        </w:rPr>
        <w:t>四、</w:t>
      </w:r>
      <w:bookmarkStart w:id="14" w:name="_Hlk495161152"/>
      <w:r>
        <w:rPr>
          <w:rFonts w:hint="eastAsia"/>
          <w:color w:val="auto"/>
          <w:kern w:val="0"/>
          <w:sz w:val="28"/>
          <w:szCs w:val="28"/>
        </w:rPr>
        <w:t>绩效评价指标分析</w:t>
      </w:r>
      <w:bookmarkEnd w:id="13"/>
      <w:bookmarkEnd w:id="14"/>
    </w:p>
    <w:p>
      <w:pPr>
        <w:bidi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绩效评价工作小组根据</w:t>
      </w:r>
      <w:r>
        <w:rPr>
          <w:rFonts w:hint="eastAsia" w:ascii="宋体" w:hAnsi="宋体" w:eastAsia="宋体" w:cs="Times New Roman"/>
          <w:color w:val="auto"/>
          <w:sz w:val="24"/>
          <w:szCs w:val="22"/>
        </w:rPr>
        <w:t>《关于开展洛江区预算绩效重点（整体）评价项目绩效评价工作的通知》</w:t>
      </w:r>
      <w:r>
        <w:rPr>
          <w:rFonts w:hint="eastAsia" w:ascii="宋体" w:hAnsi="宋体" w:eastAsia="宋体" w:cs="宋体"/>
          <w:color w:val="auto"/>
          <w:sz w:val="24"/>
          <w:szCs w:val="24"/>
          <w:lang w:val="en-US" w:eastAsia="zh-CN"/>
        </w:rPr>
        <w:t>等文件，对粮食风险基金项目进行绩效评价。粮食风险基金项目绩效主要从项目决策、过程管理、产出与效益四个方面着手进行评价，权重分别为22%、20%、30%、28%。</w:t>
      </w:r>
    </w:p>
    <w:p>
      <w:pPr>
        <w:pStyle w:val="4"/>
        <w:keepNext/>
        <w:keepLines/>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b w:val="0"/>
          <w:bCs w:val="0"/>
          <w:color w:val="auto"/>
          <w:sz w:val="24"/>
          <w:szCs w:val="24"/>
          <w:lang w:eastAsia="zh-CN"/>
        </w:rPr>
      </w:pPr>
      <w:bookmarkStart w:id="15" w:name="_Toc28508"/>
      <w:r>
        <w:rPr>
          <w:rFonts w:hint="eastAsia" w:ascii="宋体" w:hAnsi="宋体" w:eastAsia="宋体" w:cs="宋体"/>
          <w:b w:val="0"/>
          <w:bCs w:val="0"/>
          <w:color w:val="auto"/>
          <w:sz w:val="28"/>
          <w:szCs w:val="28"/>
        </w:rPr>
        <w:t>（一）项目决策情况</w:t>
      </w:r>
      <w:r>
        <w:rPr>
          <w:rFonts w:hint="eastAsia" w:ascii="宋体" w:hAnsi="宋体" w:eastAsia="宋体" w:cs="宋体"/>
          <w:b w:val="0"/>
          <w:bCs w:val="0"/>
          <w:color w:val="auto"/>
          <w:sz w:val="28"/>
          <w:szCs w:val="28"/>
          <w:lang w:eastAsia="zh-CN"/>
        </w:rPr>
        <w:t>（分值</w:t>
      </w:r>
      <w:r>
        <w:rPr>
          <w:rFonts w:hint="eastAsia" w:ascii="宋体" w:hAnsi="宋体" w:eastAsia="宋体" w:cs="宋体"/>
          <w:b w:val="0"/>
          <w:bCs w:val="0"/>
          <w:color w:val="auto"/>
          <w:sz w:val="28"/>
          <w:szCs w:val="28"/>
          <w:lang w:val="en-US" w:eastAsia="zh-CN"/>
        </w:rPr>
        <w:t>22分，得分19分）</w:t>
      </w:r>
      <w:bookmarkEnd w:id="15"/>
    </w:p>
    <w:p>
      <w:pPr>
        <w:spacing w:line="360" w:lineRule="auto"/>
        <w:ind w:firstLine="480"/>
        <w:rPr>
          <w:color w:val="FF0000"/>
          <w:sz w:val="24"/>
          <w:szCs w:val="24"/>
        </w:rPr>
      </w:pPr>
      <w:r>
        <w:rPr>
          <w:rFonts w:hint="eastAsia"/>
          <w:color w:val="auto"/>
          <w:sz w:val="24"/>
          <w:szCs w:val="24"/>
        </w:rPr>
        <w:t>项目</w:t>
      </w:r>
      <w:r>
        <w:rPr>
          <w:rFonts w:hint="eastAsia"/>
          <w:color w:val="auto"/>
          <w:sz w:val="24"/>
          <w:szCs w:val="24"/>
          <w:lang w:eastAsia="zh-CN"/>
        </w:rPr>
        <w:t>决策</w:t>
      </w:r>
      <w:r>
        <w:rPr>
          <w:rFonts w:hint="eastAsia"/>
          <w:color w:val="auto"/>
          <w:sz w:val="24"/>
          <w:szCs w:val="24"/>
        </w:rPr>
        <w:t>设置项目立项</w:t>
      </w:r>
      <w:r>
        <w:rPr>
          <w:rFonts w:hint="eastAsia"/>
          <w:color w:val="auto"/>
          <w:sz w:val="24"/>
          <w:szCs w:val="24"/>
          <w:lang w:eastAsia="zh-CN"/>
        </w:rPr>
        <w:t>、绩效目标、</w:t>
      </w:r>
      <w:r>
        <w:rPr>
          <w:rFonts w:hint="eastAsia"/>
          <w:color w:val="auto"/>
          <w:sz w:val="24"/>
          <w:szCs w:val="24"/>
        </w:rPr>
        <w:t>资金</w:t>
      </w:r>
      <w:r>
        <w:rPr>
          <w:rFonts w:hint="eastAsia"/>
          <w:color w:val="auto"/>
          <w:sz w:val="24"/>
          <w:szCs w:val="24"/>
          <w:lang w:eastAsia="zh-CN"/>
        </w:rPr>
        <w:t>投入三个</w:t>
      </w:r>
      <w:r>
        <w:rPr>
          <w:rFonts w:hint="eastAsia"/>
          <w:color w:val="auto"/>
          <w:sz w:val="24"/>
          <w:szCs w:val="24"/>
        </w:rPr>
        <w:t>二级指标</w:t>
      </w:r>
      <w:r>
        <w:rPr>
          <w:rFonts w:hint="eastAsia"/>
          <w:color w:val="auto"/>
          <w:sz w:val="24"/>
          <w:szCs w:val="24"/>
          <w:lang w:eastAsia="zh-CN"/>
        </w:rPr>
        <w:t>。其中</w:t>
      </w:r>
      <w:r>
        <w:rPr>
          <w:rFonts w:hint="eastAsia"/>
          <w:color w:val="auto"/>
          <w:sz w:val="24"/>
          <w:szCs w:val="24"/>
        </w:rPr>
        <w:t>项目立项</w:t>
      </w:r>
      <w:r>
        <w:rPr>
          <w:rFonts w:hint="eastAsia"/>
          <w:color w:val="auto"/>
          <w:sz w:val="24"/>
          <w:szCs w:val="24"/>
          <w:lang w:eastAsia="zh-CN"/>
        </w:rPr>
        <w:t>权重</w:t>
      </w: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从立项依据充分性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立项程序规范性</w:t>
      </w:r>
      <w:r>
        <w:rPr>
          <w:rFonts w:hint="eastAsia" w:ascii="宋体" w:hAnsi="宋体" w:eastAsia="宋体" w:cs="宋体"/>
          <w:color w:val="auto"/>
          <w:sz w:val="24"/>
          <w:szCs w:val="24"/>
          <w:lang w:eastAsia="zh-CN"/>
        </w:rPr>
        <w:t>两</w:t>
      </w:r>
      <w:r>
        <w:rPr>
          <w:rFonts w:hint="eastAsia" w:ascii="宋体" w:hAnsi="宋体" w:eastAsia="宋体" w:cs="宋体"/>
          <w:color w:val="auto"/>
          <w:sz w:val="24"/>
          <w:szCs w:val="24"/>
        </w:rPr>
        <w:t>方面进行评价</w:t>
      </w:r>
      <w:r>
        <w:rPr>
          <w:rFonts w:hint="eastAsia" w:ascii="宋体" w:hAnsi="宋体" w:eastAsia="宋体" w:cs="宋体"/>
          <w:color w:val="auto"/>
          <w:sz w:val="24"/>
          <w:szCs w:val="24"/>
          <w:lang w:eastAsia="zh-CN"/>
        </w:rPr>
        <w:t>；绩效目标</w:t>
      </w:r>
      <w:r>
        <w:rPr>
          <w:rFonts w:hint="eastAsia" w:ascii="宋体" w:hAnsi="宋体" w:eastAsia="宋体" w:cs="宋体"/>
          <w:color w:val="auto"/>
          <w:sz w:val="24"/>
          <w:szCs w:val="24"/>
        </w:rPr>
        <w:t>权重为</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%，从</w:t>
      </w:r>
      <w:r>
        <w:rPr>
          <w:rFonts w:hint="eastAsia" w:ascii="宋体" w:hAnsi="宋体" w:eastAsia="宋体" w:cs="宋体"/>
          <w:color w:val="auto"/>
          <w:sz w:val="24"/>
          <w:szCs w:val="24"/>
          <w:lang w:eastAsia="zh-CN"/>
        </w:rPr>
        <w:t>绩效目标合理性、绩效指标明确性两方面进行评价；</w:t>
      </w:r>
      <w:r>
        <w:rPr>
          <w:rFonts w:hint="eastAsia" w:ascii="宋体" w:hAnsi="宋体" w:eastAsia="宋体" w:cs="宋体"/>
          <w:color w:val="auto"/>
          <w:sz w:val="24"/>
          <w:szCs w:val="24"/>
        </w:rPr>
        <w:t>资金</w:t>
      </w:r>
      <w:r>
        <w:rPr>
          <w:rFonts w:hint="eastAsia" w:ascii="宋体" w:hAnsi="宋体" w:eastAsia="宋体" w:cs="宋体"/>
          <w:color w:val="auto"/>
          <w:sz w:val="24"/>
          <w:szCs w:val="24"/>
          <w:lang w:eastAsia="zh-CN"/>
        </w:rPr>
        <w:t>投入权重为</w:t>
      </w:r>
      <w:r>
        <w:rPr>
          <w:rFonts w:hint="eastAsia" w:ascii="宋体" w:hAnsi="宋体" w:eastAsia="宋体" w:cs="宋体"/>
          <w:color w:val="auto"/>
          <w:sz w:val="24"/>
          <w:szCs w:val="24"/>
          <w:lang w:val="en-US" w:eastAsia="zh-CN"/>
        </w:rPr>
        <w:t>8%，从</w:t>
      </w:r>
      <w:r>
        <w:rPr>
          <w:rFonts w:hint="eastAsia" w:ascii="宋体" w:hAnsi="宋体" w:eastAsia="宋体" w:cs="宋体"/>
          <w:color w:val="auto"/>
          <w:sz w:val="24"/>
          <w:szCs w:val="24"/>
        </w:rPr>
        <w:t>预算编制科学性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资金分配合理性</w:t>
      </w:r>
      <w:r>
        <w:rPr>
          <w:rFonts w:hint="eastAsia" w:ascii="宋体" w:hAnsi="宋体" w:eastAsia="宋体" w:cs="宋体"/>
          <w:color w:val="auto"/>
          <w:sz w:val="24"/>
          <w:szCs w:val="24"/>
          <w:lang w:eastAsia="zh-CN"/>
        </w:rPr>
        <w:t>两</w:t>
      </w:r>
      <w:r>
        <w:rPr>
          <w:rFonts w:hint="eastAsia" w:ascii="宋体" w:hAnsi="宋体" w:eastAsia="宋体" w:cs="宋体"/>
          <w:color w:val="auto"/>
          <w:sz w:val="24"/>
          <w:szCs w:val="24"/>
        </w:rPr>
        <w:t>个方面进行评价</w:t>
      </w:r>
      <w:r>
        <w:rPr>
          <w:rFonts w:hint="eastAsia"/>
          <w:color w:val="auto"/>
          <w:sz w:val="24"/>
          <w:szCs w:val="24"/>
        </w:rPr>
        <w:t>。</w:t>
      </w:r>
    </w:p>
    <w:p>
      <w:pPr>
        <w:pStyle w:val="41"/>
        <w:numPr>
          <w:ilvl w:val="0"/>
          <w:numId w:val="0"/>
        </w:numPr>
        <w:spacing w:line="360" w:lineRule="auto"/>
        <w:ind w:left="480" w:leftChars="0"/>
        <w:rPr>
          <w:rFonts w:ascii="黑体" w:hAnsi="黑体" w:eastAsia="黑体"/>
          <w:color w:val="auto"/>
          <w:sz w:val="24"/>
          <w:szCs w:val="24"/>
        </w:rPr>
      </w:pPr>
      <w:r>
        <w:rPr>
          <w:rFonts w:hint="eastAsia" w:ascii="黑体" w:hAnsi="黑体" w:eastAsia="黑体"/>
          <w:color w:val="auto"/>
          <w:sz w:val="24"/>
          <w:szCs w:val="24"/>
          <w:lang w:val="en-US" w:eastAsia="zh-CN"/>
        </w:rPr>
        <w:t>1.</w:t>
      </w:r>
      <w:r>
        <w:rPr>
          <w:rFonts w:hint="eastAsia" w:ascii="黑体" w:hAnsi="黑体" w:eastAsia="黑体"/>
          <w:color w:val="auto"/>
          <w:sz w:val="24"/>
          <w:szCs w:val="24"/>
        </w:rPr>
        <w:t>立项依据充分性（</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分）</w:t>
      </w:r>
    </w:p>
    <w:p>
      <w:pPr>
        <w:spacing w:line="360" w:lineRule="auto"/>
        <w:ind w:firstLine="480" w:firstLineChars="0"/>
        <w:rPr>
          <w:color w:val="auto"/>
          <w:sz w:val="24"/>
          <w:szCs w:val="24"/>
        </w:rPr>
      </w:pPr>
      <w:r>
        <w:rPr>
          <w:rFonts w:hint="eastAsia"/>
          <w:color w:val="auto"/>
          <w:sz w:val="24"/>
          <w:szCs w:val="24"/>
        </w:rPr>
        <w:t>立项依据充分性</w:t>
      </w:r>
      <w:r>
        <w:rPr>
          <w:rFonts w:hint="eastAsia"/>
          <w:color w:val="auto"/>
          <w:sz w:val="24"/>
          <w:szCs w:val="24"/>
          <w:lang w:eastAsia="zh-CN"/>
        </w:rPr>
        <w:t>指标主要评价</w:t>
      </w:r>
      <w:r>
        <w:rPr>
          <w:rFonts w:hint="eastAsia"/>
          <w:color w:val="auto"/>
          <w:sz w:val="24"/>
          <w:szCs w:val="24"/>
        </w:rPr>
        <w:t>项目立项是否符合法律法规、相关政策、发展规划以及部门职责，用以反映和考核项目立项依据情况。</w:t>
      </w:r>
    </w:p>
    <w:p>
      <w:pPr>
        <w:spacing w:line="360" w:lineRule="auto"/>
        <w:ind w:firstLine="480" w:firstLineChars="0"/>
        <w:rPr>
          <w:rFonts w:hint="eastAsia"/>
          <w:color w:val="auto"/>
          <w:sz w:val="24"/>
          <w:szCs w:val="24"/>
        </w:rPr>
      </w:pPr>
      <w:r>
        <w:rPr>
          <w:rFonts w:hint="eastAsia"/>
          <w:color w:val="auto"/>
          <w:sz w:val="24"/>
          <w:szCs w:val="24"/>
          <w:lang w:eastAsia="zh-CN"/>
        </w:rPr>
        <w:t>项目依据《关于下达地方粮油储备任务及政策性粮油业务的通知》（泉洛发改[2021]12号）、《泉州市洛江区财政局 泉州市洛江区发展和改革局关于下达2021年度粮食政策性补贴计划的通知》（泉洛财[2021]27号）、《泉州市洛江区发展和改革局 泉州市洛江区财政局关于下达新增地方粮油储备任务的通知》（泉洛发改[2021]25号）等文件申请立项。项目立项符合国家法律法规、国民经济发展规划和相关政策；符合行业发展规划和政策要求；与部门职责范围相符，属于部门履职所需；属于公共财政支持范围，符合中央、地方事权支出责任划分原则；不与相关部门同类项目或部门内部相关项目重复。</w:t>
      </w:r>
      <w:r>
        <w:rPr>
          <w:rFonts w:hint="eastAsia"/>
          <w:color w:val="auto"/>
          <w:sz w:val="24"/>
          <w:szCs w:val="24"/>
        </w:rPr>
        <w:t>本项得</w:t>
      </w:r>
      <w:r>
        <w:rPr>
          <w:rFonts w:hint="eastAsia" w:ascii="宋体" w:hAnsi="宋体" w:eastAsia="宋体" w:cs="宋体"/>
          <w:color w:val="auto"/>
          <w:sz w:val="24"/>
          <w:szCs w:val="24"/>
          <w:lang w:val="en-US" w:eastAsia="zh-CN"/>
        </w:rPr>
        <w:t>分</w:t>
      </w:r>
      <w:r>
        <w:rPr>
          <w:rFonts w:hint="eastAsia"/>
          <w:color w:val="auto"/>
          <w:sz w:val="24"/>
          <w:szCs w:val="24"/>
          <w:lang w:val="en-US" w:eastAsia="zh-CN"/>
        </w:rPr>
        <w:t>3</w:t>
      </w:r>
      <w:r>
        <w:rPr>
          <w:rFonts w:hint="eastAsia"/>
          <w:color w:val="auto"/>
          <w:sz w:val="24"/>
          <w:szCs w:val="24"/>
        </w:rPr>
        <w:t>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2.</w:t>
      </w:r>
      <w:r>
        <w:rPr>
          <w:rFonts w:hint="eastAsia" w:ascii="黑体" w:hAnsi="黑体" w:eastAsia="黑体"/>
          <w:color w:val="auto"/>
          <w:sz w:val="24"/>
          <w:szCs w:val="24"/>
        </w:rPr>
        <w:t>立项程序规范性（</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分）</w:t>
      </w:r>
    </w:p>
    <w:p>
      <w:pPr>
        <w:spacing w:line="360" w:lineRule="auto"/>
        <w:ind w:firstLine="480" w:firstLineChars="200"/>
        <w:rPr>
          <w:rFonts w:hint="eastAsia"/>
          <w:color w:val="FF0000"/>
          <w:sz w:val="24"/>
          <w:szCs w:val="24"/>
        </w:rPr>
      </w:pPr>
      <w:r>
        <w:rPr>
          <w:rFonts w:hint="eastAsia"/>
          <w:color w:val="auto"/>
          <w:sz w:val="24"/>
          <w:szCs w:val="24"/>
        </w:rPr>
        <w:t>立项程序规范性指标主要考核项目申请、设立过程是否符合相关要求，用以反映和考核项目立项的规范情况。</w:t>
      </w:r>
    </w:p>
    <w:p>
      <w:pPr>
        <w:spacing w:line="360" w:lineRule="auto"/>
        <w:ind w:firstLine="480" w:firstLineChars="0"/>
        <w:rPr>
          <w:rFonts w:hint="eastAsia" w:ascii="宋体" w:hAnsi="宋体" w:eastAsia="宋体" w:cs="宋体"/>
          <w:color w:val="auto"/>
          <w:sz w:val="24"/>
          <w:szCs w:val="24"/>
          <w:lang w:eastAsia="zh-CN"/>
        </w:rPr>
      </w:pPr>
      <w:r>
        <w:rPr>
          <w:rFonts w:hint="eastAsia"/>
          <w:color w:val="auto"/>
          <w:sz w:val="24"/>
          <w:szCs w:val="24"/>
          <w:lang w:eastAsia="zh-CN"/>
        </w:rPr>
        <w:t>根据《泉州市储备粮油管理有限公司管理体制专题会议纪要》（[2020]143号）及《泉州市洛江区财政局洛江区发改局关于下达2021年度粮食政策性补贴计划的通知》（泉洛财[2021]27号）等文件。审批文件、材料符合相关要求，且事前经过必要的可行性研究、集体决策。</w:t>
      </w:r>
      <w:r>
        <w:rPr>
          <w:rFonts w:hint="eastAsia"/>
          <w:color w:val="auto"/>
          <w:sz w:val="24"/>
          <w:szCs w:val="24"/>
        </w:rPr>
        <w:t>本项</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分3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3.</w:t>
      </w:r>
      <w:r>
        <w:rPr>
          <w:rFonts w:hint="eastAsia" w:ascii="黑体" w:hAnsi="黑体" w:eastAsia="黑体"/>
          <w:color w:val="auto"/>
          <w:sz w:val="24"/>
          <w:szCs w:val="24"/>
        </w:rPr>
        <w:t>绩效目标合理性（</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4</w:t>
      </w:r>
      <w:r>
        <w:rPr>
          <w:rFonts w:hint="eastAsia" w:ascii="黑体" w:hAnsi="黑体" w:eastAsia="黑体"/>
          <w:color w:val="auto"/>
          <w:sz w:val="24"/>
          <w:szCs w:val="24"/>
        </w:rPr>
        <w:t>分）</w:t>
      </w:r>
    </w:p>
    <w:p>
      <w:pPr>
        <w:spacing w:line="360" w:lineRule="auto"/>
        <w:ind w:firstLine="480" w:firstLineChars="200"/>
        <w:rPr>
          <w:rFonts w:hint="eastAsia"/>
          <w:color w:val="auto"/>
          <w:sz w:val="24"/>
          <w:szCs w:val="24"/>
        </w:rPr>
      </w:pPr>
      <w:r>
        <w:rPr>
          <w:rFonts w:hint="eastAsia"/>
          <w:color w:val="auto"/>
          <w:sz w:val="24"/>
          <w:szCs w:val="24"/>
        </w:rPr>
        <w:t>绩效目标合理性指标主要考核项目所设定的绩效目标是否依据充分</w:t>
      </w:r>
      <w:r>
        <w:rPr>
          <w:rFonts w:hint="eastAsia"/>
          <w:color w:val="auto"/>
          <w:sz w:val="24"/>
          <w:szCs w:val="24"/>
          <w:lang w:eastAsia="zh-CN"/>
        </w:rPr>
        <w:t>、</w:t>
      </w:r>
      <w:r>
        <w:rPr>
          <w:rFonts w:hint="eastAsia"/>
          <w:color w:val="auto"/>
          <w:sz w:val="24"/>
          <w:szCs w:val="24"/>
        </w:rPr>
        <w:t>是否符合客观实际，用以反映和考核项目绩效目标与项目实施的相符情况。</w:t>
      </w:r>
    </w:p>
    <w:p>
      <w:pPr>
        <w:spacing w:line="360" w:lineRule="auto"/>
        <w:ind w:left="0" w:leftChars="0" w:firstLine="480" w:firstLineChars="200"/>
        <w:rPr>
          <w:rFonts w:hint="eastAsia"/>
          <w:color w:val="auto"/>
          <w:sz w:val="24"/>
          <w:szCs w:val="24"/>
        </w:rPr>
      </w:pPr>
      <w:r>
        <w:rPr>
          <w:rFonts w:hint="eastAsia"/>
          <w:color w:val="auto"/>
          <w:sz w:val="24"/>
          <w:szCs w:val="24"/>
          <w:lang w:eastAsia="zh-CN"/>
        </w:rPr>
        <w:t>经</w:t>
      </w:r>
      <w:r>
        <w:rPr>
          <w:rFonts w:hint="eastAsia"/>
          <w:color w:val="auto"/>
          <w:sz w:val="24"/>
          <w:szCs w:val="24"/>
          <w:lang w:val="en-US" w:eastAsia="zh-CN"/>
        </w:rPr>
        <w:t>查阅相关资料，绩效目标定为：1、1年内完成项目目标；2、项目成本控制在560万元以内；3、粮油吨数≥12,550吨；4、储备粮油质量达国标三等以上；根据2019-2020年工作总结，预期产出效益和效果符合正常的业绩水平，但绩效目标内容较为简单，未体现项目其他产出、效益情况。</w:t>
      </w:r>
      <w:r>
        <w:rPr>
          <w:rFonts w:hint="eastAsia" w:ascii="宋体" w:hAnsi="宋体" w:eastAsia="宋体" w:cs="宋体"/>
          <w:color w:val="auto"/>
          <w:sz w:val="24"/>
          <w:szCs w:val="24"/>
        </w:rPr>
        <w:t>本项</w:t>
      </w:r>
      <w:r>
        <w:rPr>
          <w:rFonts w:hint="eastAsia" w:ascii="宋体" w:hAnsi="宋体" w:eastAsia="宋体" w:cs="宋体"/>
          <w:color w:val="auto"/>
          <w:sz w:val="24"/>
          <w:szCs w:val="24"/>
          <w:lang w:val="en-US" w:eastAsia="zh-CN"/>
        </w:rPr>
        <w:t>酌情扣1分，</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分3</w:t>
      </w:r>
      <w:r>
        <w:rPr>
          <w:rFonts w:hint="eastAsia" w:ascii="宋体" w:hAnsi="宋体" w:eastAsia="宋体" w:cs="宋体"/>
          <w:color w:val="auto"/>
          <w:sz w:val="24"/>
          <w:szCs w:val="24"/>
        </w:rPr>
        <w:t>分。</w:t>
      </w:r>
    </w:p>
    <w:p>
      <w:pPr>
        <w:spacing w:line="360" w:lineRule="auto"/>
        <w:ind w:left="0" w:leftChars="0" w:firstLine="480" w:firstLineChars="200"/>
        <w:rPr>
          <w:rFonts w:hint="eastAsia"/>
          <w:color w:val="auto"/>
          <w:sz w:val="24"/>
          <w:szCs w:val="24"/>
        </w:rPr>
      </w:pP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绩效指标明确性（分值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left="0" w:leftChars="0" w:firstLine="480" w:firstLineChars="200"/>
        <w:rPr>
          <w:rFonts w:hint="eastAsia"/>
          <w:color w:val="auto"/>
          <w:sz w:val="24"/>
          <w:szCs w:val="24"/>
          <w:lang w:eastAsia="zh-CN"/>
        </w:rPr>
      </w:pPr>
      <w:r>
        <w:rPr>
          <w:rFonts w:hint="eastAsia"/>
          <w:color w:val="auto"/>
          <w:sz w:val="24"/>
          <w:szCs w:val="24"/>
        </w:rPr>
        <w:t>绩效指标明确性指标</w:t>
      </w:r>
      <w:r>
        <w:rPr>
          <w:rFonts w:hint="eastAsia"/>
          <w:color w:val="auto"/>
          <w:sz w:val="24"/>
          <w:szCs w:val="24"/>
          <w:lang w:eastAsia="zh-CN"/>
        </w:rPr>
        <w:t>主要评价设定的绩效指标是否清晰、细化、可衡量等，用以反映和考核项目绩效目标的明细化情况。</w:t>
      </w:r>
    </w:p>
    <w:p>
      <w:pPr>
        <w:spacing w:line="360" w:lineRule="auto"/>
        <w:ind w:left="0" w:leftChars="0" w:firstLine="480" w:firstLineChars="200"/>
        <w:rPr>
          <w:rFonts w:hint="eastAsia"/>
          <w:color w:val="auto"/>
          <w:sz w:val="24"/>
          <w:szCs w:val="24"/>
          <w:lang w:eastAsia="zh-CN"/>
        </w:rPr>
      </w:pPr>
      <w:r>
        <w:rPr>
          <w:rFonts w:hint="eastAsia"/>
          <w:color w:val="auto"/>
          <w:sz w:val="24"/>
          <w:szCs w:val="24"/>
          <w:lang w:val="en-US" w:eastAsia="zh-CN"/>
        </w:rPr>
        <w:t>根据2021年专项资金绩效目标批复表，产出数量指标未量化，未分解为具体的、可衡量的绩效指标。</w:t>
      </w:r>
      <w:r>
        <w:rPr>
          <w:rFonts w:hint="eastAsia"/>
          <w:color w:val="auto"/>
          <w:sz w:val="24"/>
          <w:szCs w:val="24"/>
        </w:rPr>
        <w:t>本项</w:t>
      </w:r>
      <w:r>
        <w:rPr>
          <w:rFonts w:hint="eastAsia" w:ascii="宋体" w:hAnsi="宋体" w:eastAsia="宋体" w:cs="宋体"/>
          <w:color w:val="auto"/>
          <w:sz w:val="24"/>
          <w:szCs w:val="24"/>
          <w:lang w:val="en-US" w:eastAsia="zh-CN"/>
        </w:rPr>
        <w:t>扣2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得分2分</w:t>
      </w:r>
      <w:r>
        <w:rPr>
          <w:rFonts w:hint="eastAsia" w:ascii="宋体" w:hAnsi="宋体" w:eastAsia="宋体" w:cs="宋体"/>
          <w:color w:val="auto"/>
          <w:sz w:val="24"/>
          <w:szCs w:val="24"/>
          <w:lang w:eastAsia="zh-CN"/>
        </w:rPr>
        <w:t>。</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5.</w:t>
      </w:r>
      <w:r>
        <w:rPr>
          <w:rFonts w:hint="eastAsia" w:ascii="黑体" w:hAnsi="黑体" w:eastAsia="黑体" w:cs="黑体"/>
          <w:color w:val="auto"/>
          <w:sz w:val="24"/>
          <w:szCs w:val="24"/>
        </w:rPr>
        <w:t>预算编制科学性（分值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firstLine="480" w:firstLineChars="0"/>
        <w:rPr>
          <w:rFonts w:hint="eastAsia" w:ascii="宋体" w:hAnsi="宋体" w:eastAsia="宋体" w:cs="宋体"/>
          <w:color w:val="auto"/>
          <w:sz w:val="24"/>
          <w:szCs w:val="24"/>
          <w:lang w:eastAsia="zh-CN"/>
        </w:rPr>
      </w:pPr>
      <w:r>
        <w:rPr>
          <w:rFonts w:hint="eastAsia"/>
          <w:color w:val="auto"/>
          <w:sz w:val="24"/>
          <w:szCs w:val="24"/>
        </w:rPr>
        <w:t>预算编制科学性</w:t>
      </w:r>
      <w:r>
        <w:rPr>
          <w:rFonts w:hint="eastAsia"/>
          <w:color w:val="auto"/>
          <w:sz w:val="24"/>
          <w:szCs w:val="24"/>
          <w:lang w:eastAsia="zh-CN"/>
        </w:rPr>
        <w:t>主要评价</w:t>
      </w:r>
      <w:r>
        <w:rPr>
          <w:rFonts w:hint="eastAsia"/>
          <w:color w:val="auto"/>
          <w:sz w:val="24"/>
          <w:szCs w:val="24"/>
        </w:rPr>
        <w:t>项目预算编制是否经过科学论证、有明确标准，资金额度与年度目</w:t>
      </w:r>
      <w:r>
        <w:rPr>
          <w:rFonts w:hint="eastAsia" w:ascii="宋体" w:hAnsi="宋体" w:eastAsia="宋体" w:cs="宋体"/>
          <w:color w:val="auto"/>
          <w:sz w:val="24"/>
          <w:szCs w:val="24"/>
        </w:rPr>
        <w:t>标是否相适应，用以反映和考核项目预算编制的科学性、合理性情况</w:t>
      </w:r>
      <w:r>
        <w:rPr>
          <w:rFonts w:hint="eastAsia" w:ascii="宋体" w:hAnsi="宋体" w:eastAsia="宋体" w:cs="宋体"/>
          <w:color w:val="auto"/>
          <w:sz w:val="24"/>
          <w:szCs w:val="24"/>
          <w:lang w:eastAsia="zh-CN"/>
        </w:rPr>
        <w:t>。</w:t>
      </w:r>
    </w:p>
    <w:p>
      <w:pPr>
        <w:spacing w:line="360" w:lineRule="auto"/>
        <w:ind w:firstLine="480" w:firstLineChars="0"/>
        <w:rPr>
          <w:color w:val="auto"/>
          <w:sz w:val="24"/>
          <w:szCs w:val="24"/>
        </w:rPr>
      </w:pPr>
      <w:r>
        <w:rPr>
          <w:rFonts w:hint="eastAsia"/>
          <w:color w:val="auto"/>
          <w:sz w:val="24"/>
          <w:szCs w:val="24"/>
          <w:lang w:eastAsia="zh-CN"/>
        </w:rPr>
        <w:t>粮食风险基金年初预算560万元，其中包括应急资金</w:t>
      </w:r>
      <w:r>
        <w:rPr>
          <w:rFonts w:hint="eastAsia"/>
          <w:color w:val="000000" w:themeColor="text1"/>
          <w:sz w:val="24"/>
          <w:szCs w:val="24"/>
          <w:lang w:eastAsia="zh-CN"/>
          <w14:textFill>
            <w14:solidFill>
              <w14:schemeClr w14:val="tx1"/>
            </w14:solidFill>
          </w14:textFill>
        </w:rPr>
        <w:t>、轮换差价。预</w:t>
      </w:r>
      <w:r>
        <w:rPr>
          <w:rFonts w:hint="eastAsia"/>
          <w:color w:val="auto"/>
          <w:sz w:val="24"/>
          <w:szCs w:val="24"/>
          <w:lang w:eastAsia="zh-CN"/>
        </w:rPr>
        <w:t>算内容与项目内容匹配，预算额度测算依据充分，预算确定的项目资金量与工作任务相匹配</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本项得</w:t>
      </w:r>
      <w:r>
        <w:rPr>
          <w:rFonts w:hint="eastAsia" w:ascii="宋体" w:hAnsi="宋体" w:eastAsia="宋体" w:cs="宋体"/>
          <w:color w:val="auto"/>
          <w:sz w:val="24"/>
          <w:szCs w:val="24"/>
          <w:lang w:val="en-US" w:eastAsia="zh-CN"/>
        </w:rPr>
        <w:t>分4</w:t>
      </w:r>
      <w:r>
        <w:rPr>
          <w:rFonts w:hint="eastAsia" w:ascii="宋体" w:hAnsi="宋体" w:eastAsia="宋体" w:cs="宋体"/>
          <w:color w:val="auto"/>
          <w:sz w:val="24"/>
          <w:szCs w:val="24"/>
          <w:lang w:eastAsia="zh-CN"/>
        </w:rPr>
        <w:t>分</w:t>
      </w:r>
      <w:r>
        <w:rPr>
          <w:rFonts w:hint="eastAsia" w:ascii="宋体" w:hAnsi="宋体" w:eastAsia="宋体" w:cs="宋体"/>
          <w:color w:val="auto"/>
          <w:sz w:val="24"/>
          <w:szCs w:val="24"/>
        </w:rPr>
        <w:t>。</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6.资金分配合理性</w:t>
      </w:r>
      <w:r>
        <w:rPr>
          <w:rFonts w:hint="eastAsia" w:ascii="黑体" w:hAnsi="黑体" w:eastAsia="黑体" w:cs="黑体"/>
          <w:color w:val="auto"/>
          <w:sz w:val="24"/>
          <w:szCs w:val="24"/>
        </w:rPr>
        <w:t>（分值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firstLine="480" w:firstLineChars="0"/>
        <w:rPr>
          <w:rFonts w:hint="eastAsia" w:eastAsia="宋体"/>
          <w:color w:val="auto"/>
          <w:sz w:val="24"/>
          <w:szCs w:val="24"/>
          <w:lang w:eastAsia="zh-CN"/>
        </w:rPr>
      </w:pPr>
      <w:r>
        <w:rPr>
          <w:rFonts w:hint="eastAsia"/>
          <w:color w:val="auto"/>
          <w:sz w:val="24"/>
          <w:szCs w:val="24"/>
        </w:rPr>
        <w:t>资金分配合理性</w:t>
      </w:r>
      <w:r>
        <w:rPr>
          <w:rFonts w:hint="eastAsia"/>
          <w:color w:val="auto"/>
          <w:sz w:val="24"/>
          <w:szCs w:val="24"/>
          <w:lang w:eastAsia="zh-CN"/>
        </w:rPr>
        <w:t>主要评价</w:t>
      </w:r>
      <w:r>
        <w:rPr>
          <w:rFonts w:hint="eastAsia"/>
          <w:color w:val="auto"/>
          <w:sz w:val="24"/>
          <w:szCs w:val="24"/>
        </w:rPr>
        <w:t>项目预算资金分配是否有测算依据，与补助单位或地方实际是否相适应，用以反映和考核项目预算资金分配的科学性、合理性情况</w:t>
      </w:r>
      <w:r>
        <w:rPr>
          <w:rFonts w:hint="eastAsia"/>
          <w:color w:val="auto"/>
          <w:sz w:val="24"/>
          <w:szCs w:val="24"/>
          <w:lang w:eastAsia="zh-CN"/>
        </w:rPr>
        <w:t>。</w:t>
      </w:r>
    </w:p>
    <w:p>
      <w:pPr>
        <w:spacing w:line="360" w:lineRule="auto"/>
        <w:ind w:firstLine="480" w:firstLineChars="0"/>
        <w:rPr>
          <w:color w:val="auto"/>
          <w:sz w:val="24"/>
          <w:szCs w:val="24"/>
        </w:rPr>
      </w:pPr>
      <w:r>
        <w:rPr>
          <w:rFonts w:hint="eastAsia"/>
          <w:color w:val="auto"/>
          <w:sz w:val="24"/>
          <w:szCs w:val="24"/>
          <w:lang w:eastAsia="zh-CN"/>
        </w:rPr>
        <w:t>粮食风险基金根据承储任务、承储合同及实际储备粮食数量和补贴标准核定补贴款数额并分期拨补至各储备单位，根据《关于下达地方粮油储备任务及政策性粮油业务的通知》（泉洛发改[2021]12号）、各季度《</w:t>
      </w:r>
      <w:r>
        <w:rPr>
          <w:rFonts w:hint="eastAsia"/>
          <w:color w:val="auto"/>
          <w:sz w:val="24"/>
          <w:szCs w:val="24"/>
          <w:lang w:val="en-US" w:eastAsia="zh-CN"/>
        </w:rPr>
        <w:t>2021年洛江</w:t>
      </w:r>
      <w:r>
        <w:rPr>
          <w:rFonts w:hint="eastAsia"/>
          <w:color w:val="auto"/>
          <w:sz w:val="24"/>
          <w:szCs w:val="24"/>
          <w:lang w:eastAsia="zh-CN"/>
        </w:rPr>
        <w:t>区</w:t>
      </w:r>
      <w:r>
        <w:rPr>
          <w:rFonts w:hint="eastAsia"/>
          <w:color w:val="auto"/>
          <w:sz w:val="24"/>
          <w:szCs w:val="24"/>
          <w:lang w:val="en-US" w:eastAsia="zh-CN"/>
        </w:rPr>
        <w:t>粮食保管费用及利息</w:t>
      </w:r>
      <w:r>
        <w:rPr>
          <w:rFonts w:hint="eastAsia"/>
          <w:color w:val="auto"/>
          <w:sz w:val="24"/>
          <w:szCs w:val="24"/>
          <w:lang w:eastAsia="zh-CN"/>
        </w:rPr>
        <w:t>计算表》，资金分配合理。本项得</w:t>
      </w:r>
      <w:r>
        <w:rPr>
          <w:rFonts w:hint="eastAsia" w:ascii="宋体" w:hAnsi="宋体" w:eastAsia="宋体" w:cs="宋体"/>
          <w:color w:val="auto"/>
          <w:sz w:val="24"/>
          <w:szCs w:val="24"/>
          <w:lang w:val="en-US" w:eastAsia="zh-CN"/>
        </w:rPr>
        <w:t>分4</w:t>
      </w:r>
      <w:r>
        <w:rPr>
          <w:rFonts w:hint="eastAsia"/>
          <w:color w:val="auto"/>
          <w:sz w:val="24"/>
          <w:szCs w:val="24"/>
          <w:lang w:eastAsia="zh-CN"/>
        </w:rPr>
        <w:t>分</w:t>
      </w:r>
      <w:r>
        <w:rPr>
          <w:rFonts w:hint="eastAsia"/>
          <w:color w:val="auto"/>
          <w:sz w:val="24"/>
          <w:szCs w:val="24"/>
        </w:rPr>
        <w:t>。</w:t>
      </w:r>
    </w:p>
    <w:p>
      <w:pPr>
        <w:pStyle w:val="4"/>
        <w:keepNext/>
        <w:keepLines/>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b w:val="0"/>
          <w:bCs w:val="0"/>
          <w:color w:val="000000"/>
          <w:sz w:val="28"/>
          <w:szCs w:val="28"/>
        </w:rPr>
      </w:pPr>
      <w:bookmarkStart w:id="16" w:name="_Toc1270"/>
      <w:r>
        <w:rPr>
          <w:rFonts w:hint="eastAsia" w:ascii="宋体" w:hAnsi="宋体" w:eastAsia="宋体" w:cs="宋体"/>
          <w:b w:val="0"/>
          <w:bCs w:val="0"/>
          <w:color w:val="000000"/>
          <w:sz w:val="28"/>
          <w:szCs w:val="28"/>
        </w:rPr>
        <w:t>（二）项目过程情况</w:t>
      </w:r>
      <w:r>
        <w:rPr>
          <w:rFonts w:hint="eastAsia" w:ascii="宋体" w:hAnsi="宋体" w:eastAsia="宋体" w:cs="宋体"/>
          <w:b w:val="0"/>
          <w:bCs w:val="0"/>
          <w:color w:val="000000"/>
          <w:sz w:val="28"/>
          <w:szCs w:val="28"/>
          <w:lang w:eastAsia="zh-CN"/>
        </w:rPr>
        <w:t>（分值</w:t>
      </w:r>
      <w:r>
        <w:rPr>
          <w:rFonts w:hint="eastAsia" w:ascii="宋体" w:hAnsi="宋体" w:eastAsia="宋体" w:cs="宋体"/>
          <w:b w:val="0"/>
          <w:bCs w:val="0"/>
          <w:color w:val="000000"/>
          <w:sz w:val="28"/>
          <w:szCs w:val="28"/>
          <w:lang w:val="en-US" w:eastAsia="zh-CN"/>
        </w:rPr>
        <w:t>20分，得分18分）</w:t>
      </w:r>
      <w:bookmarkEnd w:id="16"/>
    </w:p>
    <w:p>
      <w:pPr>
        <w:spacing w:line="360" w:lineRule="auto"/>
        <w:ind w:firstLine="480" w:firstLineChars="200"/>
        <w:rPr>
          <w:rFonts w:hint="eastAsia"/>
          <w:color w:val="FF0000"/>
          <w:sz w:val="24"/>
          <w:szCs w:val="24"/>
          <w:lang w:eastAsia="zh-CN"/>
        </w:rPr>
      </w:pPr>
      <w:r>
        <w:rPr>
          <w:rFonts w:hint="eastAsia"/>
          <w:color w:val="auto"/>
          <w:sz w:val="24"/>
          <w:szCs w:val="24"/>
        </w:rPr>
        <w:t>过程管理下设资金管理</w:t>
      </w:r>
      <w:r>
        <w:rPr>
          <w:rFonts w:hint="eastAsia"/>
          <w:color w:val="auto"/>
          <w:sz w:val="24"/>
          <w:szCs w:val="24"/>
          <w:lang w:eastAsia="zh-CN"/>
        </w:rPr>
        <w:t>、</w:t>
      </w:r>
      <w:r>
        <w:rPr>
          <w:rFonts w:hint="eastAsia"/>
          <w:color w:val="auto"/>
          <w:sz w:val="24"/>
          <w:szCs w:val="24"/>
        </w:rPr>
        <w:t>组织实施</w:t>
      </w:r>
      <w:r>
        <w:rPr>
          <w:rFonts w:hint="eastAsia" w:ascii="宋体" w:hAnsi="宋体" w:eastAsia="宋体" w:cs="宋体"/>
          <w:color w:val="auto"/>
          <w:sz w:val="24"/>
          <w:szCs w:val="24"/>
          <w:lang w:eastAsia="zh-CN"/>
        </w:rPr>
        <w:t>两个二级指标。</w:t>
      </w:r>
      <w:r>
        <w:rPr>
          <w:rFonts w:hint="eastAsia" w:ascii="宋体" w:hAnsi="宋体" w:eastAsia="宋体" w:cs="宋体"/>
          <w:color w:val="auto"/>
          <w:sz w:val="24"/>
          <w:szCs w:val="24"/>
        </w:rPr>
        <w:t>其中资金管理指标权重为</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，从资金到位率、预算执行率、资金使用合规性三个方面进行评价；</w:t>
      </w:r>
      <w:r>
        <w:rPr>
          <w:rFonts w:hint="eastAsia" w:ascii="宋体" w:hAnsi="宋体" w:eastAsia="宋体" w:cs="宋体"/>
          <w:color w:val="auto"/>
          <w:sz w:val="24"/>
          <w:szCs w:val="24"/>
        </w:rPr>
        <w:t>组织实施指标权重为</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，从管理制度健全性、制度执行有效性</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lang w:eastAsia="zh-CN"/>
        </w:rPr>
        <w:t>方面进行评价</w:t>
      </w:r>
      <w:r>
        <w:rPr>
          <w:rFonts w:hint="eastAsia"/>
          <w:color w:val="auto"/>
          <w:sz w:val="24"/>
          <w:szCs w:val="24"/>
        </w:rPr>
        <w:t>。</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1.</w:t>
      </w:r>
      <w:r>
        <w:rPr>
          <w:rFonts w:hint="eastAsia" w:ascii="黑体" w:hAnsi="黑体" w:eastAsia="黑体" w:cs="黑体"/>
          <w:color w:val="auto"/>
          <w:sz w:val="24"/>
          <w:szCs w:val="24"/>
        </w:rPr>
        <w:t>资金到位率（分值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firstLine="480" w:firstLineChars="0"/>
        <w:rPr>
          <w:rFonts w:hint="eastAsia" w:ascii="宋体" w:hAnsi="宋体" w:eastAsia="宋体" w:cs="宋体"/>
          <w:color w:val="auto"/>
          <w:sz w:val="24"/>
          <w:szCs w:val="24"/>
          <w:lang w:eastAsia="zh-CN"/>
        </w:rPr>
      </w:pPr>
      <w:r>
        <w:rPr>
          <w:rFonts w:hint="eastAsia"/>
          <w:color w:val="auto"/>
          <w:sz w:val="24"/>
          <w:szCs w:val="24"/>
        </w:rPr>
        <w:t>资金到位率=（实际到位资金/预算资金扣除应急资金后的金额）×100%</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评分标准为“资金到位率90%及以上得满分；小于90%的，得分=资金到位率/90%</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分值”。</w:t>
      </w:r>
    </w:p>
    <w:p>
      <w:pPr>
        <w:spacing w:line="360" w:lineRule="auto"/>
        <w:ind w:firstLine="480" w:firstLineChars="0"/>
        <w:rPr>
          <w:rFonts w:hint="eastAsia" w:ascii="宋体" w:hAnsi="宋体" w:eastAsia="宋体" w:cs="宋体"/>
          <w:color w:val="auto"/>
          <w:sz w:val="24"/>
          <w:szCs w:val="24"/>
        </w:rPr>
      </w:pPr>
      <w:r>
        <w:rPr>
          <w:rFonts w:hint="eastAsia" w:ascii="宋体" w:hAnsi="宋体" w:eastAsia="宋体" w:cs="宋体"/>
          <w:color w:val="auto"/>
          <w:sz w:val="24"/>
          <w:szCs w:val="24"/>
        </w:rPr>
        <w:t>实际到位资金</w:t>
      </w:r>
      <w:r>
        <w:rPr>
          <w:rFonts w:hint="eastAsia" w:ascii="宋体" w:hAnsi="宋体" w:eastAsia="宋体" w:cs="宋体"/>
          <w:color w:val="auto"/>
          <w:sz w:val="24"/>
          <w:szCs w:val="24"/>
          <w:lang w:eastAsia="zh-CN"/>
        </w:rPr>
        <w:t>指</w:t>
      </w:r>
      <w:r>
        <w:rPr>
          <w:rFonts w:hint="eastAsia" w:ascii="宋体" w:hAnsi="宋体" w:eastAsia="宋体" w:cs="宋体"/>
          <w:color w:val="auto"/>
          <w:sz w:val="24"/>
          <w:szCs w:val="24"/>
        </w:rPr>
        <w:t>一定时期（本年度或项目期）内落实到具体项目的资金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2021年泉州市洛江区粮食风险基金项目预算资金560万元；由于该粮食风险基金560万元包含应急资金，故资金到位率=（实际到位资金/预算资金扣除应急资金后的金额)×100%=（389.1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/389.1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）×100%=100%</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eastAsia="zh-CN"/>
        </w:rPr>
        <w:t>本项得分</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2.</w:t>
      </w:r>
      <w:r>
        <w:rPr>
          <w:rFonts w:hint="eastAsia" w:ascii="黑体" w:hAnsi="黑体" w:eastAsia="黑体" w:cs="黑体"/>
          <w:color w:val="auto"/>
          <w:sz w:val="24"/>
          <w:szCs w:val="24"/>
        </w:rPr>
        <w:t>预算执行率（分值</w:t>
      </w:r>
      <w:r>
        <w:rPr>
          <w:rFonts w:hint="eastAsia" w:ascii="黑体" w:hAnsi="黑体" w:eastAsia="黑体" w:cs="黑体"/>
          <w:color w:val="auto"/>
          <w:sz w:val="24"/>
          <w:szCs w:val="24"/>
          <w:lang w:val="en-US" w:eastAsia="zh-CN"/>
        </w:rPr>
        <w:t>4</w:t>
      </w:r>
      <w:r>
        <w:rPr>
          <w:rFonts w:hint="eastAsia" w:ascii="黑体" w:hAnsi="黑体" w:eastAsia="黑体" w:cs="黑体"/>
          <w:color w:val="auto"/>
          <w:sz w:val="24"/>
          <w:szCs w:val="24"/>
        </w:rPr>
        <w:t>分）</w:t>
      </w:r>
    </w:p>
    <w:p>
      <w:pPr>
        <w:spacing w:line="360" w:lineRule="auto"/>
        <w:ind w:firstLine="480" w:firstLineChars="0"/>
        <w:rPr>
          <w:rFonts w:hint="eastAsia" w:ascii="宋体" w:hAnsi="宋体" w:eastAsia="宋体" w:cs="宋体"/>
          <w:color w:val="auto"/>
          <w:sz w:val="24"/>
          <w:szCs w:val="24"/>
          <w:lang w:eastAsia="zh-CN"/>
        </w:rPr>
      </w:pPr>
      <w:r>
        <w:rPr>
          <w:rFonts w:hint="eastAsia"/>
          <w:color w:val="auto"/>
          <w:sz w:val="24"/>
          <w:szCs w:val="24"/>
        </w:rPr>
        <w:t>预算执行率指标</w:t>
      </w:r>
      <w:r>
        <w:rPr>
          <w:rFonts w:hint="eastAsia"/>
          <w:color w:val="auto"/>
          <w:sz w:val="24"/>
          <w:szCs w:val="24"/>
          <w:lang w:eastAsia="zh-CN"/>
        </w:rPr>
        <w:t>主要评价</w:t>
      </w:r>
      <w:r>
        <w:rPr>
          <w:rFonts w:hint="eastAsia"/>
          <w:color w:val="auto"/>
          <w:sz w:val="24"/>
          <w:szCs w:val="24"/>
        </w:rPr>
        <w:t>项目预算资金是否按照计划执行，用以反映或考核项目预算执行情况。</w:t>
      </w:r>
      <w:r>
        <w:rPr>
          <w:rFonts w:hint="eastAsia"/>
          <w:color w:val="auto"/>
          <w:sz w:val="24"/>
          <w:szCs w:val="24"/>
          <w:lang w:eastAsia="zh-CN"/>
        </w:rPr>
        <w:t>评分标准为“预</w:t>
      </w:r>
      <w:r>
        <w:rPr>
          <w:rFonts w:hint="eastAsia" w:ascii="宋体" w:hAnsi="宋体" w:eastAsia="宋体" w:cs="宋体"/>
          <w:color w:val="auto"/>
          <w:sz w:val="24"/>
          <w:szCs w:val="24"/>
          <w:lang w:eastAsia="zh-CN"/>
        </w:rPr>
        <w:t>算执行率95%及以上得满分；小于9</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%的，得分=资金到位率/95%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分值”。</w:t>
      </w:r>
    </w:p>
    <w:p>
      <w:pPr>
        <w:spacing w:line="360" w:lineRule="auto"/>
        <w:ind w:firstLine="480" w:firstLineChars="0"/>
        <w:rPr>
          <w:rFonts w:hint="eastAsia"/>
          <w:color w:val="FF0000"/>
          <w:sz w:val="24"/>
          <w:szCs w:val="24"/>
          <w:lang w:val="en-US" w:eastAsia="zh-CN"/>
        </w:rPr>
      </w:pPr>
      <w:r>
        <w:rPr>
          <w:rFonts w:hint="eastAsia" w:ascii="宋体" w:hAnsi="宋体" w:eastAsia="宋体" w:cs="宋体"/>
          <w:color w:val="auto"/>
          <w:sz w:val="24"/>
          <w:szCs w:val="24"/>
          <w:lang w:val="en-US" w:eastAsia="zh-CN"/>
        </w:rPr>
        <w:t>2021年洛江区粮食风险基金项目</w:t>
      </w:r>
      <w:r>
        <w:rPr>
          <w:rFonts w:hint="eastAsia" w:ascii="宋体" w:hAnsi="宋体" w:eastAsia="宋体" w:cs="宋体"/>
          <w:color w:val="auto"/>
          <w:sz w:val="24"/>
          <w:szCs w:val="24"/>
          <w:lang w:eastAsia="zh-CN"/>
        </w:rPr>
        <w:t>实际到位资金</w:t>
      </w:r>
      <w:r>
        <w:rPr>
          <w:rFonts w:hint="eastAsia" w:ascii="宋体" w:hAnsi="宋体" w:eastAsia="宋体" w:cs="宋体"/>
          <w:color w:val="auto"/>
          <w:sz w:val="24"/>
          <w:szCs w:val="24"/>
          <w:lang w:val="en-US" w:eastAsia="zh-CN"/>
        </w:rPr>
        <w:t>389.1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eastAsia="zh-CN"/>
        </w:rPr>
        <w:t>万元；实际支出资金</w:t>
      </w:r>
      <w:r>
        <w:rPr>
          <w:rFonts w:hint="eastAsia" w:ascii="宋体" w:hAnsi="宋体" w:eastAsia="宋体" w:cs="宋体"/>
          <w:color w:val="auto"/>
          <w:sz w:val="24"/>
          <w:szCs w:val="24"/>
          <w:lang w:val="en-US" w:eastAsia="zh-CN"/>
        </w:rPr>
        <w:t>389.1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eastAsia="zh-CN"/>
        </w:rPr>
        <w:t>万元。预算执行率=（实际支出资金/实际到位资金）×100%=（</w:t>
      </w:r>
      <w:r>
        <w:rPr>
          <w:rFonts w:hint="eastAsia" w:ascii="宋体" w:hAnsi="宋体" w:eastAsia="宋体" w:cs="宋体"/>
          <w:color w:val="auto"/>
          <w:sz w:val="24"/>
          <w:szCs w:val="24"/>
          <w:lang w:val="en-US" w:eastAsia="zh-CN"/>
        </w:rPr>
        <w:t>389.1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389.1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eastAsia="zh-CN"/>
        </w:rPr>
        <w:t>）×100%=100%，</w:t>
      </w:r>
      <w:r>
        <w:rPr>
          <w:rFonts w:hint="eastAsia" w:ascii="宋体" w:hAnsi="宋体" w:eastAsia="宋体" w:cs="宋体"/>
          <w:color w:val="auto"/>
          <w:sz w:val="24"/>
          <w:szCs w:val="24"/>
          <w:lang w:val="en-US" w:eastAsia="zh-CN"/>
        </w:rPr>
        <w:t>大于95%</w:t>
      </w:r>
      <w:r>
        <w:rPr>
          <w:rFonts w:hint="eastAsia" w:ascii="宋体" w:hAnsi="宋体" w:eastAsia="宋体" w:cs="宋体"/>
          <w:color w:val="auto"/>
          <w:sz w:val="24"/>
          <w:szCs w:val="24"/>
          <w:lang w:eastAsia="zh-CN"/>
        </w:rPr>
        <w:t>。</w:t>
      </w:r>
      <w:r>
        <w:rPr>
          <w:rFonts w:hint="eastAsia"/>
          <w:color w:val="auto"/>
          <w:sz w:val="24"/>
          <w:szCs w:val="24"/>
          <w:lang w:eastAsia="zh-CN"/>
        </w:rPr>
        <w:t>本项</w:t>
      </w:r>
      <w:r>
        <w:rPr>
          <w:rFonts w:hint="eastAsia" w:ascii="宋体" w:hAnsi="宋体" w:eastAsia="宋体" w:cs="宋体"/>
          <w:color w:val="auto"/>
          <w:sz w:val="24"/>
          <w:szCs w:val="24"/>
          <w:lang w:eastAsia="zh-CN"/>
        </w:rPr>
        <w:t>得分</w:t>
      </w:r>
      <w:r>
        <w:rPr>
          <w:rFonts w:hint="eastAsia" w:ascii="宋体" w:hAnsi="宋体" w:eastAsia="宋体" w:cs="宋体"/>
          <w:color w:val="auto"/>
          <w:sz w:val="24"/>
          <w:szCs w:val="24"/>
          <w:lang w:val="en-US" w:eastAsia="zh-CN"/>
        </w:rPr>
        <w:t>4分</w:t>
      </w:r>
      <w:r>
        <w:rPr>
          <w:color w:val="auto"/>
          <w:sz w:val="24"/>
          <w:szCs w:val="24"/>
        </w:rPr>
        <w:t>。</w:t>
      </w:r>
    </w:p>
    <w:p>
      <w:pPr>
        <w:numPr>
          <w:ilvl w:val="0"/>
          <w:numId w:val="0"/>
        </w:numPr>
        <w:spacing w:line="360" w:lineRule="auto"/>
        <w:ind w:firstLine="480" w:firstLineChars="200"/>
        <w:rPr>
          <w:rFonts w:hint="eastAsia" w:ascii="黑体" w:hAnsi="黑体" w:eastAsia="黑体" w:cs="黑体"/>
          <w:color w:val="FF0000"/>
          <w:sz w:val="24"/>
          <w:szCs w:val="24"/>
        </w:rPr>
      </w:pPr>
      <w:r>
        <w:rPr>
          <w:rFonts w:hint="eastAsia" w:ascii="黑体" w:hAnsi="黑体" w:eastAsia="黑体" w:cs="黑体"/>
          <w:color w:val="auto"/>
          <w:sz w:val="24"/>
          <w:szCs w:val="24"/>
          <w:lang w:val="en-US" w:eastAsia="zh-CN"/>
        </w:rPr>
        <w:t>3.</w:t>
      </w:r>
      <w:r>
        <w:rPr>
          <w:rFonts w:hint="eastAsia" w:ascii="黑体" w:hAnsi="黑体" w:eastAsia="黑体" w:cs="黑体"/>
          <w:color w:val="auto"/>
          <w:sz w:val="24"/>
          <w:szCs w:val="24"/>
        </w:rPr>
        <w:t>资金使用合规性（</w:t>
      </w:r>
      <w:r>
        <w:rPr>
          <w:rFonts w:hint="eastAsia" w:ascii="黑体" w:hAnsi="黑体" w:eastAsia="黑体" w:cs="黑体"/>
          <w:color w:val="auto"/>
          <w:sz w:val="24"/>
          <w:szCs w:val="24"/>
          <w:lang w:val="en-US" w:eastAsia="zh-CN"/>
        </w:rPr>
        <w:t>分值4</w:t>
      </w:r>
      <w:r>
        <w:rPr>
          <w:rFonts w:hint="eastAsia" w:ascii="黑体" w:hAnsi="黑体" w:eastAsia="黑体" w:cs="黑体"/>
          <w:color w:val="auto"/>
          <w:sz w:val="24"/>
          <w:szCs w:val="24"/>
        </w:rPr>
        <w:t>分）</w:t>
      </w:r>
    </w:p>
    <w:p>
      <w:pPr>
        <w:spacing w:line="360" w:lineRule="auto"/>
        <w:ind w:firstLine="480"/>
        <w:rPr>
          <w:color w:val="auto"/>
          <w:sz w:val="24"/>
          <w:szCs w:val="24"/>
        </w:rPr>
      </w:pPr>
      <w:r>
        <w:rPr>
          <w:rFonts w:hint="eastAsia"/>
          <w:color w:val="auto"/>
          <w:sz w:val="24"/>
          <w:szCs w:val="24"/>
        </w:rPr>
        <w:t>资金使用合规性指标主要评价项目资金使用是否符合相关的财务管理制度规定，</w:t>
      </w:r>
      <w:r>
        <w:rPr>
          <w:color w:val="auto"/>
          <w:sz w:val="24"/>
          <w:szCs w:val="24"/>
        </w:rPr>
        <w:t>是否存在虚列支出</w:t>
      </w:r>
      <w:r>
        <w:rPr>
          <w:rFonts w:hint="eastAsia"/>
          <w:color w:val="auto"/>
          <w:sz w:val="24"/>
          <w:szCs w:val="24"/>
          <w:lang w:eastAsia="zh-CN"/>
        </w:rPr>
        <w:t>、</w:t>
      </w:r>
      <w:r>
        <w:rPr>
          <w:color w:val="auto"/>
          <w:sz w:val="24"/>
          <w:szCs w:val="24"/>
        </w:rPr>
        <w:t>截留、挤占、挪用项目资金</w:t>
      </w:r>
      <w:r>
        <w:rPr>
          <w:rFonts w:hint="eastAsia"/>
          <w:color w:val="auto"/>
          <w:sz w:val="24"/>
          <w:szCs w:val="24"/>
          <w:lang w:eastAsia="zh-CN"/>
        </w:rPr>
        <w:t>，以及</w:t>
      </w:r>
      <w:r>
        <w:rPr>
          <w:color w:val="auto"/>
          <w:sz w:val="24"/>
          <w:szCs w:val="24"/>
        </w:rPr>
        <w:t>超标准开支情况</w:t>
      </w:r>
      <w:r>
        <w:rPr>
          <w:rFonts w:hint="eastAsia"/>
          <w:color w:val="auto"/>
          <w:sz w:val="24"/>
          <w:szCs w:val="24"/>
          <w:lang w:eastAsia="zh-CN"/>
        </w:rPr>
        <w:t>，用以反映和考核项目资金的规范运行情况</w:t>
      </w:r>
      <w:r>
        <w:rPr>
          <w:rFonts w:hint="eastAsia"/>
          <w:color w:val="auto"/>
          <w:sz w:val="24"/>
          <w:szCs w:val="24"/>
        </w:rPr>
        <w:t>。</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资金使用过程严格执行《福建省粮食风险基金管理办法》。根据洛江区粮油食品有限公司《关于申请拨付第一季度储备粮油保管费用补贴的报告》和泉州市储备粮油管理有限公司《关于拨付洛江区储备粮费用及利息的报告》等资料，资金的拨付有完整的审批程序和手续。</w:t>
      </w:r>
      <w:r>
        <w:rPr>
          <w:rFonts w:hint="eastAsia" w:ascii="Times New Roman" w:hAnsi="Times New Roman" w:eastAsia="宋体" w:cs="Times New Roman"/>
          <w:color w:val="auto"/>
          <w:sz w:val="24"/>
          <w:szCs w:val="24"/>
        </w:rPr>
        <w:t>本项得</w:t>
      </w:r>
      <w:r>
        <w:rPr>
          <w:rFonts w:hint="eastAsia" w:ascii="Times New Roman" w:hAnsi="Times New Roman" w:eastAsia="宋体" w:cs="Times New Roman"/>
          <w:color w:val="auto"/>
          <w:sz w:val="24"/>
          <w:szCs w:val="24"/>
          <w:lang w:val="en-US" w:eastAsia="zh-CN"/>
        </w:rPr>
        <w:t>分4</w:t>
      </w:r>
      <w:r>
        <w:rPr>
          <w:rFonts w:hint="eastAsia" w:ascii="Times New Roman" w:hAnsi="Times New Roman" w:eastAsia="宋体" w:cs="Times New Roman"/>
          <w:color w:val="auto"/>
          <w:sz w:val="24"/>
          <w:szCs w:val="24"/>
        </w:rPr>
        <w:t>分。</w:t>
      </w:r>
    </w:p>
    <w:p>
      <w:pPr>
        <w:numPr>
          <w:ilvl w:val="0"/>
          <w:numId w:val="0"/>
        </w:numPr>
        <w:spacing w:line="360" w:lineRule="auto"/>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4.管理制度健全性</w:t>
      </w:r>
      <w:r>
        <w:rPr>
          <w:rFonts w:hint="eastAsia" w:ascii="黑体" w:hAnsi="黑体" w:eastAsia="黑体" w:cs="黑体"/>
          <w:color w:val="auto"/>
          <w:sz w:val="24"/>
          <w:szCs w:val="24"/>
        </w:rPr>
        <w:t>（</w:t>
      </w:r>
      <w:r>
        <w:rPr>
          <w:rFonts w:hint="eastAsia" w:ascii="黑体" w:hAnsi="黑体" w:eastAsia="黑体" w:cs="黑体"/>
          <w:color w:val="auto"/>
          <w:sz w:val="24"/>
          <w:szCs w:val="24"/>
          <w:lang w:val="en-US" w:eastAsia="zh-CN"/>
        </w:rPr>
        <w:t>分值4</w:t>
      </w:r>
      <w:r>
        <w:rPr>
          <w:rFonts w:hint="eastAsia" w:ascii="黑体" w:hAnsi="黑体" w:eastAsia="黑体" w:cs="黑体"/>
          <w:color w:val="auto"/>
          <w:sz w:val="24"/>
          <w:szCs w:val="24"/>
        </w:rPr>
        <w:t>分）</w:t>
      </w:r>
    </w:p>
    <w:p>
      <w:pPr>
        <w:spacing w:line="360" w:lineRule="auto"/>
        <w:ind w:firstLine="480"/>
        <w:rPr>
          <w:rFonts w:hint="eastAsia"/>
          <w:color w:val="auto"/>
          <w:sz w:val="24"/>
          <w:szCs w:val="24"/>
          <w:lang w:val="en-US" w:eastAsia="zh-CN"/>
        </w:rPr>
      </w:pPr>
      <w:r>
        <w:rPr>
          <w:rFonts w:hint="eastAsia"/>
          <w:color w:val="auto"/>
          <w:sz w:val="24"/>
          <w:szCs w:val="24"/>
        </w:rPr>
        <w:t>管理制度健全性</w:t>
      </w:r>
      <w:r>
        <w:rPr>
          <w:rFonts w:hint="eastAsia"/>
          <w:color w:val="auto"/>
          <w:sz w:val="24"/>
          <w:szCs w:val="24"/>
          <w:lang w:eastAsia="zh-CN"/>
        </w:rPr>
        <w:t>主要评价</w:t>
      </w:r>
      <w:r>
        <w:rPr>
          <w:rFonts w:hint="eastAsia"/>
          <w:color w:val="auto"/>
          <w:sz w:val="24"/>
          <w:szCs w:val="24"/>
        </w:rPr>
        <w:t>项目实施单位是否已制定或具有相应的财务和业务管理制度</w:t>
      </w:r>
      <w:r>
        <w:rPr>
          <w:rFonts w:hint="eastAsia"/>
          <w:color w:val="auto"/>
          <w:sz w:val="24"/>
          <w:szCs w:val="24"/>
          <w:lang w:eastAsia="zh-CN"/>
        </w:rPr>
        <w:t>，</w:t>
      </w:r>
      <w:r>
        <w:rPr>
          <w:rFonts w:hint="eastAsia"/>
          <w:color w:val="auto"/>
          <w:sz w:val="24"/>
          <w:szCs w:val="24"/>
        </w:rPr>
        <w:t>财务和业务管理制度是否合法、合规、完整</w:t>
      </w:r>
      <w:r>
        <w:rPr>
          <w:rFonts w:hint="eastAsia"/>
          <w:color w:val="auto"/>
          <w:sz w:val="24"/>
          <w:szCs w:val="24"/>
          <w:lang w:eastAsia="zh-CN"/>
        </w:rPr>
        <w:t>，</w:t>
      </w:r>
      <w:r>
        <w:rPr>
          <w:rFonts w:hint="eastAsia"/>
          <w:color w:val="auto"/>
          <w:sz w:val="24"/>
          <w:szCs w:val="24"/>
        </w:rPr>
        <w:t>用以反映和考核财务和业务管理制度对项目顺利实施的保障情况</w:t>
      </w:r>
      <w:r>
        <w:rPr>
          <w:rFonts w:hint="eastAsia"/>
          <w:color w:val="auto"/>
          <w:sz w:val="24"/>
          <w:szCs w:val="24"/>
          <w:lang w:val="en-US" w:eastAsia="zh-CN"/>
        </w:rPr>
        <w:t>。</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根据泉州市洛江区发展和改革局关于印发《洛江区粮食流通统计相关工作制度》的通知、泉州市洛江区发展和改革关于印发《洛江区储备粮库存检查工作制度》的通知。相关制度合法、合规、完整。</w:t>
      </w:r>
      <w:r>
        <w:rPr>
          <w:rFonts w:hint="eastAsia" w:ascii="Times New Roman" w:hAnsi="Times New Roman" w:eastAsia="宋体" w:cs="Times New Roman"/>
          <w:color w:val="auto"/>
          <w:sz w:val="24"/>
          <w:szCs w:val="24"/>
          <w:lang w:eastAsia="zh-CN"/>
        </w:rPr>
        <w:t>本项得分</w:t>
      </w:r>
      <w:r>
        <w:rPr>
          <w:rFonts w:hint="eastAsia" w:ascii="Times New Roman" w:hAnsi="Times New Roman" w:eastAsia="宋体" w:cs="Times New Roman"/>
          <w:color w:val="auto"/>
          <w:sz w:val="24"/>
          <w:szCs w:val="24"/>
          <w:lang w:val="en-US" w:eastAsia="zh-CN"/>
        </w:rPr>
        <w:t>4分。</w:t>
      </w:r>
    </w:p>
    <w:p>
      <w:pPr>
        <w:pStyle w:val="41"/>
        <w:numPr>
          <w:ilvl w:val="0"/>
          <w:numId w:val="0"/>
        </w:numPr>
        <w:spacing w:line="360" w:lineRule="auto"/>
        <w:ind w:left="480" w:leftChars="0"/>
        <w:rPr>
          <w:rFonts w:ascii="黑体" w:hAnsi="黑体" w:eastAsia="黑体"/>
          <w:color w:val="auto"/>
          <w:sz w:val="24"/>
          <w:szCs w:val="24"/>
        </w:rPr>
      </w:pPr>
      <w:r>
        <w:rPr>
          <w:rFonts w:hint="eastAsia" w:ascii="黑体" w:hAnsi="黑体" w:eastAsia="黑体"/>
          <w:color w:val="auto"/>
          <w:sz w:val="24"/>
          <w:szCs w:val="24"/>
          <w:lang w:val="en-US" w:eastAsia="zh-CN"/>
        </w:rPr>
        <w:t>5.</w:t>
      </w:r>
      <w:r>
        <w:rPr>
          <w:rFonts w:hint="eastAsia" w:ascii="黑体" w:hAnsi="黑体" w:eastAsia="黑体"/>
          <w:color w:val="auto"/>
          <w:sz w:val="24"/>
          <w:szCs w:val="24"/>
          <w:lang w:eastAsia="zh-CN"/>
        </w:rPr>
        <w:t>制度执行有效性</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4</w:t>
      </w:r>
      <w:r>
        <w:rPr>
          <w:rFonts w:ascii="黑体" w:hAnsi="黑体" w:eastAsia="黑体"/>
          <w:color w:val="auto"/>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eastAsia="zh-CN"/>
        </w:rPr>
      </w:pPr>
      <w:r>
        <w:rPr>
          <w:rFonts w:hint="eastAsia"/>
          <w:color w:val="auto"/>
          <w:sz w:val="24"/>
          <w:szCs w:val="24"/>
          <w:lang w:eastAsia="zh-CN"/>
        </w:rPr>
        <w:t>业务制度有效性主要评价项目实施是否符合相关管理规定，用以反映和考核相关管理制度的有效执行情况。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rFonts w:hint="eastAsia"/>
          <w:color w:val="auto"/>
          <w:sz w:val="24"/>
          <w:szCs w:val="24"/>
          <w:lang w:eastAsia="zh-CN"/>
        </w:rPr>
        <w:t>根据《洛江区粮食食品有限公司“三重一大”决策管理办法》及《泉州市洛江区发展和改革关于印发&lt;洛江区储备粮库存检查工作制度&gt;的通知》(泉洛发改[2022]47号）等，相关人员严格遵守财务管理规定，严格执行管理制度；储备粮轮换竞价委托相关文件</w:t>
      </w:r>
      <w:r>
        <w:rPr>
          <w:rFonts w:hint="eastAsia"/>
          <w:color w:val="000000" w:themeColor="text1"/>
          <w:sz w:val="24"/>
          <w:szCs w:val="24"/>
          <w:lang w:eastAsia="zh-CN"/>
          <w14:textFill>
            <w14:solidFill>
              <w14:schemeClr w14:val="tx1"/>
            </w14:solidFill>
          </w14:textFill>
        </w:rPr>
        <w:t>执行不严谨，如</w:t>
      </w:r>
      <w:r>
        <w:rPr>
          <w:rFonts w:hint="eastAsia"/>
          <w:color w:val="auto"/>
          <w:sz w:val="24"/>
          <w:szCs w:val="24"/>
          <w:lang w:eastAsia="zh-CN"/>
        </w:rPr>
        <w:t>：景德镇市昌江区粮油收储公司与泉州市储备粮油管理有限公司未按照规定于2020年8月25日前签订采购合同。本项</w:t>
      </w:r>
      <w:r>
        <w:rPr>
          <w:rFonts w:hint="eastAsia"/>
          <w:color w:val="auto"/>
          <w:sz w:val="24"/>
          <w:szCs w:val="24"/>
          <w:lang w:val="en-US" w:eastAsia="zh-CN"/>
        </w:rPr>
        <w:t>酌情扣2分，</w:t>
      </w:r>
      <w:r>
        <w:rPr>
          <w:color w:val="auto"/>
          <w:sz w:val="24"/>
          <w:szCs w:val="24"/>
        </w:rPr>
        <w:t>得</w:t>
      </w:r>
      <w:r>
        <w:rPr>
          <w:rFonts w:hint="eastAsia" w:ascii="宋体" w:hAnsi="宋体" w:eastAsia="宋体" w:cs="宋体"/>
          <w:color w:val="auto"/>
          <w:sz w:val="24"/>
          <w:szCs w:val="24"/>
          <w:lang w:val="en-US" w:eastAsia="zh-CN"/>
        </w:rPr>
        <w:t>分2</w:t>
      </w:r>
      <w:r>
        <w:rPr>
          <w:color w:val="auto"/>
          <w:sz w:val="24"/>
          <w:szCs w:val="24"/>
        </w:rPr>
        <w:t>分。</w:t>
      </w:r>
    </w:p>
    <w:p>
      <w:pPr>
        <w:pStyle w:val="4"/>
        <w:keepNext/>
        <w:keepLines/>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b w:val="0"/>
          <w:bCs w:val="0"/>
          <w:color w:val="auto"/>
          <w:sz w:val="28"/>
          <w:szCs w:val="28"/>
        </w:rPr>
      </w:pPr>
      <w:bookmarkStart w:id="17" w:name="_Toc25415"/>
      <w:r>
        <w:rPr>
          <w:rFonts w:hint="eastAsia" w:ascii="宋体" w:hAnsi="宋体" w:eastAsia="宋体" w:cs="宋体"/>
          <w:b w:val="0"/>
          <w:bCs w:val="0"/>
          <w:color w:val="auto"/>
          <w:sz w:val="28"/>
          <w:szCs w:val="28"/>
        </w:rPr>
        <w:t>（三）项目产出情况</w:t>
      </w:r>
      <w:r>
        <w:rPr>
          <w:rFonts w:hint="eastAsia" w:ascii="宋体" w:hAnsi="宋体" w:eastAsia="宋体" w:cs="宋体"/>
          <w:b w:val="0"/>
          <w:bCs w:val="0"/>
          <w:color w:val="auto"/>
          <w:sz w:val="28"/>
          <w:szCs w:val="28"/>
          <w:lang w:eastAsia="zh-CN"/>
        </w:rPr>
        <w:t>（分值</w:t>
      </w:r>
      <w:r>
        <w:rPr>
          <w:rFonts w:hint="eastAsia" w:ascii="宋体" w:hAnsi="宋体" w:eastAsia="宋体" w:cs="宋体"/>
          <w:b w:val="0"/>
          <w:bCs w:val="0"/>
          <w:color w:val="auto"/>
          <w:sz w:val="28"/>
          <w:szCs w:val="28"/>
          <w:lang w:val="en-US" w:eastAsia="zh-CN"/>
        </w:rPr>
        <w:t>30分，得分30分）</w:t>
      </w:r>
      <w:bookmarkEnd w:id="17"/>
    </w:p>
    <w:p>
      <w:pPr>
        <w:pStyle w:val="41"/>
        <w:spacing w:line="360" w:lineRule="auto"/>
        <w:rPr>
          <w:rFonts w:hint="default" w:ascii="黑体" w:hAnsi="黑体" w:eastAsia="宋体"/>
          <w:color w:val="auto"/>
          <w:sz w:val="24"/>
          <w:szCs w:val="24"/>
          <w:lang w:val="en-US" w:eastAsia="zh-CN"/>
        </w:rPr>
      </w:pPr>
      <w:r>
        <w:rPr>
          <w:rFonts w:hint="eastAsia"/>
          <w:color w:val="auto"/>
          <w:sz w:val="24"/>
          <w:szCs w:val="24"/>
          <w:lang w:eastAsia="zh-CN"/>
        </w:rPr>
        <w:t>项目</w:t>
      </w:r>
      <w:r>
        <w:rPr>
          <w:color w:val="auto"/>
          <w:sz w:val="24"/>
          <w:szCs w:val="24"/>
        </w:rPr>
        <w:t>产出通过产出</w:t>
      </w:r>
      <w:r>
        <w:rPr>
          <w:rFonts w:hint="eastAsia"/>
          <w:color w:val="auto"/>
          <w:sz w:val="24"/>
          <w:szCs w:val="24"/>
          <w:lang w:eastAsia="zh-CN"/>
        </w:rPr>
        <w:t>数量、产出质量</w:t>
      </w:r>
      <w:r>
        <w:rPr>
          <w:color w:val="auto"/>
          <w:sz w:val="24"/>
          <w:szCs w:val="24"/>
        </w:rPr>
        <w:t>、</w:t>
      </w:r>
      <w:r>
        <w:rPr>
          <w:rFonts w:hint="eastAsia"/>
          <w:color w:val="auto"/>
          <w:sz w:val="24"/>
          <w:szCs w:val="24"/>
          <w:lang w:eastAsia="zh-CN"/>
        </w:rPr>
        <w:t>产出时效、产出成本等四</w:t>
      </w:r>
      <w:r>
        <w:rPr>
          <w:color w:val="auto"/>
          <w:sz w:val="24"/>
          <w:szCs w:val="24"/>
        </w:rPr>
        <w:t>个方面进行评价。</w:t>
      </w:r>
    </w:p>
    <w:p>
      <w:pPr>
        <w:pStyle w:val="41"/>
        <w:spacing w:line="360" w:lineRule="auto"/>
        <w:ind w:left="480" w:firstLine="0" w:firstLineChars="0"/>
        <w:rPr>
          <w:rFonts w:ascii="黑体" w:hAnsi="黑体" w:eastAsia="黑体"/>
          <w:color w:val="FF0000"/>
          <w:sz w:val="24"/>
          <w:szCs w:val="24"/>
        </w:rPr>
      </w:pPr>
      <w:r>
        <w:rPr>
          <w:rFonts w:hint="eastAsia" w:ascii="黑体" w:hAnsi="黑体" w:eastAsia="黑体"/>
          <w:color w:val="auto"/>
          <w:sz w:val="24"/>
          <w:szCs w:val="24"/>
          <w:lang w:val="en-US" w:eastAsia="zh-CN"/>
        </w:rPr>
        <w:t>1.</w:t>
      </w:r>
      <w:r>
        <w:rPr>
          <w:rFonts w:ascii="黑体" w:hAnsi="黑体" w:eastAsia="黑体"/>
          <w:color w:val="auto"/>
          <w:sz w:val="24"/>
          <w:szCs w:val="24"/>
        </w:rPr>
        <w:t>产出</w:t>
      </w:r>
      <w:r>
        <w:rPr>
          <w:rFonts w:hint="eastAsia" w:ascii="黑体" w:hAnsi="黑体" w:eastAsia="黑体"/>
          <w:color w:val="auto"/>
          <w:sz w:val="24"/>
          <w:szCs w:val="24"/>
          <w:lang w:eastAsia="zh-CN"/>
        </w:rPr>
        <w:t>数量</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12</w:t>
      </w:r>
      <w:r>
        <w:rPr>
          <w:rFonts w:ascii="黑体" w:hAnsi="黑体" w:eastAsia="黑体"/>
          <w:color w:val="auto"/>
          <w:sz w:val="24"/>
          <w:szCs w:val="24"/>
        </w:rPr>
        <w:t>分）</w:t>
      </w:r>
    </w:p>
    <w:p>
      <w:pPr>
        <w:spacing w:line="360" w:lineRule="auto"/>
        <w:ind w:firstLine="480"/>
        <w:rPr>
          <w:rFonts w:hint="eastAsia" w:ascii="宋体" w:hAnsi="宋体" w:cs="宋体"/>
          <w:sz w:val="24"/>
        </w:rPr>
      </w:pPr>
      <w:r>
        <w:rPr>
          <w:rFonts w:hint="eastAsia" w:ascii="宋体" w:hAnsi="宋体" w:eastAsia="宋体" w:cs="宋体"/>
          <w:color w:val="auto"/>
          <w:sz w:val="24"/>
          <w:szCs w:val="24"/>
        </w:rPr>
        <w:t>产出数量从</w:t>
      </w:r>
      <w:r>
        <w:rPr>
          <w:rFonts w:hint="eastAsia" w:ascii="宋体" w:hAnsi="宋体" w:cs="宋体"/>
          <w:sz w:val="24"/>
        </w:rPr>
        <w:t>储备原粮完成率、储备大米完成率、储备食用油完成率和储备粮轮换</w:t>
      </w:r>
      <w:r>
        <w:rPr>
          <w:rFonts w:hint="eastAsia" w:ascii="宋体" w:hAnsi="宋体" w:cs="宋体"/>
          <w:sz w:val="24"/>
          <w:lang w:val="en-US" w:eastAsia="zh-CN"/>
        </w:rPr>
        <w:t>完成率</w:t>
      </w:r>
      <w:r>
        <w:rPr>
          <w:rFonts w:hint="eastAsia" w:ascii="宋体" w:hAnsi="宋体" w:cs="宋体"/>
          <w:sz w:val="24"/>
        </w:rPr>
        <w:t>四个方面进行评价。</w:t>
      </w:r>
    </w:p>
    <w:p>
      <w:pPr>
        <w:numPr>
          <w:ilvl w:val="0"/>
          <w:numId w:val="1"/>
        </w:num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储备原粮完成率（分值3分）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通过实际原粮储备数量与计划数的比率，用以反映和考核原粮储备数量目标的实现程度。评分标准为“储备</w:t>
      </w:r>
      <w:r>
        <w:rPr>
          <w:rFonts w:hint="eastAsia" w:ascii="宋体" w:eastAsia="宋体" w:cs="宋体"/>
          <w:color w:val="auto"/>
          <w:sz w:val="24"/>
          <w:szCs w:val="24"/>
          <w:lang w:val="en-US" w:eastAsia="zh-CN"/>
        </w:rPr>
        <w:t>原</w:t>
      </w:r>
      <w:r>
        <w:rPr>
          <w:rFonts w:hint="eastAsia" w:ascii="宋体" w:hAnsi="宋体" w:eastAsia="宋体" w:cs="宋体"/>
          <w:color w:val="auto"/>
          <w:sz w:val="24"/>
          <w:szCs w:val="24"/>
          <w:lang w:val="en-US" w:eastAsia="zh-CN"/>
        </w:rPr>
        <w:t>粮完成率=（实际储备数量/计划储备数量）×100%。储备</w:t>
      </w:r>
      <w:r>
        <w:rPr>
          <w:rFonts w:hint="eastAsia" w:ascii="宋体" w:eastAsia="宋体" w:cs="宋体"/>
          <w:color w:val="auto"/>
          <w:sz w:val="24"/>
          <w:szCs w:val="24"/>
          <w:lang w:val="en-US" w:eastAsia="zh-CN"/>
        </w:rPr>
        <w:t>原</w:t>
      </w:r>
      <w:r>
        <w:rPr>
          <w:rFonts w:hint="eastAsia" w:ascii="宋体" w:hAnsi="宋体" w:eastAsia="宋体" w:cs="宋体"/>
          <w:color w:val="auto"/>
          <w:sz w:val="24"/>
          <w:szCs w:val="24"/>
          <w:lang w:val="en-US" w:eastAsia="zh-CN"/>
        </w:rPr>
        <w:t>粮完成率≥100%，得3分；储备</w:t>
      </w:r>
      <w:r>
        <w:rPr>
          <w:rFonts w:hint="eastAsia" w:ascii="宋体" w:eastAsia="宋体" w:cs="宋体"/>
          <w:color w:val="auto"/>
          <w:sz w:val="24"/>
          <w:szCs w:val="24"/>
          <w:lang w:val="en-US" w:eastAsia="zh-CN"/>
        </w:rPr>
        <w:t>原</w:t>
      </w:r>
      <w:r>
        <w:rPr>
          <w:rFonts w:hint="eastAsia" w:ascii="宋体" w:hAnsi="宋体" w:eastAsia="宋体" w:cs="宋体"/>
          <w:color w:val="auto"/>
          <w:sz w:val="24"/>
          <w:szCs w:val="24"/>
          <w:lang w:val="en-US" w:eastAsia="zh-CN"/>
        </w:rPr>
        <w:t>粮完成率＜100%，得0分”。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eastAsia="宋体" w:cs="宋体"/>
          <w:color w:val="auto"/>
          <w:sz w:val="24"/>
          <w:szCs w:val="24"/>
          <w:lang w:val="en-US" w:eastAsia="zh-CN"/>
        </w:rPr>
        <w:t>根据泉州市洛江区粮油食品有限公司2021年工作总结，储存保管原粮12,350吨。储备原粮完成率为100%。本项得分3分。</w:t>
      </w:r>
    </w:p>
    <w:p>
      <w:pPr>
        <w:numPr>
          <w:ilvl w:val="0"/>
          <w:numId w:val="1"/>
        </w:numPr>
        <w:spacing w:line="360" w:lineRule="auto"/>
        <w:ind w:left="0" w:leftChars="0" w:firstLine="48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储备大米完成率（分值3分）</w:t>
      </w:r>
    </w:p>
    <w:p>
      <w:pPr>
        <w:pStyle w:val="4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实际大米储备数量与计划数的比率，用以反映和考核大米储备数量目标的实现程度。评分标准为“储备大米完成率=（实际储备数量/计划储备数量）×100%。储备大米完成率≥100%，得3分；储备大米完成率＜100%，得0分”。</w:t>
      </w:r>
    </w:p>
    <w:p>
      <w:pPr>
        <w:pStyle w:val="4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根据泉州市洛江区粮油食品有限公司2021年工作总结，储存保管应急大米储备600吨，储备大米完成率为100%。本项得分3分。</w:t>
      </w:r>
    </w:p>
    <w:p>
      <w:pPr>
        <w:pStyle w:val="4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储备食用油完成率（分值3分）</w:t>
      </w:r>
    </w:p>
    <w:p>
      <w:pPr>
        <w:pStyle w:val="41"/>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实际食用油储备数量与计划数的比率，用以反映和考核食用油储备数量目标的实现程度。评分标准为“储备食用油完成率=（实际储备数量/计划储备数量）×100%。储备食用油完成率≥100%，得3分；储备食用油完成率＜100%，得0分”。</w:t>
      </w:r>
    </w:p>
    <w:p>
      <w:pPr>
        <w:pStyle w:val="4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根据泉州市洛江区粮油食品有限公司2021年工作总结，储存保管食用油储备100吨，储备食用油完成率为100%。本项得分3分。</w:t>
      </w:r>
    </w:p>
    <w:p>
      <w:pPr>
        <w:pStyle w:val="4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储备粮轮换完成率（分值3分）</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实际储备粮轮换数量与计划数的比率，用以反映和考核储备粮轮换数量目标的实现程度。评分标准为“储备粮轮换完成率=（实际轮换数量/计划轮换数量）×100%。储备粮轮换完成率≥100%，得3分；储备粮轮换完成率＜100%，得0分”。</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根据泉州市洛江区粮油食品有限公司2021年工作总结，6月份轮换本库小麦2</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000吨，10月份轮换金穗米业公司天兴仓库稻谷3</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500吨，储备粮轮换完成率＞100%。本项得分3分。</w:t>
      </w:r>
    </w:p>
    <w:p>
      <w:pPr>
        <w:pStyle w:val="41"/>
        <w:spacing w:line="360" w:lineRule="auto"/>
        <w:ind w:left="480" w:firstLine="0" w:firstLineChars="0"/>
        <w:rPr>
          <w:rFonts w:ascii="黑体" w:hAnsi="黑体" w:eastAsia="黑体"/>
          <w:color w:val="auto"/>
          <w:sz w:val="24"/>
          <w:szCs w:val="24"/>
        </w:rPr>
      </w:pPr>
      <w:r>
        <w:rPr>
          <w:rFonts w:hint="eastAsia" w:ascii="黑体" w:hAnsi="黑体" w:eastAsia="黑体"/>
          <w:color w:val="auto"/>
          <w:sz w:val="24"/>
          <w:szCs w:val="24"/>
          <w:lang w:val="en-US" w:eastAsia="zh-CN"/>
        </w:rPr>
        <w:t>2.</w:t>
      </w:r>
      <w:r>
        <w:rPr>
          <w:rFonts w:ascii="黑体" w:hAnsi="黑体" w:eastAsia="黑体"/>
          <w:color w:val="auto"/>
          <w:sz w:val="24"/>
          <w:szCs w:val="24"/>
        </w:rPr>
        <w:t>产出</w:t>
      </w:r>
      <w:r>
        <w:rPr>
          <w:rFonts w:hint="eastAsia" w:ascii="黑体" w:hAnsi="黑体" w:eastAsia="黑体"/>
          <w:color w:val="auto"/>
          <w:sz w:val="24"/>
          <w:szCs w:val="24"/>
          <w:lang w:eastAsia="zh-CN"/>
        </w:rPr>
        <w:t>质量</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8</w:t>
      </w:r>
      <w:r>
        <w:rPr>
          <w:rFonts w:ascii="黑体" w:hAnsi="黑体" w:eastAsia="黑体"/>
          <w:color w:val="auto"/>
          <w:sz w:val="24"/>
          <w:szCs w:val="24"/>
        </w:rPr>
        <w:t>分）</w:t>
      </w:r>
    </w:p>
    <w:p>
      <w:pPr>
        <w:pStyle w:val="41"/>
        <w:spacing w:line="360" w:lineRule="auto"/>
        <w:rPr>
          <w:rFonts w:hint="eastAsia" w:ascii="宋体" w:hAnsi="宋体" w:eastAsia="宋体" w:cs="宋体"/>
          <w:color w:val="auto"/>
          <w:sz w:val="24"/>
          <w:szCs w:val="24"/>
        </w:rPr>
      </w:pPr>
      <w:r>
        <w:rPr>
          <w:rFonts w:hint="eastAsia" w:ascii="宋体" w:hAnsi="宋体" w:eastAsia="宋体" w:cs="Times New Roman"/>
          <w:color w:val="auto"/>
          <w:kern w:val="2"/>
          <w:sz w:val="24"/>
          <w:szCs w:val="24"/>
          <w:lang w:val="en-US" w:eastAsia="zh-CN" w:bidi="ar-SA"/>
        </w:rPr>
        <w:t>产出</w:t>
      </w:r>
      <w:r>
        <w:rPr>
          <w:rFonts w:hint="eastAsia" w:cs="Times New Roman"/>
          <w:color w:val="auto"/>
          <w:kern w:val="2"/>
          <w:sz w:val="24"/>
          <w:szCs w:val="24"/>
          <w:lang w:val="en-US" w:eastAsia="zh-CN" w:bidi="ar-SA"/>
        </w:rPr>
        <w:t>质</w:t>
      </w:r>
      <w:r>
        <w:rPr>
          <w:rFonts w:hint="eastAsia" w:ascii="宋体" w:hAnsi="宋体" w:eastAsia="宋体" w:cs="Times New Roman"/>
          <w:color w:val="auto"/>
          <w:kern w:val="2"/>
          <w:sz w:val="24"/>
          <w:szCs w:val="24"/>
          <w:lang w:val="en-US" w:eastAsia="zh-CN" w:bidi="ar-SA"/>
        </w:rPr>
        <w:t>量设置储备粮油质量合格率</w:t>
      </w:r>
      <w:r>
        <w:rPr>
          <w:rFonts w:hint="eastAsia" w:ascii="宋体" w:hAnsi="宋体" w:eastAsia="宋体" w:cs="宋体"/>
          <w:color w:val="auto"/>
          <w:sz w:val="24"/>
          <w:szCs w:val="24"/>
          <w:lang w:val="en-US" w:eastAsia="zh-CN"/>
        </w:rPr>
        <w:t>三级指标</w:t>
      </w:r>
      <w:r>
        <w:rPr>
          <w:rFonts w:hint="eastAsia" w:ascii="宋体" w:hAnsi="宋体" w:eastAsia="宋体" w:cs="宋体"/>
          <w:color w:val="auto"/>
          <w:sz w:val="24"/>
          <w:szCs w:val="24"/>
        </w:rPr>
        <w:t>进行评价。</w:t>
      </w:r>
    </w:p>
    <w:p>
      <w:pPr>
        <w:pStyle w:val="41"/>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储备粮油质量合格率指标通过检验储备粮油质量是否符合国家粮油质量标准，用以反映和考核储备粮油质量合格情况。评分标准为“符合国家粮油质量标准（8分）；不符合（0分）”。</w:t>
      </w:r>
    </w:p>
    <w:p>
      <w:pPr>
        <w:pStyle w:val="41"/>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通过抽查泉州市洛江区粮油食品有限公司的粮油质量检验报告，根据泉州市粮油质量监测站的检验报告，储备粮油质量符合国家粮油质量标准。本项得分8分。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3.</w:t>
      </w:r>
      <w:r>
        <w:rPr>
          <w:rFonts w:hint="eastAsia" w:ascii="黑体" w:hAnsi="黑体" w:eastAsia="黑体"/>
          <w:color w:val="auto"/>
          <w:sz w:val="24"/>
          <w:szCs w:val="24"/>
          <w:lang w:eastAsia="zh-CN"/>
        </w:rPr>
        <w:t>产出时效</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5</w:t>
      </w:r>
      <w:r>
        <w:rPr>
          <w:rFonts w:ascii="黑体" w:hAnsi="黑体" w:eastAsia="黑体"/>
          <w:color w:val="auto"/>
          <w:sz w:val="24"/>
          <w:szCs w:val="24"/>
        </w:rPr>
        <w:t>分）</w:t>
      </w:r>
    </w:p>
    <w:p>
      <w:pPr>
        <w:spacing w:line="360" w:lineRule="auto"/>
        <w:ind w:firstLine="480"/>
        <w:rPr>
          <w:rFonts w:hint="eastAsia"/>
          <w:color w:val="auto"/>
          <w:sz w:val="24"/>
          <w:szCs w:val="24"/>
          <w:lang w:eastAsia="zh-CN"/>
        </w:rPr>
      </w:pPr>
      <w:r>
        <w:rPr>
          <w:rFonts w:hint="eastAsia"/>
          <w:color w:val="auto"/>
          <w:sz w:val="24"/>
          <w:szCs w:val="24"/>
          <w:lang w:eastAsia="zh-CN"/>
        </w:rPr>
        <w:t>产出时效指标设置</w:t>
      </w:r>
      <w:r>
        <w:rPr>
          <w:rFonts w:hint="eastAsia"/>
          <w:color w:val="auto"/>
          <w:sz w:val="24"/>
          <w:szCs w:val="24"/>
        </w:rPr>
        <w:t>完成及时性</w:t>
      </w:r>
      <w:r>
        <w:rPr>
          <w:rFonts w:hint="eastAsia"/>
          <w:color w:val="auto"/>
          <w:sz w:val="24"/>
          <w:szCs w:val="24"/>
          <w:lang w:eastAsia="zh-CN"/>
        </w:rPr>
        <w:t>三级指标进行</w:t>
      </w:r>
      <w:r>
        <w:rPr>
          <w:color w:val="auto"/>
          <w:sz w:val="24"/>
          <w:szCs w:val="24"/>
        </w:rPr>
        <w:t>评价</w:t>
      </w:r>
      <w:r>
        <w:rPr>
          <w:rFonts w:hint="eastAsia"/>
          <w:color w:val="auto"/>
          <w:sz w:val="24"/>
          <w:szCs w:val="24"/>
          <w:lang w:eastAsia="zh-CN"/>
        </w:rPr>
        <w:t>。</w:t>
      </w:r>
    </w:p>
    <w:p>
      <w:pPr>
        <w:spacing w:line="360" w:lineRule="auto"/>
        <w:ind w:firstLine="480"/>
        <w:rPr>
          <w:rFonts w:hint="eastAsia" w:ascii="宋体" w:hAnsi="宋体" w:cs="宋体"/>
          <w:sz w:val="24"/>
        </w:rPr>
      </w:pPr>
      <w:r>
        <w:rPr>
          <w:rFonts w:hint="eastAsia"/>
          <w:color w:val="auto"/>
          <w:sz w:val="24"/>
          <w:szCs w:val="24"/>
          <w:lang w:val="en-US" w:eastAsia="zh-CN"/>
        </w:rPr>
        <w:t>完成及时性指标通过项目实际完成时间与计划完成时间的比较，用以反映和考核项目产出时效</w:t>
      </w:r>
      <w:r>
        <w:rPr>
          <w:rFonts w:hint="eastAsia" w:ascii="宋体" w:hAnsi="宋体" w:cs="宋体"/>
          <w:sz w:val="24"/>
        </w:rPr>
        <w:t>目标的实现程度。评分标准为“按计划完成（5分）；每推迟半个月扣1分，扣完为止”。</w:t>
      </w:r>
    </w:p>
    <w:p>
      <w:pPr>
        <w:spacing w:line="360" w:lineRule="auto"/>
        <w:ind w:firstLine="480"/>
        <w:rPr>
          <w:rFonts w:hint="eastAsia" w:ascii="宋体" w:hAnsi="宋体" w:eastAsia="宋体" w:cs="宋体"/>
          <w:color w:val="FF0000"/>
          <w:sz w:val="24"/>
          <w:szCs w:val="24"/>
          <w:highlight w:val="none"/>
          <w:lang w:val="en-US" w:eastAsia="zh-CN"/>
        </w:rPr>
      </w:pPr>
      <w:r>
        <w:rPr>
          <w:rFonts w:hint="eastAsia" w:ascii="宋体" w:hAnsi="宋体" w:cs="宋体"/>
          <w:sz w:val="24"/>
          <w:lang w:val="en-US" w:eastAsia="zh-CN"/>
        </w:rPr>
        <w:t>根据泉州市洛江区粮油食品有限公司2021年总结，粮食风险基金项目按计划及时完成。本项得分5分。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4.</w:t>
      </w:r>
      <w:r>
        <w:rPr>
          <w:rFonts w:hint="eastAsia" w:ascii="黑体" w:hAnsi="黑体" w:eastAsia="黑体"/>
          <w:color w:val="auto"/>
          <w:sz w:val="24"/>
          <w:szCs w:val="24"/>
          <w:lang w:eastAsia="zh-CN"/>
        </w:rPr>
        <w:t>产出成本</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5</w:t>
      </w:r>
      <w:r>
        <w:rPr>
          <w:rFonts w:ascii="黑体" w:hAnsi="黑体" w:eastAsia="黑体"/>
          <w:color w:val="auto"/>
          <w:sz w:val="24"/>
          <w:szCs w:val="24"/>
        </w:rPr>
        <w:t>分）</w:t>
      </w:r>
    </w:p>
    <w:p>
      <w:pPr>
        <w:pStyle w:val="41"/>
        <w:spacing w:line="360" w:lineRule="auto"/>
        <w:ind w:firstLine="480" w:firstLineChars="0"/>
        <w:rPr>
          <w:color w:val="auto"/>
          <w:sz w:val="24"/>
          <w:szCs w:val="24"/>
        </w:rPr>
      </w:pPr>
      <w:r>
        <w:rPr>
          <w:rFonts w:hint="eastAsia" w:ascii="宋体" w:hAnsi="宋体" w:eastAsia="宋体" w:cs="宋体"/>
          <w:color w:val="auto"/>
          <w:sz w:val="24"/>
          <w:szCs w:val="24"/>
          <w:lang w:eastAsia="zh-CN"/>
        </w:rPr>
        <w:t>产出成本</w:t>
      </w:r>
      <w:r>
        <w:rPr>
          <w:rFonts w:hint="eastAsia" w:ascii="宋体" w:hAnsi="宋体" w:eastAsia="宋体" w:cs="宋体"/>
          <w:color w:val="auto"/>
          <w:sz w:val="24"/>
          <w:szCs w:val="24"/>
        </w:rPr>
        <w:t>通过成本控制率进行评价</w:t>
      </w:r>
      <w:r>
        <w:rPr>
          <w:rFonts w:hint="eastAsia" w:ascii="宋体" w:hAnsi="宋体" w:eastAsia="宋体" w:cs="宋体"/>
          <w:color w:val="auto"/>
          <w:sz w:val="24"/>
          <w:szCs w:val="24"/>
          <w:lang w:eastAsia="zh-CN"/>
        </w:rPr>
        <w:t>。评分标准为“成本控制率≦100</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得满分，每超5%扣1分，扣完为止”</w:t>
      </w:r>
      <w:r>
        <w:rPr>
          <w:color w:val="auto"/>
          <w:sz w:val="24"/>
          <w:szCs w:val="24"/>
        </w:rPr>
        <w:t>。</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lang w:val="en-US" w:eastAsia="zh-CN"/>
        </w:rPr>
        <w:t>洛江区粮食风险基金成本控制率＝截至年末累计支出数/概算或当年度预算×100%==（389.1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/560）×100%=69.48%，未超100%。</w:t>
      </w:r>
      <w:r>
        <w:rPr>
          <w:rFonts w:hint="eastAsia" w:ascii="宋体" w:hAnsi="宋体" w:eastAsia="宋体" w:cs="宋体"/>
          <w:color w:val="auto"/>
          <w:sz w:val="24"/>
          <w:szCs w:val="24"/>
          <w:lang w:eastAsia="zh-CN"/>
        </w:rPr>
        <w:t>本项得分</w:t>
      </w:r>
      <w:r>
        <w:rPr>
          <w:rFonts w:hint="eastAsia" w:ascii="宋体" w:hAnsi="宋体" w:eastAsia="宋体" w:cs="宋体"/>
          <w:color w:val="auto"/>
          <w:sz w:val="24"/>
          <w:szCs w:val="24"/>
          <w:lang w:val="en-US" w:eastAsia="zh-CN"/>
        </w:rPr>
        <w:t>5分。</w:t>
      </w:r>
    </w:p>
    <w:p>
      <w:pPr>
        <w:pStyle w:val="4"/>
        <w:keepNext/>
        <w:keepLines/>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宋体" w:hAnsi="宋体" w:eastAsia="宋体" w:cs="宋体"/>
          <w:b w:val="0"/>
          <w:bCs w:val="0"/>
          <w:color w:val="000000"/>
          <w:sz w:val="28"/>
          <w:szCs w:val="28"/>
        </w:rPr>
      </w:pPr>
      <w:bookmarkStart w:id="18" w:name="_Toc9262"/>
      <w:r>
        <w:rPr>
          <w:rFonts w:hint="eastAsia" w:ascii="宋体" w:hAnsi="宋体" w:eastAsia="宋体" w:cs="宋体"/>
          <w:b w:val="0"/>
          <w:bCs w:val="0"/>
          <w:color w:val="000000"/>
          <w:sz w:val="28"/>
          <w:szCs w:val="28"/>
        </w:rPr>
        <w:t>（四）项目效益情况</w:t>
      </w:r>
      <w:r>
        <w:rPr>
          <w:rFonts w:hint="eastAsia" w:ascii="宋体" w:hAnsi="宋体" w:eastAsia="宋体" w:cs="宋体"/>
          <w:b w:val="0"/>
          <w:bCs w:val="0"/>
          <w:color w:val="000000"/>
          <w:sz w:val="28"/>
          <w:szCs w:val="28"/>
          <w:lang w:eastAsia="zh-CN"/>
        </w:rPr>
        <w:t>（分值</w:t>
      </w:r>
      <w:r>
        <w:rPr>
          <w:rFonts w:hint="eastAsia" w:ascii="宋体" w:hAnsi="宋体" w:eastAsia="宋体" w:cs="宋体"/>
          <w:b w:val="0"/>
          <w:bCs w:val="0"/>
          <w:color w:val="000000"/>
          <w:sz w:val="28"/>
          <w:szCs w:val="28"/>
          <w:lang w:val="en-US" w:eastAsia="zh-CN"/>
        </w:rPr>
        <w:t>28分，得分24分）</w:t>
      </w:r>
      <w:bookmarkEnd w:id="18"/>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1.</w:t>
      </w:r>
      <w:r>
        <w:rPr>
          <w:rFonts w:ascii="黑体" w:hAnsi="黑体" w:eastAsia="黑体"/>
          <w:color w:val="auto"/>
          <w:sz w:val="24"/>
          <w:szCs w:val="24"/>
        </w:rPr>
        <w:t>社会效益（</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6</w:t>
      </w:r>
      <w:r>
        <w:rPr>
          <w:rFonts w:ascii="黑体" w:hAnsi="黑体" w:eastAsia="黑体"/>
          <w:color w:val="auto"/>
          <w:sz w:val="24"/>
          <w:szCs w:val="24"/>
        </w:rPr>
        <w:t>分）</w:t>
      </w:r>
    </w:p>
    <w:p>
      <w:pPr>
        <w:pStyle w:val="41"/>
        <w:spacing w:line="360" w:lineRule="auto"/>
        <w:ind w:firstLine="480" w:firstLineChars="0"/>
        <w:rPr>
          <w:rFonts w:hint="eastAsia"/>
          <w:color w:val="auto"/>
          <w:sz w:val="24"/>
          <w:szCs w:val="24"/>
          <w:lang w:eastAsia="zh-CN"/>
        </w:rPr>
      </w:pPr>
      <w:r>
        <w:rPr>
          <w:color w:val="auto"/>
          <w:sz w:val="24"/>
          <w:szCs w:val="24"/>
        </w:rPr>
        <w:t>社会效益</w:t>
      </w:r>
      <w:r>
        <w:rPr>
          <w:rFonts w:hint="eastAsia"/>
          <w:color w:val="auto"/>
          <w:sz w:val="24"/>
          <w:szCs w:val="24"/>
          <w:lang w:val="en-US" w:eastAsia="zh-CN"/>
        </w:rPr>
        <w:t>设置维护区域粮食安全和市场稳定三级指标</w:t>
      </w:r>
      <w:r>
        <w:rPr>
          <w:rFonts w:hint="eastAsia" w:ascii="宋体" w:hAnsi="宋体" w:cs="宋体"/>
          <w:color w:val="auto"/>
          <w:sz w:val="24"/>
        </w:rPr>
        <w:t>进行评价</w:t>
      </w:r>
      <w:r>
        <w:rPr>
          <w:rFonts w:hint="eastAsia"/>
          <w:color w:val="auto"/>
          <w:sz w:val="24"/>
          <w:szCs w:val="24"/>
          <w:lang w:eastAsia="zh-CN"/>
        </w:rPr>
        <w:t>。</w:t>
      </w:r>
      <w:r>
        <w:rPr>
          <w:rFonts w:hint="eastAsia"/>
          <w:color w:val="auto"/>
          <w:sz w:val="24"/>
          <w:szCs w:val="24"/>
          <w:lang w:val="en-US" w:eastAsia="zh-CN"/>
        </w:rPr>
        <w:t>考核项目实施是否确保了该区域储备粮的安全和维护了粮食市场的稳定。评分标准为“效果显著（6分）；效果较显著（1-5分）；效果不明显（0分）”</w:t>
      </w:r>
      <w:r>
        <w:rPr>
          <w:rFonts w:hint="eastAsia"/>
          <w:color w:val="auto"/>
          <w:sz w:val="24"/>
          <w:szCs w:val="24"/>
          <w:lang w:eastAsia="zh-CN"/>
        </w:rPr>
        <w:t>。</w:t>
      </w:r>
    </w:p>
    <w:p>
      <w:pPr>
        <w:pStyle w:val="41"/>
        <w:spacing w:line="360" w:lineRule="auto"/>
        <w:ind w:firstLine="480" w:firstLineChars="0"/>
        <w:rPr>
          <w:rFonts w:hint="default" w:eastAsia="宋体"/>
          <w:color w:val="auto"/>
          <w:sz w:val="24"/>
          <w:szCs w:val="24"/>
          <w:lang w:val="en-US" w:eastAsia="zh-CN"/>
        </w:rPr>
      </w:pPr>
      <w:r>
        <w:rPr>
          <w:rFonts w:hint="eastAsia"/>
          <w:color w:val="auto"/>
          <w:sz w:val="24"/>
          <w:szCs w:val="24"/>
          <w:lang w:val="en-US" w:eastAsia="zh-CN"/>
        </w:rPr>
        <w:t>粮食风险基金</w:t>
      </w:r>
      <w:r>
        <w:rPr>
          <w:rFonts w:hint="eastAsia"/>
          <w:color w:val="auto"/>
          <w:sz w:val="24"/>
          <w:szCs w:val="24"/>
        </w:rPr>
        <w:t>项目的实施，为承储单位按时按质按量做好储备粮的收购、保管、轮换提供了有力保障，顺利完成了地方储备粮任务，确保了储备粮的安全，维护了粮食市场的稳定</w:t>
      </w:r>
      <w:r>
        <w:rPr>
          <w:rFonts w:hint="eastAsia"/>
          <w:color w:val="auto"/>
          <w:sz w:val="24"/>
          <w:szCs w:val="24"/>
          <w:lang w:eastAsia="zh-CN"/>
        </w:rPr>
        <w:t>，</w:t>
      </w:r>
      <w:r>
        <w:rPr>
          <w:rFonts w:hint="eastAsia"/>
          <w:color w:val="auto"/>
          <w:sz w:val="24"/>
          <w:szCs w:val="24"/>
          <w:lang w:val="en-US" w:eastAsia="zh-CN"/>
        </w:rPr>
        <w:t>效果较显著。本项酌情扣1分，得分5分。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2.</w:t>
      </w:r>
      <w:r>
        <w:rPr>
          <w:rFonts w:hint="eastAsia" w:ascii="黑体" w:hAnsi="黑体" w:eastAsia="黑体"/>
          <w:color w:val="auto"/>
          <w:sz w:val="24"/>
          <w:szCs w:val="24"/>
          <w:lang w:eastAsia="zh-CN"/>
        </w:rPr>
        <w:t>经济</w:t>
      </w:r>
      <w:r>
        <w:rPr>
          <w:rFonts w:hint="eastAsia" w:ascii="黑体" w:hAnsi="黑体" w:eastAsia="黑体"/>
          <w:color w:val="auto"/>
          <w:sz w:val="24"/>
          <w:szCs w:val="24"/>
        </w:rPr>
        <w:t>效益</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6</w:t>
      </w:r>
      <w:r>
        <w:rPr>
          <w:rFonts w:ascii="黑体" w:hAnsi="黑体" w:eastAsia="黑体"/>
          <w:color w:val="auto"/>
          <w:sz w:val="24"/>
          <w:szCs w:val="24"/>
        </w:rPr>
        <w:t>分）</w:t>
      </w:r>
    </w:p>
    <w:p>
      <w:pPr>
        <w:spacing w:line="360" w:lineRule="auto"/>
        <w:ind w:firstLine="480"/>
        <w:rPr>
          <w:rFonts w:hint="eastAsia" w:eastAsia="宋体"/>
          <w:color w:val="auto"/>
          <w:sz w:val="24"/>
          <w:szCs w:val="24"/>
          <w:lang w:eastAsia="zh-CN"/>
        </w:rPr>
      </w:pPr>
      <w:r>
        <w:rPr>
          <w:rFonts w:hint="eastAsia"/>
          <w:color w:val="auto"/>
          <w:sz w:val="24"/>
          <w:szCs w:val="24"/>
          <w:lang w:eastAsia="zh-CN"/>
        </w:rPr>
        <w:t>经济</w:t>
      </w:r>
      <w:r>
        <w:rPr>
          <w:color w:val="auto"/>
          <w:sz w:val="24"/>
          <w:szCs w:val="24"/>
        </w:rPr>
        <w:t>效益</w:t>
      </w:r>
      <w:r>
        <w:rPr>
          <w:rFonts w:hint="eastAsia"/>
          <w:color w:val="auto"/>
          <w:sz w:val="24"/>
          <w:szCs w:val="24"/>
          <w:lang w:eastAsia="zh-CN"/>
        </w:rPr>
        <w:t>设置</w:t>
      </w:r>
      <w:r>
        <w:rPr>
          <w:rFonts w:hint="eastAsia"/>
          <w:color w:val="auto"/>
          <w:sz w:val="24"/>
          <w:szCs w:val="24"/>
          <w:lang w:val="en-US" w:eastAsia="zh-CN"/>
        </w:rPr>
        <w:t>粮食价格稳定性</w:t>
      </w:r>
      <w:r>
        <w:rPr>
          <w:rFonts w:hint="eastAsia"/>
          <w:color w:val="auto"/>
          <w:sz w:val="24"/>
          <w:szCs w:val="24"/>
          <w:lang w:eastAsia="zh-CN"/>
        </w:rPr>
        <w:t>三级指标</w:t>
      </w:r>
      <w:r>
        <w:rPr>
          <w:color w:val="auto"/>
          <w:sz w:val="24"/>
          <w:szCs w:val="24"/>
        </w:rPr>
        <w:t>进行评价</w:t>
      </w:r>
      <w:r>
        <w:rPr>
          <w:rFonts w:hint="eastAsia"/>
          <w:color w:val="auto"/>
          <w:sz w:val="24"/>
          <w:szCs w:val="24"/>
          <w:lang w:eastAsia="zh-CN"/>
        </w:rPr>
        <w:t>，考核项目</w:t>
      </w:r>
      <w:r>
        <w:rPr>
          <w:rFonts w:hint="eastAsia"/>
          <w:color w:val="auto"/>
          <w:sz w:val="24"/>
          <w:szCs w:val="24"/>
          <w:lang w:val="en-US" w:eastAsia="zh-CN"/>
        </w:rPr>
        <w:t>事实是否确保全区粮食价格稳定</w:t>
      </w:r>
      <w:r>
        <w:rPr>
          <w:rFonts w:hint="eastAsia"/>
          <w:color w:val="auto"/>
          <w:sz w:val="24"/>
          <w:szCs w:val="24"/>
          <w:lang w:eastAsia="zh-CN"/>
        </w:rPr>
        <w:t>。评分标准为“效果显著，得6分；效果较显著，得1-5分；效果不明显，得0分”。</w:t>
      </w:r>
    </w:p>
    <w:p>
      <w:pPr>
        <w:spacing w:line="360" w:lineRule="auto"/>
        <w:ind w:firstLine="480"/>
        <w:rPr>
          <w:rFonts w:hint="eastAsia"/>
          <w:color w:val="auto"/>
          <w:sz w:val="24"/>
          <w:szCs w:val="24"/>
          <w:lang w:val="en-US" w:eastAsia="zh-CN"/>
        </w:rPr>
      </w:pPr>
      <w:r>
        <w:rPr>
          <w:rFonts w:hint="eastAsia"/>
          <w:color w:val="auto"/>
          <w:sz w:val="24"/>
          <w:szCs w:val="24"/>
          <w:lang w:val="en-US" w:eastAsia="zh-CN"/>
        </w:rPr>
        <w:t>通过实地发放问卷调查，群众对项目实施确保粮食价格稳定评价为91%，效果较显著，本项得分5分。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3.</w:t>
      </w:r>
      <w:r>
        <w:rPr>
          <w:rFonts w:hint="eastAsia" w:ascii="黑体" w:hAnsi="黑体" w:eastAsia="黑体"/>
          <w:color w:val="auto"/>
          <w:sz w:val="24"/>
          <w:szCs w:val="24"/>
        </w:rPr>
        <w:t>可持续影响</w:t>
      </w:r>
      <w:r>
        <w:rPr>
          <w:rFonts w:ascii="黑体" w:hAnsi="黑体" w:eastAsia="黑体"/>
          <w:color w:val="auto"/>
          <w:sz w:val="24"/>
          <w:szCs w:val="24"/>
        </w:rPr>
        <w:t>（</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8</w:t>
      </w:r>
      <w:r>
        <w:rPr>
          <w:rFonts w:ascii="黑体" w:hAnsi="黑体" w:eastAsia="黑体"/>
          <w:color w:val="auto"/>
          <w:sz w:val="24"/>
          <w:szCs w:val="24"/>
        </w:rPr>
        <w:t>分）</w:t>
      </w:r>
    </w:p>
    <w:p>
      <w:pPr>
        <w:spacing w:line="360" w:lineRule="auto"/>
        <w:ind w:firstLine="480"/>
        <w:rPr>
          <w:rFonts w:hint="eastAsia"/>
          <w:color w:val="auto"/>
          <w:sz w:val="24"/>
          <w:szCs w:val="24"/>
          <w:lang w:eastAsia="zh-CN"/>
        </w:rPr>
      </w:pPr>
      <w:r>
        <w:rPr>
          <w:rFonts w:hint="eastAsia"/>
          <w:color w:val="auto"/>
          <w:sz w:val="24"/>
          <w:szCs w:val="24"/>
        </w:rPr>
        <w:t>可持续影响</w:t>
      </w:r>
      <w:r>
        <w:rPr>
          <w:rFonts w:hint="eastAsia"/>
          <w:color w:val="auto"/>
          <w:sz w:val="24"/>
          <w:szCs w:val="24"/>
          <w:lang w:val="en-US" w:eastAsia="zh-CN"/>
        </w:rPr>
        <w:t>从储备粮食安全和粮食储备技术达标率两个方面</w:t>
      </w:r>
      <w:r>
        <w:rPr>
          <w:rFonts w:hint="eastAsia"/>
          <w:color w:val="auto"/>
          <w:sz w:val="24"/>
          <w:szCs w:val="24"/>
          <w:lang w:eastAsia="zh-CN"/>
        </w:rPr>
        <w:t>进行评价。</w:t>
      </w:r>
    </w:p>
    <w:p>
      <w:pPr>
        <w:numPr>
          <w:ilvl w:val="0"/>
          <w:numId w:val="2"/>
        </w:numPr>
        <w:spacing w:line="360" w:lineRule="auto"/>
        <w:ind w:firstLine="480"/>
        <w:rPr>
          <w:rFonts w:hint="eastAsia"/>
          <w:color w:val="auto"/>
          <w:sz w:val="24"/>
          <w:szCs w:val="24"/>
          <w:lang w:val="en-US" w:eastAsia="zh-CN"/>
        </w:rPr>
      </w:pPr>
      <w:r>
        <w:rPr>
          <w:rFonts w:hint="eastAsia"/>
          <w:color w:val="auto"/>
          <w:sz w:val="24"/>
          <w:szCs w:val="24"/>
          <w:lang w:val="en-US" w:eastAsia="zh-CN"/>
        </w:rPr>
        <w:t>储备粮食安全（分值4分）</w:t>
      </w:r>
    </w:p>
    <w:p>
      <w:pPr>
        <w:numPr>
          <w:ilvl w:val="0"/>
          <w:numId w:val="0"/>
        </w:num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该指标考核是否建立健全储备粮防火、防盗、防洪等安全管理制度；是否因延误轮换或管理不善导致储备粮陈化、霉变。评价标准为“建立健全相关安全管理制度；未因延误轮换或管理不善导致储备粮陈化、霉变。一项不符扣2分”。</w:t>
      </w:r>
    </w:p>
    <w:p>
      <w:pPr>
        <w:numPr>
          <w:ilvl w:val="0"/>
          <w:numId w:val="0"/>
        </w:numPr>
        <w:spacing w:line="360" w:lineRule="auto"/>
        <w:ind w:firstLine="480" w:firstLineChars="200"/>
        <w:rPr>
          <w:rFonts w:hint="default"/>
          <w:color w:val="auto"/>
          <w:sz w:val="24"/>
          <w:szCs w:val="24"/>
          <w:lang w:val="en-US" w:eastAsia="zh-CN"/>
        </w:rPr>
      </w:pPr>
      <w:r>
        <w:rPr>
          <w:rFonts w:hint="eastAsia"/>
          <w:color w:val="auto"/>
          <w:sz w:val="24"/>
          <w:szCs w:val="24"/>
          <w:lang w:val="en-US" w:eastAsia="zh-CN"/>
        </w:rPr>
        <w:t>通过项目资料及现场勘察，该项目建立健全储备粮防火、防盗、防洪等安全管理制度并层层落实责任到人；未因延误轮换或管理不善造成储备粮陈化、霉变。本项得分4分。</w:t>
      </w:r>
    </w:p>
    <w:p>
      <w:pPr>
        <w:numPr>
          <w:ilvl w:val="0"/>
          <w:numId w:val="2"/>
        </w:numPr>
        <w:spacing w:line="360" w:lineRule="auto"/>
        <w:ind w:left="0" w:leftChars="0" w:firstLine="480" w:firstLineChars="0"/>
        <w:rPr>
          <w:rFonts w:hint="eastAsia"/>
          <w:color w:val="auto"/>
          <w:sz w:val="24"/>
          <w:szCs w:val="24"/>
          <w:lang w:val="en-US" w:eastAsia="zh-CN"/>
        </w:rPr>
      </w:pPr>
      <w:r>
        <w:rPr>
          <w:rFonts w:hint="eastAsia"/>
          <w:color w:val="auto"/>
          <w:sz w:val="24"/>
          <w:szCs w:val="24"/>
          <w:lang w:val="en-US" w:eastAsia="zh-CN"/>
        </w:rPr>
        <w:t>粮食储备技术达标率（分值4分）</w:t>
      </w:r>
    </w:p>
    <w:p>
      <w:pPr>
        <w:numPr>
          <w:ilvl w:val="0"/>
          <w:numId w:val="0"/>
        </w:numPr>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该项目考核粮食储备环境、技术是否达到相关文件标准。评分标准为“粮食储备环境、技术达到相关文件标准，得4分；未达到，得0分”。</w:t>
      </w:r>
    </w:p>
    <w:p>
      <w:pPr>
        <w:spacing w:line="360" w:lineRule="auto"/>
        <w:ind w:firstLine="480"/>
        <w:rPr>
          <w:rFonts w:hint="default"/>
          <w:color w:val="auto"/>
          <w:sz w:val="24"/>
          <w:szCs w:val="24"/>
          <w:lang w:val="en-US" w:eastAsia="zh-CN"/>
        </w:rPr>
      </w:pPr>
      <w:r>
        <w:rPr>
          <w:rFonts w:hint="eastAsia" w:ascii="Times New Roman" w:hAnsi="Times New Roman" w:eastAsia="宋体" w:cs="Times New Roman"/>
          <w:color w:val="auto"/>
          <w:sz w:val="24"/>
          <w:szCs w:val="24"/>
          <w:lang w:val="en-US" w:eastAsia="zh-CN"/>
        </w:rPr>
        <w:t>通过项目资料及现场勘察，粮食储备技术达到相关文件标准，但是区级应急大米委托区域外晋江、南安民营粮食企业代储，距离洛江区较远，应急时效较差，不利于储备粮食安全的风险防范。本项酌情扣2分，得2分。</w:t>
      </w:r>
    </w:p>
    <w:p>
      <w:pPr>
        <w:pStyle w:val="41"/>
        <w:numPr>
          <w:ilvl w:val="0"/>
          <w:numId w:val="0"/>
        </w:numPr>
        <w:spacing w:line="360" w:lineRule="auto"/>
        <w:ind w:firstLine="480" w:firstLineChars="200"/>
        <w:rPr>
          <w:rFonts w:ascii="黑体" w:hAnsi="黑体" w:eastAsia="黑体"/>
          <w:color w:val="auto"/>
          <w:sz w:val="24"/>
          <w:szCs w:val="24"/>
        </w:rPr>
      </w:pPr>
      <w:r>
        <w:rPr>
          <w:rFonts w:hint="eastAsia" w:ascii="黑体" w:hAnsi="黑体" w:eastAsia="黑体"/>
          <w:color w:val="auto"/>
          <w:sz w:val="24"/>
          <w:szCs w:val="24"/>
          <w:lang w:val="en-US" w:eastAsia="zh-CN"/>
        </w:rPr>
        <w:t>4.</w:t>
      </w:r>
      <w:r>
        <w:rPr>
          <w:rFonts w:ascii="黑体" w:hAnsi="黑体" w:eastAsia="黑体"/>
          <w:color w:val="auto"/>
          <w:sz w:val="24"/>
          <w:szCs w:val="24"/>
        </w:rPr>
        <w:t>满意度（</w:t>
      </w:r>
      <w:r>
        <w:rPr>
          <w:rFonts w:hint="eastAsia" w:ascii="黑体" w:hAnsi="黑体" w:eastAsia="黑体"/>
          <w:color w:val="auto"/>
          <w:sz w:val="24"/>
          <w:szCs w:val="24"/>
          <w:lang w:eastAsia="zh-CN"/>
        </w:rPr>
        <w:t>分值</w:t>
      </w:r>
      <w:r>
        <w:rPr>
          <w:rFonts w:hint="eastAsia" w:ascii="黑体" w:hAnsi="黑体" w:eastAsia="黑体"/>
          <w:color w:val="auto"/>
          <w:sz w:val="24"/>
          <w:szCs w:val="24"/>
          <w:lang w:val="en-US" w:eastAsia="zh-CN"/>
        </w:rPr>
        <w:t>8</w:t>
      </w:r>
      <w:r>
        <w:rPr>
          <w:rFonts w:ascii="黑体" w:hAnsi="黑体" w:eastAsia="黑体"/>
          <w:color w:val="auto"/>
          <w:sz w:val="24"/>
          <w:szCs w:val="24"/>
        </w:rPr>
        <w:t>分）</w:t>
      </w:r>
    </w:p>
    <w:p>
      <w:pPr>
        <w:spacing w:line="360" w:lineRule="auto"/>
        <w:ind w:firstLine="480"/>
        <w:rPr>
          <w:rFonts w:hint="eastAsia" w:ascii="宋体" w:hAnsi="宋体" w:eastAsia="宋体" w:cs="宋体"/>
          <w:color w:val="auto"/>
          <w:sz w:val="24"/>
          <w:lang w:eastAsia="zh-CN"/>
        </w:rPr>
      </w:pPr>
      <w:r>
        <w:rPr>
          <w:color w:val="auto"/>
          <w:sz w:val="24"/>
          <w:szCs w:val="24"/>
        </w:rPr>
        <w:t>满意度</w:t>
      </w:r>
      <w:r>
        <w:rPr>
          <w:rFonts w:hint="eastAsia"/>
          <w:color w:val="auto"/>
          <w:sz w:val="24"/>
          <w:szCs w:val="24"/>
          <w:lang w:eastAsia="zh-CN"/>
        </w:rPr>
        <w:t>设置</w:t>
      </w:r>
      <w:r>
        <w:rPr>
          <w:rFonts w:hint="eastAsia"/>
          <w:color w:val="auto"/>
          <w:sz w:val="24"/>
          <w:szCs w:val="24"/>
          <w:lang w:val="en-US" w:eastAsia="zh-CN"/>
        </w:rPr>
        <w:t>社会公众或服务对象</w:t>
      </w:r>
      <w:r>
        <w:rPr>
          <w:rFonts w:hint="eastAsia"/>
          <w:color w:val="auto"/>
          <w:sz w:val="24"/>
          <w:szCs w:val="24"/>
          <w:lang w:eastAsia="zh-CN"/>
        </w:rPr>
        <w:t>满意度三级指标，评价</w:t>
      </w:r>
      <w:r>
        <w:rPr>
          <w:rFonts w:hint="eastAsia"/>
          <w:color w:val="auto"/>
          <w:sz w:val="24"/>
          <w:szCs w:val="24"/>
          <w:lang w:val="en-US" w:eastAsia="zh-CN"/>
        </w:rPr>
        <w:t>社会公众或服务对象对项目实施的满意程度</w:t>
      </w:r>
      <w:r>
        <w:rPr>
          <w:rFonts w:hint="eastAsia"/>
          <w:color w:val="auto"/>
          <w:sz w:val="24"/>
          <w:szCs w:val="24"/>
        </w:rPr>
        <w:t>。</w:t>
      </w:r>
      <w:r>
        <w:rPr>
          <w:rFonts w:hint="eastAsia"/>
          <w:color w:val="auto"/>
          <w:sz w:val="24"/>
          <w:szCs w:val="24"/>
          <w:lang w:eastAsia="zh-CN"/>
        </w:rPr>
        <w:t>评分标准为“满意度≥90%（8分）；80%≤满意度＜90%（5分）；70%≤满意度＜80%（3分）；满意度＜70%（0分）”。</w:t>
      </w:r>
    </w:p>
    <w:p>
      <w:pPr>
        <w:spacing w:line="360" w:lineRule="auto"/>
        <w:ind w:firstLine="480" w:firstLineChars="200"/>
        <w:rPr>
          <w:rFonts w:hint="eastAsia" w:ascii="宋体" w:hAnsi="宋体" w:eastAsia="宋体" w:cs="宋体"/>
          <w:color w:val="FF0000"/>
          <w:sz w:val="24"/>
          <w:szCs w:val="24"/>
        </w:rPr>
      </w:pPr>
      <w:bookmarkStart w:id="19" w:name="_Toc25177"/>
      <w:bookmarkStart w:id="20" w:name="_Hlk495161375"/>
      <w:r>
        <w:rPr>
          <w:rFonts w:hint="eastAsia"/>
          <w:color w:val="000000"/>
          <w:sz w:val="24"/>
          <w:szCs w:val="24"/>
        </w:rPr>
        <w:t>绩效评价工作小</w:t>
      </w:r>
      <w:r>
        <w:rPr>
          <w:rFonts w:hint="eastAsia" w:ascii="宋体" w:hAnsi="宋体" w:eastAsia="宋体" w:cs="宋体"/>
          <w:color w:val="000000"/>
          <w:sz w:val="24"/>
          <w:szCs w:val="24"/>
        </w:rPr>
        <w:t>组</w:t>
      </w:r>
      <w:r>
        <w:rPr>
          <w:rFonts w:hint="eastAsia" w:ascii="宋体" w:hAnsi="宋体" w:eastAsia="宋体" w:cs="宋体"/>
          <w:color w:val="000000"/>
          <w:sz w:val="24"/>
          <w:szCs w:val="24"/>
          <w:lang w:val="en-US" w:eastAsia="zh-CN"/>
        </w:rPr>
        <w:t>针对</w:t>
      </w:r>
      <w:r>
        <w:rPr>
          <w:rFonts w:hint="eastAsia"/>
          <w:color w:val="000000"/>
          <w:sz w:val="24"/>
          <w:szCs w:val="24"/>
          <w:lang w:val="en-US" w:eastAsia="zh-CN"/>
        </w:rPr>
        <w:t>粮食风险基金项目实施效益情况进行实地</w:t>
      </w:r>
      <w:r>
        <w:rPr>
          <w:rFonts w:hint="eastAsia" w:ascii="宋体" w:hAnsi="宋体" w:eastAsia="宋体" w:cs="宋体"/>
          <w:color w:val="000000"/>
          <w:sz w:val="24"/>
          <w:szCs w:val="24"/>
        </w:rPr>
        <w:t>发放问卷调查表</w:t>
      </w:r>
      <w:r>
        <w:rPr>
          <w:rFonts w:hint="eastAsia" w:ascii="宋体" w:hAnsi="宋体" w:eastAsia="宋体" w:cs="宋体"/>
          <w:color w:val="000000"/>
          <w:sz w:val="24"/>
          <w:szCs w:val="24"/>
          <w:lang w:val="en-US" w:eastAsia="zh-CN"/>
        </w:rPr>
        <w:t>61</w:t>
      </w:r>
      <w:r>
        <w:rPr>
          <w:rFonts w:hint="eastAsia" w:ascii="宋体" w:hAnsi="宋体" w:eastAsia="宋体" w:cs="宋体"/>
          <w:color w:val="000000"/>
          <w:sz w:val="24"/>
          <w:szCs w:val="24"/>
        </w:rPr>
        <w:t>份，收回</w:t>
      </w:r>
      <w:r>
        <w:rPr>
          <w:rFonts w:hint="eastAsia" w:ascii="宋体" w:hAnsi="宋体" w:eastAsia="宋体" w:cs="宋体"/>
          <w:color w:val="000000"/>
          <w:sz w:val="24"/>
          <w:szCs w:val="24"/>
          <w:lang w:val="en-US" w:eastAsia="zh-CN"/>
        </w:rPr>
        <w:t>61</w:t>
      </w:r>
      <w:r>
        <w:rPr>
          <w:rFonts w:hint="eastAsia" w:ascii="宋体" w:hAnsi="宋体" w:eastAsia="宋体" w:cs="宋体"/>
          <w:color w:val="000000"/>
          <w:sz w:val="24"/>
          <w:szCs w:val="24"/>
        </w:rPr>
        <w:t>份</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（问卷调查表见附件一），问卷调查结果为</w:t>
      </w:r>
      <w:r>
        <w:rPr>
          <w:rFonts w:hint="eastAsia"/>
          <w:color w:val="000000"/>
          <w:sz w:val="24"/>
          <w:szCs w:val="24"/>
          <w:lang w:eastAsia="zh-CN"/>
        </w:rPr>
        <w:t>满意度</w:t>
      </w:r>
      <w:r>
        <w:rPr>
          <w:rFonts w:hint="eastAsia" w:ascii="宋体" w:hAnsi="宋体" w:eastAsia="宋体" w:cs="宋体"/>
          <w:color w:val="000000"/>
          <w:sz w:val="24"/>
          <w:szCs w:val="24"/>
          <w:lang w:val="en-US" w:eastAsia="zh-CN"/>
        </w:rPr>
        <w:t>95.87%</w:t>
      </w:r>
      <w:r>
        <w:rPr>
          <w:rFonts w:hint="eastAsia" w:ascii="宋体" w:hAnsi="宋体" w:eastAsia="宋体" w:cs="宋体"/>
          <w:color w:val="000000"/>
          <w:sz w:val="24"/>
          <w:szCs w:val="24"/>
          <w:lang w:eastAsia="zh-CN"/>
        </w:rPr>
        <w:t>。本项</w:t>
      </w:r>
      <w:r>
        <w:rPr>
          <w:rFonts w:hint="eastAsia" w:ascii="宋体" w:hAnsi="宋体" w:eastAsia="宋体" w:cs="宋体"/>
          <w:color w:val="000000"/>
          <w:sz w:val="24"/>
          <w:szCs w:val="24"/>
        </w:rPr>
        <w:t>得分</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分</w:t>
      </w:r>
      <w:r>
        <w:rPr>
          <w:rFonts w:hint="eastAsia" w:ascii="宋体" w:hAnsi="宋体" w:cs="宋体"/>
          <w:color w:val="000000"/>
          <w:sz w:val="24"/>
          <w:lang w:val="en-US" w:eastAsia="zh-CN"/>
        </w:rPr>
        <w:t>。</w:t>
      </w:r>
    </w:p>
    <w:p>
      <w:pPr>
        <w:pStyle w:val="3"/>
        <w:spacing w:before="0" w:after="0" w:line="360" w:lineRule="auto"/>
        <w:ind w:firstLine="562" w:firstLineChars="200"/>
        <w:rPr>
          <w:rFonts w:hint="eastAsia"/>
          <w:color w:val="auto"/>
          <w:kern w:val="0"/>
          <w:sz w:val="28"/>
          <w:szCs w:val="28"/>
        </w:rPr>
      </w:pPr>
      <w:r>
        <w:rPr>
          <w:rFonts w:hint="eastAsia"/>
          <w:color w:val="auto"/>
          <w:kern w:val="0"/>
          <w:sz w:val="28"/>
          <w:szCs w:val="28"/>
        </w:rPr>
        <w:t>五、</w:t>
      </w:r>
      <w:r>
        <w:rPr>
          <w:rFonts w:hint="eastAsia"/>
          <w:color w:val="auto"/>
          <w:kern w:val="0"/>
          <w:sz w:val="28"/>
          <w:szCs w:val="28"/>
          <w:lang w:eastAsia="zh-CN"/>
        </w:rPr>
        <w:t>主要成效、</w:t>
      </w:r>
      <w:r>
        <w:rPr>
          <w:rFonts w:hint="eastAsia"/>
          <w:color w:val="auto"/>
          <w:kern w:val="0"/>
          <w:sz w:val="28"/>
          <w:szCs w:val="28"/>
        </w:rPr>
        <w:t>存在问题及原因分析</w:t>
      </w:r>
      <w:bookmarkEnd w:id="19"/>
    </w:p>
    <w:p>
      <w:pPr>
        <w:pStyle w:val="4"/>
        <w:spacing w:before="0" w:after="0" w:line="360" w:lineRule="auto"/>
        <w:ind w:firstLine="560" w:firstLineChars="200"/>
        <w:rPr>
          <w:rFonts w:hint="eastAsia" w:ascii="宋体" w:hAnsi="宋体" w:eastAsia="宋体"/>
          <w:b w:val="0"/>
          <w:color w:val="auto"/>
          <w:kern w:val="0"/>
          <w:sz w:val="28"/>
          <w:szCs w:val="28"/>
          <w:lang w:bidi="ar"/>
        </w:rPr>
      </w:pPr>
      <w:bookmarkStart w:id="21" w:name="_Toc10211"/>
      <w:r>
        <w:rPr>
          <w:rFonts w:hint="eastAsia" w:ascii="宋体" w:hAnsi="宋体" w:eastAsia="宋体"/>
          <w:b w:val="0"/>
          <w:color w:val="auto"/>
          <w:kern w:val="0"/>
          <w:sz w:val="28"/>
          <w:szCs w:val="28"/>
          <w:lang w:bidi="ar"/>
        </w:rPr>
        <w:t>（一）主要成效</w:t>
      </w:r>
      <w:bookmarkEnd w:id="21"/>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1.保管费用补贴和利息补贴足额发放，保障承储工作正常进行</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2021年度泉州市洛江区粮食风险基金共安排预算560万元，主要用于对承储企业储备粮油所需费用进行补贴，包括保管费用补贴、贷款利息补贴、轮换费用及价差补贴，确保全年储备粮、食用油日常保管、轮换等任务的顺利开展，基本保障了各粮食储备单位区级储备量任务的完成，减轻了各承储企业的经济负担，保障了各承储企业承储、轮换工作的开展。</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2.粮食仓储数量稳定，保障辖区粮食安全</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根据项目单位提供《关于下达2021年度地方粮油储备任务及政策性粮油业务的通知》（泉洛发改[2021]12号）及各承储企业承储情况相关佐证材料，区级储备量品种结构符合相关要求，总体承储任务已完成，对保障粮食价格稳定，满足突发事件应急需求起到正面作用。</w:t>
      </w:r>
    </w:p>
    <w:p>
      <w:pPr>
        <w:pStyle w:val="4"/>
        <w:spacing w:before="0" w:after="0" w:line="360" w:lineRule="auto"/>
        <w:ind w:firstLine="560" w:firstLineChars="200"/>
        <w:rPr>
          <w:rFonts w:hint="eastAsia" w:ascii="宋体" w:hAnsi="宋体" w:eastAsia="宋体"/>
          <w:b w:val="0"/>
          <w:color w:val="auto"/>
          <w:kern w:val="0"/>
          <w:sz w:val="28"/>
          <w:szCs w:val="28"/>
          <w:lang w:bidi="ar"/>
        </w:rPr>
      </w:pPr>
      <w:bookmarkStart w:id="22" w:name="_Toc3854"/>
      <w:r>
        <w:rPr>
          <w:rFonts w:hint="eastAsia" w:ascii="宋体" w:hAnsi="宋体" w:eastAsia="宋体"/>
          <w:b w:val="0"/>
          <w:color w:val="auto"/>
          <w:kern w:val="0"/>
          <w:sz w:val="28"/>
          <w:szCs w:val="28"/>
          <w:lang w:bidi="ar"/>
        </w:rPr>
        <w:t>（二）存在问题及原因分析</w:t>
      </w:r>
      <w:bookmarkEnd w:id="22"/>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1</w:t>
      </w:r>
      <w:r>
        <w:rPr>
          <w:rFonts w:hint="eastAsia" w:ascii="宋体" w:hAnsi="宋体" w:eastAsia="宋体" w:cs="宋体"/>
          <w:color w:val="auto"/>
          <w:sz w:val="24"/>
          <w:lang w:val="en-US" w:eastAsia="zh-CN"/>
        </w:rPr>
        <w:t>.绩效工作还需进一步落实</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根据现场座谈反馈情况及抽查绩效管理相关材料，项目全过程绩效管理工作还需进一步落实。其中，项目2021年度工作结束后，项目单位撰写的《粮食风险基金项目绩效评价自评报告》内容较为简略，在指标分析、主要经验及做法、存在问题和原因分析等部分内容还需进一步补充。</w:t>
      </w:r>
    </w:p>
    <w:p>
      <w:pPr>
        <w:pStyle w:val="2"/>
        <w:numPr>
          <w:ilvl w:val="0"/>
          <w:numId w:val="0"/>
        </w:numPr>
        <w:ind w:left="480" w:leftChars="0"/>
        <w:rPr>
          <w:rFonts w:hint="eastAsia" w:ascii="宋体" w:hAnsi="宋体" w:eastAsia="宋体" w:cs="宋体"/>
          <w:color w:val="auto"/>
          <w:kern w:val="2"/>
          <w:sz w:val="24"/>
          <w:szCs w:val="24"/>
          <w:lang w:val="en-US" w:eastAsia="zh-CN" w:bidi="ar-SA"/>
        </w:rPr>
      </w:pPr>
      <w:r>
        <w:rPr>
          <w:rFonts w:hint="eastAsia" w:asci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应急大米储存工作还需进一步加强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eastAsia="宋体" w:cs="宋体"/>
          <w:color w:val="auto"/>
          <w:kern w:val="2"/>
          <w:sz w:val="24"/>
          <w:szCs w:val="24"/>
          <w:lang w:val="en-US" w:eastAsia="zh-CN" w:bidi="ar-SA"/>
        </w:rPr>
        <w:t>经</w:t>
      </w:r>
      <w:r>
        <w:rPr>
          <w:rFonts w:hint="default" w:ascii="宋体" w:hAnsi="宋体" w:eastAsia="宋体" w:cs="宋体"/>
          <w:color w:val="auto"/>
          <w:kern w:val="2"/>
          <w:sz w:val="24"/>
          <w:szCs w:val="24"/>
          <w:lang w:val="en-US" w:eastAsia="zh-CN" w:bidi="ar-SA"/>
        </w:rPr>
        <w:t>过项目资料及现场勘察，</w:t>
      </w:r>
      <w:r>
        <w:rPr>
          <w:rFonts w:hint="eastAsia" w:ascii="宋体" w:hAnsi="宋体" w:eastAsia="宋体" w:cs="宋体"/>
          <w:color w:val="auto"/>
          <w:kern w:val="2"/>
          <w:sz w:val="24"/>
          <w:szCs w:val="24"/>
          <w:lang w:val="en-US" w:eastAsia="zh-CN" w:bidi="ar-SA"/>
        </w:rPr>
        <w:t>发现</w:t>
      </w:r>
      <w:r>
        <w:rPr>
          <w:rFonts w:hint="eastAsia" w:ascii="宋体" w:eastAsia="宋体" w:cs="宋体"/>
          <w:color w:val="auto"/>
          <w:kern w:val="2"/>
          <w:sz w:val="24"/>
          <w:szCs w:val="24"/>
          <w:lang w:val="en-US" w:eastAsia="zh-CN" w:bidi="ar-SA"/>
        </w:rPr>
        <w:t>外寄晋江振盛米业公司应急大米300吨，南安金穗米业公司应急大米300吨。</w:t>
      </w:r>
      <w:r>
        <w:rPr>
          <w:rFonts w:hint="default" w:ascii="宋体" w:hAnsi="宋体" w:eastAsia="宋体" w:cs="宋体"/>
          <w:color w:val="auto"/>
          <w:kern w:val="2"/>
          <w:sz w:val="24"/>
          <w:szCs w:val="24"/>
          <w:lang w:val="en-US" w:eastAsia="zh-CN" w:bidi="ar-SA"/>
        </w:rPr>
        <w:t>区级应急大米委托区域外晋江、南安民营粮食企业代储，距离洛江区较远，应急时效较差，不利于储备粮食安全的风险防范。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textAlignment w:val="auto"/>
        <w:rPr>
          <w:rFonts w:hint="default" w:ascii="宋体" w:eastAsia="宋体" w:cs="宋体"/>
          <w:color w:val="000000" w:themeColor="text1"/>
          <w:kern w:val="2"/>
          <w:sz w:val="24"/>
          <w:szCs w:val="24"/>
          <w:lang w:val="en-US" w:eastAsia="zh-CN" w:bidi="ar-SA"/>
          <w14:textFill>
            <w14:solidFill>
              <w14:schemeClr w14:val="tx1"/>
            </w14:solidFill>
          </w14:textFill>
        </w:rPr>
      </w:pPr>
      <w:r>
        <w:rPr>
          <w:rFonts w:hint="eastAsia" w:ascii="宋体" w:eastAsia="宋体" w:cs="宋体"/>
          <w:color w:val="auto"/>
          <w:kern w:val="2"/>
          <w:sz w:val="24"/>
          <w:szCs w:val="24"/>
          <w:lang w:val="en-US" w:eastAsia="zh-CN" w:bidi="ar-SA"/>
        </w:rPr>
        <w:t>3.合同签订未遵循相关规</w:t>
      </w:r>
      <w:r>
        <w:rPr>
          <w:rFonts w:hint="eastAsia" w:ascii="宋体" w:eastAsia="宋体" w:cs="宋体"/>
          <w:color w:val="000000" w:themeColor="text1"/>
          <w:kern w:val="2"/>
          <w:sz w:val="24"/>
          <w:szCs w:val="24"/>
          <w:lang w:val="en-US" w:eastAsia="zh-CN" w:bidi="ar-SA"/>
          <w14:textFill>
            <w14:solidFill>
              <w14:schemeClr w14:val="tx1"/>
            </w14:solidFill>
          </w14:textFill>
        </w:rPr>
        <w:t>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宋体" w:eastAsia="宋体" w:cs="宋体"/>
          <w:color w:val="auto"/>
          <w:kern w:val="2"/>
          <w:sz w:val="24"/>
          <w:szCs w:val="24"/>
          <w:lang w:val="en-US" w:eastAsia="zh-CN" w:bidi="ar-SA"/>
        </w:rPr>
      </w:pPr>
      <w:r>
        <w:rPr>
          <w:rFonts w:hint="eastAsia" w:ascii="宋体" w:eastAsia="宋体" w:cs="宋体"/>
          <w:color w:val="auto"/>
          <w:kern w:val="2"/>
          <w:sz w:val="24"/>
          <w:szCs w:val="24"/>
          <w:lang w:val="en-US" w:eastAsia="zh-CN" w:bidi="ar-SA"/>
        </w:rPr>
        <w:t>经核查，2020年泉州市储备粮轮换竞价采购交易会竞价采购成交确认书</w:t>
      </w:r>
      <w:r>
        <w:rPr>
          <w:rFonts w:hint="eastAsia" w:ascii="宋体" w:eastAsia="宋体" w:cs="宋体"/>
          <w:color w:val="000000" w:themeColor="text1"/>
          <w:kern w:val="2"/>
          <w:sz w:val="24"/>
          <w:szCs w:val="24"/>
          <w:lang w:val="en-US" w:eastAsia="zh-CN" w:bidi="ar-SA"/>
          <w14:textFill>
            <w14:solidFill>
              <w14:schemeClr w14:val="tx1"/>
            </w14:solidFill>
          </w14:textFill>
        </w:rPr>
        <w:t>中规定，</w:t>
      </w:r>
      <w:r>
        <w:rPr>
          <w:rFonts w:hint="eastAsia" w:ascii="宋体" w:eastAsia="宋体" w:cs="宋体"/>
          <w:color w:val="auto"/>
          <w:kern w:val="2"/>
          <w:sz w:val="24"/>
          <w:szCs w:val="24"/>
          <w:lang w:val="en-US" w:eastAsia="zh-CN" w:bidi="ar-SA"/>
        </w:rPr>
        <w:t>中标人应于2020年8月25日之前与泉州市储备粮油管理有限公司签订《采购合同》。实际上，景德镇市昌江区粮油收储公司和泉州市储备粮油管理有限公司于2020年8月26日签订合同，违反相关</w:t>
      </w:r>
      <w:r>
        <w:rPr>
          <w:rFonts w:hint="eastAsia" w:ascii="宋体" w:eastAsia="宋体" w:cs="宋体"/>
          <w:color w:val="000000" w:themeColor="text1"/>
          <w:kern w:val="2"/>
          <w:sz w:val="24"/>
          <w:szCs w:val="24"/>
          <w:lang w:val="en-US" w:eastAsia="zh-CN" w:bidi="ar-SA"/>
          <w14:textFill>
            <w14:solidFill>
              <w14:schemeClr w14:val="tx1"/>
            </w14:solidFill>
          </w14:textFill>
        </w:rPr>
        <w:t>规定</w:t>
      </w:r>
      <w:r>
        <w:rPr>
          <w:rFonts w:hint="eastAsia" w:ascii="宋体" w:eastAsia="宋体" w:cs="宋体"/>
          <w:color w:val="auto"/>
          <w:kern w:val="2"/>
          <w:sz w:val="24"/>
          <w:szCs w:val="24"/>
          <w:lang w:val="en-US" w:eastAsia="zh-CN" w:bidi="ar-SA"/>
        </w:rPr>
        <w:t>。</w:t>
      </w:r>
    </w:p>
    <w:p>
      <w:pPr>
        <w:spacing w:line="360" w:lineRule="auto"/>
        <w:ind w:firstLine="562" w:firstLineChars="200"/>
        <w:rPr>
          <w:rFonts w:hint="eastAsia"/>
          <w:b/>
          <w:bCs/>
          <w:color w:val="auto"/>
          <w:kern w:val="0"/>
          <w:sz w:val="28"/>
          <w:szCs w:val="28"/>
        </w:rPr>
      </w:pPr>
      <w:bookmarkStart w:id="23" w:name="_Toc19045"/>
      <w:r>
        <w:rPr>
          <w:rFonts w:hint="eastAsia"/>
          <w:b/>
          <w:bCs/>
          <w:color w:val="auto"/>
          <w:kern w:val="0"/>
          <w:sz w:val="28"/>
          <w:szCs w:val="28"/>
        </w:rPr>
        <w:t>六、</w:t>
      </w:r>
      <w:r>
        <w:rPr>
          <w:rFonts w:hint="eastAsia"/>
          <w:b/>
          <w:bCs/>
          <w:color w:val="auto"/>
          <w:kern w:val="0"/>
          <w:sz w:val="28"/>
          <w:szCs w:val="28"/>
          <w:lang w:eastAsia="zh-CN"/>
        </w:rPr>
        <w:t>改进</w:t>
      </w:r>
      <w:r>
        <w:rPr>
          <w:rFonts w:hint="eastAsia"/>
          <w:b/>
          <w:bCs/>
          <w:color w:val="auto"/>
          <w:kern w:val="0"/>
          <w:sz w:val="28"/>
          <w:szCs w:val="28"/>
        </w:rPr>
        <w:t>建议</w:t>
      </w:r>
      <w:bookmarkEnd w:id="20"/>
      <w:bookmarkEnd w:id="23"/>
      <w:bookmarkStart w:id="24" w:name="_Toc15691"/>
      <w:bookmarkStart w:id="25" w:name="_Hlk495161517"/>
    </w:p>
    <w:p>
      <w:pPr>
        <w:spacing w:line="360" w:lineRule="auto"/>
        <w:ind w:firstLine="56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8"/>
          <w:szCs w:val="28"/>
          <w:lang w:val="en-US" w:eastAsia="zh-CN"/>
        </w:rPr>
        <w:t>（一）</w:t>
      </w:r>
      <w:bookmarkEnd w:id="24"/>
      <w:bookmarkStart w:id="26" w:name="_Toc20362"/>
      <w:r>
        <w:rPr>
          <w:rFonts w:hint="eastAsia" w:ascii="宋体" w:hAnsi="宋体" w:eastAsia="宋体" w:cs="宋体"/>
          <w:b w:val="0"/>
          <w:bCs w:val="0"/>
          <w:color w:val="auto"/>
          <w:sz w:val="28"/>
          <w:szCs w:val="28"/>
          <w:lang w:val="en-US" w:eastAsia="zh-CN"/>
        </w:rPr>
        <w:t>加强资金管理，提高资金使用效能</w:t>
      </w:r>
    </w:p>
    <w:bookmarkEnd w:id="26"/>
    <w:p>
      <w:pPr>
        <w:spacing w:line="360" w:lineRule="auto"/>
        <w:ind w:firstLine="480" w:firstLineChars="200"/>
        <w:rPr>
          <w:rFonts w:hint="default"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要做好项目的前期研判工作，做到项目早计划抓落实，合理安排项目资金，财政部门应督促资金使用单位对项目支出早计划、早安排，加快资金支出进度，提高财政资金使用效率。</w:t>
      </w:r>
    </w:p>
    <w:p>
      <w:pPr>
        <w:pStyle w:val="2"/>
        <w:ind w:firstLine="560" w:firstLineChars="200"/>
        <w:rPr>
          <w:rFonts w:hint="default"/>
          <w:sz w:val="28"/>
          <w:szCs w:val="28"/>
          <w:lang w:val="en-US" w:eastAsia="zh-CN"/>
        </w:rPr>
      </w:pPr>
      <w:r>
        <w:rPr>
          <w:rFonts w:hint="eastAsia" w:ascii="宋体" w:eastAsia="宋体" w:cs="Times New Roman"/>
          <w:color w:val="auto"/>
          <w:sz w:val="28"/>
          <w:szCs w:val="28"/>
          <w:lang w:val="en-US" w:eastAsia="zh-CN"/>
        </w:rPr>
        <w:t>（二）建立健全项目管理制度</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严格按照项目管理制度推进项目实施，建立健全项目的业务管理制度和财务管理制度建设，同时督促相关股室严格按照制度执行，确保项目实施的规范性和有效性。</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建议项目单位加强对承储企业储备粮管理各环节的监管，尤其对于入库和出库环节，加强现场监督及记录，并增加相关质检报告的抽查。</w:t>
      </w:r>
      <w:r>
        <w:rPr>
          <w:rFonts w:hint="eastAsia" w:ascii="宋体" w:eastAsia="宋体" w:cs="宋体"/>
          <w:color w:val="auto"/>
          <w:kern w:val="2"/>
          <w:sz w:val="24"/>
          <w:szCs w:val="24"/>
          <w:lang w:val="en-US" w:eastAsia="zh-CN" w:bidi="ar-SA"/>
        </w:rPr>
        <w:t>合同的签订同样需要严格按照相应的管理制度来执行。</w:t>
      </w:r>
      <w:r>
        <w:rPr>
          <w:rFonts w:hint="eastAsia" w:ascii="宋体" w:eastAsia="宋体" w:cs="宋体"/>
          <w:color w:val="000000" w:themeColor="text1"/>
          <w:kern w:val="2"/>
          <w:sz w:val="24"/>
          <w:szCs w:val="24"/>
          <w:lang w:val="en-US" w:eastAsia="zh-CN" w:bidi="ar-SA"/>
          <w14:textFill>
            <w14:solidFill>
              <w14:schemeClr w14:val="tx1"/>
            </w14:solidFill>
          </w14:textFill>
        </w:rPr>
        <w:t>针对应急物资配送距离较远的问题，粮油公司应及时与洛江区内具有实力的物流公司签订协议，确定为我区的应急配送中心及应急储运企业，承担我区的应急配送任务。</w:t>
      </w:r>
      <w:r>
        <w:rPr>
          <w:rFonts w:hint="eastAsia" w:ascii="宋体" w:hAnsi="宋体" w:eastAsia="宋体" w:cs="宋体"/>
          <w:color w:val="000000" w:themeColor="text1"/>
          <w:kern w:val="2"/>
          <w:sz w:val="24"/>
          <w:szCs w:val="24"/>
          <w:lang w:val="en-US" w:eastAsia="zh-CN" w:bidi="ar-SA"/>
          <w14:textFill>
            <w14:solidFill>
              <w14:schemeClr w14:val="tx1"/>
            </w14:solidFill>
          </w14:textFill>
        </w:rPr>
        <w:t>同时，项目单位应对于抽查</w:t>
      </w:r>
      <w:r>
        <w:rPr>
          <w:rFonts w:hint="eastAsia" w:ascii="宋体" w:hAnsi="宋体" w:eastAsia="宋体" w:cs="宋体"/>
          <w:color w:val="auto"/>
          <w:kern w:val="2"/>
          <w:sz w:val="24"/>
          <w:szCs w:val="24"/>
          <w:lang w:val="en-US" w:eastAsia="zh-CN" w:bidi="ar-SA"/>
        </w:rPr>
        <w:t>、现场检查过程中发现的问题设立专项整改台账，记录发现问题情况及复查中所实现的整改效果，关注整改反馈情况。对于整改效果始终不理想的问题进行重点追踪和关注。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eastAsia="宋体" w:cs="宋体"/>
          <w:color w:val="auto"/>
          <w:kern w:val="2"/>
          <w:sz w:val="24"/>
          <w:szCs w:val="24"/>
          <w:lang w:val="en-US" w:eastAsia="zh-CN" w:bidi="ar-SA"/>
        </w:rPr>
        <w:t>建议项目单位进一步完善粮食风险基金财务管理规范，对相关补贴标准制定、项目资金使用、承储企业财务记录等内容进行规范。尤其是对于承储企业储备粮相关财务资料、原始材料编制方面，应对具体编制规范进行明确，同时在日常监督管理、抽查检查中进行重点关注，现场对凭证材料与实际储备情况进行核对，确保账实相符。</w:t>
      </w:r>
    </w:p>
    <w:p>
      <w:pPr>
        <w:numPr>
          <w:ilvl w:val="0"/>
          <w:numId w:val="3"/>
        </w:num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加强预算项目绩效管理，提高项目绩效管理水平</w:t>
      </w:r>
    </w:p>
    <w:p>
      <w:pPr>
        <w:numPr>
          <w:ilvl w:val="0"/>
          <w:numId w:val="0"/>
        </w:numPr>
        <w:spacing w:line="360" w:lineRule="auto"/>
        <w:ind w:firstLine="480" w:firstLineChars="200"/>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部门需要在指导和监督下认真编制绩效目标，按要求开展项目支出绩效目标自评工作。部门要科学、完整设置绩效目标。编制年度绩效目标指标内容及指标值与实际年度主要工作内容具有相关性，明确支出的必要性、可行性和有效性，围绕绩效目标编制清晰、量化、便于考核的绩效指标；预期产出效益和效果符合正常的业绩水平。要加强对预算绩效管理专业知识的学习，提升绩效评价业务水平，加强绩效评价自评管理工作，要高度重视绩效评价管理工作，加强预算绩效管理专业知识和业务技能的培训，提高预算绩效管理的工作水平。</w:t>
      </w:r>
    </w:p>
    <w:p>
      <w:pPr>
        <w:pStyle w:val="3"/>
        <w:spacing w:before="0" w:after="0" w:line="360" w:lineRule="auto"/>
        <w:ind w:firstLine="562" w:firstLineChars="200"/>
        <w:rPr>
          <w:rFonts w:hint="eastAsia"/>
          <w:color w:val="auto"/>
          <w:kern w:val="0"/>
          <w:sz w:val="28"/>
          <w:szCs w:val="28"/>
        </w:rPr>
      </w:pPr>
      <w:bookmarkStart w:id="27" w:name="_Toc2797"/>
      <w:r>
        <w:rPr>
          <w:rFonts w:hint="eastAsia"/>
          <w:color w:val="auto"/>
          <w:kern w:val="0"/>
          <w:sz w:val="28"/>
          <w:szCs w:val="28"/>
        </w:rPr>
        <w:t>七、</w:t>
      </w:r>
      <w:bookmarkStart w:id="28" w:name="_Hlk495159573"/>
      <w:r>
        <w:rPr>
          <w:rFonts w:hint="eastAsia"/>
          <w:color w:val="auto"/>
          <w:kern w:val="0"/>
          <w:sz w:val="28"/>
          <w:szCs w:val="28"/>
          <w:lang w:eastAsia="zh-CN"/>
        </w:rPr>
        <w:t>其他需要说明的问题</w:t>
      </w:r>
      <w:bookmarkEnd w:id="27"/>
    </w:p>
    <w:bookmarkEnd w:id="25"/>
    <w:bookmarkEnd w:id="28"/>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本报告仅供</w:t>
      </w:r>
      <w:r>
        <w:rPr>
          <w:rFonts w:hint="eastAsia" w:ascii="宋体" w:hAnsi="宋体" w:cs="宋体"/>
          <w:color w:val="auto"/>
          <w:sz w:val="24"/>
          <w:lang w:val="en-US" w:eastAsia="zh-CN"/>
        </w:rPr>
        <w:t>泉州市洛江区</w:t>
      </w:r>
      <w:r>
        <w:rPr>
          <w:rFonts w:hint="eastAsia" w:ascii="宋体" w:hAnsi="宋体" w:cs="宋体"/>
          <w:color w:val="auto"/>
          <w:sz w:val="24"/>
        </w:rPr>
        <w:t>财政局参考使用，绩效评</w:t>
      </w:r>
      <w:r>
        <w:rPr>
          <w:rFonts w:hint="eastAsia" w:ascii="宋体" w:hAnsi="宋体" w:cs="宋体"/>
          <w:color w:val="auto"/>
          <w:sz w:val="24"/>
          <w:lang w:eastAsia="zh-CN"/>
        </w:rPr>
        <w:t>价</w:t>
      </w:r>
      <w:r>
        <w:rPr>
          <w:rFonts w:hint="eastAsia" w:ascii="宋体" w:hAnsi="宋体" w:cs="宋体"/>
          <w:color w:val="auto"/>
          <w:sz w:val="24"/>
        </w:rPr>
        <w:t>不能减轻项目单位</w:t>
      </w:r>
      <w:r>
        <w:rPr>
          <w:rFonts w:hint="eastAsia" w:ascii="宋体" w:hAnsi="宋体" w:cs="宋体"/>
          <w:color w:val="auto"/>
          <w:sz w:val="24"/>
          <w:lang w:eastAsia="zh-CN"/>
        </w:rPr>
        <w:t>和其他有关</w:t>
      </w:r>
      <w:r>
        <w:rPr>
          <w:rFonts w:hint="eastAsia" w:ascii="宋体" w:hAnsi="宋体" w:cs="宋体"/>
          <w:color w:val="auto"/>
          <w:sz w:val="24"/>
        </w:rPr>
        <w:t>部门的责任。</w:t>
      </w:r>
    </w:p>
    <w:p>
      <w:pPr>
        <w:spacing w:line="360" w:lineRule="auto"/>
        <w:rPr>
          <w:rFonts w:hint="eastAsia" w:ascii="宋体" w:hAnsi="宋体" w:cs="宋体"/>
          <w:color w:val="FF0000"/>
          <w:sz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ind w:left="0" w:leftChars="0" w:firstLine="0" w:firstLineChars="0"/>
        <w:rPr>
          <w:rFonts w:hint="eastAsia"/>
          <w:color w:val="auto"/>
          <w:sz w:val="24"/>
          <w:szCs w:val="24"/>
        </w:rPr>
      </w:pPr>
    </w:p>
    <w:p>
      <w:pPr>
        <w:pStyle w:val="2"/>
        <w:rPr>
          <w:rFonts w:hint="eastAsia"/>
          <w:sz w:val="13"/>
          <w:szCs w:val="16"/>
        </w:rPr>
      </w:pPr>
      <w:bookmarkStart w:id="29" w:name="_GoBack"/>
      <w:bookmarkEnd w:id="29"/>
    </w:p>
    <w:sectPr>
      <w:footerReference r:id="rId4" w:type="default"/>
      <w:pgSz w:w="11906" w:h="16838"/>
      <w:pgMar w:top="1418" w:right="1701" w:bottom="1418" w:left="170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LF-3-0-1335754762+ZJZHnC-674">
    <w:altName w:val="宋体"/>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qv1RMoBAACc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qv1RMoBAACcAwAADgAAAAAAAAABACAAAAAeAQAAZHJzL2Uyb0Rv&#10;Yy54bWxQSwUGAAAAAAYABgBZAQAAWgUAAAAA&#10;">
              <v:fill on="f" focussize="0,0"/>
              <v:stroke on="f"/>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24B5D"/>
    <w:multiLevelType w:val="singleLevel"/>
    <w:tmpl w:val="87624B5D"/>
    <w:lvl w:ilvl="0" w:tentative="0">
      <w:start w:val="1"/>
      <w:numFmt w:val="decimal"/>
      <w:suff w:val="nothing"/>
      <w:lvlText w:val="（%1）"/>
      <w:lvlJc w:val="left"/>
    </w:lvl>
  </w:abstractNum>
  <w:abstractNum w:abstractNumId="1">
    <w:nsid w:val="95E3319E"/>
    <w:multiLevelType w:val="singleLevel"/>
    <w:tmpl w:val="95E3319E"/>
    <w:lvl w:ilvl="0" w:tentative="0">
      <w:start w:val="1"/>
      <w:numFmt w:val="decimal"/>
      <w:suff w:val="nothing"/>
      <w:lvlText w:val="（%1）"/>
      <w:lvlJc w:val="left"/>
    </w:lvl>
  </w:abstractNum>
  <w:abstractNum w:abstractNumId="2">
    <w:nsid w:val="A5B56E9D"/>
    <w:multiLevelType w:val="singleLevel"/>
    <w:tmpl w:val="A5B56E9D"/>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ZDczNTNmZmQ3MjU3YTBhNGQ3ZGYxMmJkZGU1MDIifQ=="/>
  </w:docVars>
  <w:rsids>
    <w:rsidRoot w:val="00172A27"/>
    <w:rsid w:val="0000029A"/>
    <w:rsid w:val="000024E0"/>
    <w:rsid w:val="00006631"/>
    <w:rsid w:val="00006C05"/>
    <w:rsid w:val="000075C3"/>
    <w:rsid w:val="00007C4B"/>
    <w:rsid w:val="0001007D"/>
    <w:rsid w:val="00011738"/>
    <w:rsid w:val="00014F85"/>
    <w:rsid w:val="00015BA0"/>
    <w:rsid w:val="00022EE8"/>
    <w:rsid w:val="00025060"/>
    <w:rsid w:val="000257FF"/>
    <w:rsid w:val="00030CBF"/>
    <w:rsid w:val="00031D05"/>
    <w:rsid w:val="000331BA"/>
    <w:rsid w:val="000379BF"/>
    <w:rsid w:val="00042669"/>
    <w:rsid w:val="00044E48"/>
    <w:rsid w:val="000455C3"/>
    <w:rsid w:val="0005002B"/>
    <w:rsid w:val="00055F2D"/>
    <w:rsid w:val="000619C0"/>
    <w:rsid w:val="000623B6"/>
    <w:rsid w:val="00070DDF"/>
    <w:rsid w:val="00073369"/>
    <w:rsid w:val="00081767"/>
    <w:rsid w:val="00082074"/>
    <w:rsid w:val="000826F3"/>
    <w:rsid w:val="00083E78"/>
    <w:rsid w:val="00091695"/>
    <w:rsid w:val="0009188B"/>
    <w:rsid w:val="000955C7"/>
    <w:rsid w:val="0009684A"/>
    <w:rsid w:val="000A0D1A"/>
    <w:rsid w:val="000A0F58"/>
    <w:rsid w:val="000A11E3"/>
    <w:rsid w:val="000A1FF4"/>
    <w:rsid w:val="000A3859"/>
    <w:rsid w:val="000A5B67"/>
    <w:rsid w:val="000B4CFA"/>
    <w:rsid w:val="000C17A3"/>
    <w:rsid w:val="000C3EC5"/>
    <w:rsid w:val="000D1193"/>
    <w:rsid w:val="000D3738"/>
    <w:rsid w:val="000D69DD"/>
    <w:rsid w:val="000D6A03"/>
    <w:rsid w:val="000D7F12"/>
    <w:rsid w:val="000E3B8C"/>
    <w:rsid w:val="000E52A7"/>
    <w:rsid w:val="000E52F7"/>
    <w:rsid w:val="000E6777"/>
    <w:rsid w:val="000F0479"/>
    <w:rsid w:val="000F4A03"/>
    <w:rsid w:val="00102D86"/>
    <w:rsid w:val="001037D8"/>
    <w:rsid w:val="00104CDA"/>
    <w:rsid w:val="00105E39"/>
    <w:rsid w:val="001103F6"/>
    <w:rsid w:val="001122D9"/>
    <w:rsid w:val="001123C6"/>
    <w:rsid w:val="00115ED0"/>
    <w:rsid w:val="0011662A"/>
    <w:rsid w:val="00124751"/>
    <w:rsid w:val="001268B1"/>
    <w:rsid w:val="0012690A"/>
    <w:rsid w:val="0013142B"/>
    <w:rsid w:val="001344B5"/>
    <w:rsid w:val="00140214"/>
    <w:rsid w:val="001407E5"/>
    <w:rsid w:val="001506EC"/>
    <w:rsid w:val="001508EF"/>
    <w:rsid w:val="001572D5"/>
    <w:rsid w:val="0017049B"/>
    <w:rsid w:val="001741F2"/>
    <w:rsid w:val="00176E92"/>
    <w:rsid w:val="001776ED"/>
    <w:rsid w:val="00182189"/>
    <w:rsid w:val="00182C6A"/>
    <w:rsid w:val="00184601"/>
    <w:rsid w:val="00191795"/>
    <w:rsid w:val="00191B4D"/>
    <w:rsid w:val="001A17C3"/>
    <w:rsid w:val="001A5196"/>
    <w:rsid w:val="001A60D8"/>
    <w:rsid w:val="001A6BDD"/>
    <w:rsid w:val="001B0180"/>
    <w:rsid w:val="001B3EC0"/>
    <w:rsid w:val="001C1A49"/>
    <w:rsid w:val="001C1D72"/>
    <w:rsid w:val="001C2C01"/>
    <w:rsid w:val="001D001B"/>
    <w:rsid w:val="001D2FC1"/>
    <w:rsid w:val="001D61AA"/>
    <w:rsid w:val="001E0520"/>
    <w:rsid w:val="001E72E7"/>
    <w:rsid w:val="001F08C4"/>
    <w:rsid w:val="001F4B62"/>
    <w:rsid w:val="001F76D8"/>
    <w:rsid w:val="00202FBD"/>
    <w:rsid w:val="002038BA"/>
    <w:rsid w:val="00204A01"/>
    <w:rsid w:val="00205D0C"/>
    <w:rsid w:val="00212D45"/>
    <w:rsid w:val="00226456"/>
    <w:rsid w:val="00230F86"/>
    <w:rsid w:val="00234246"/>
    <w:rsid w:val="002370AC"/>
    <w:rsid w:val="00237CEA"/>
    <w:rsid w:val="0024010E"/>
    <w:rsid w:val="00241D5F"/>
    <w:rsid w:val="00244A56"/>
    <w:rsid w:val="00260843"/>
    <w:rsid w:val="00263F87"/>
    <w:rsid w:val="0026530F"/>
    <w:rsid w:val="002666ED"/>
    <w:rsid w:val="002670F4"/>
    <w:rsid w:val="002717F2"/>
    <w:rsid w:val="0027225F"/>
    <w:rsid w:val="0027381D"/>
    <w:rsid w:val="0027391C"/>
    <w:rsid w:val="0027600A"/>
    <w:rsid w:val="00277D61"/>
    <w:rsid w:val="002903FB"/>
    <w:rsid w:val="00291EE0"/>
    <w:rsid w:val="00293401"/>
    <w:rsid w:val="00294B88"/>
    <w:rsid w:val="00295F70"/>
    <w:rsid w:val="002A20DD"/>
    <w:rsid w:val="002A2A62"/>
    <w:rsid w:val="002B0E0A"/>
    <w:rsid w:val="002B2037"/>
    <w:rsid w:val="002B38A5"/>
    <w:rsid w:val="002B629F"/>
    <w:rsid w:val="002C18E5"/>
    <w:rsid w:val="002C243D"/>
    <w:rsid w:val="002C32C3"/>
    <w:rsid w:val="002D344F"/>
    <w:rsid w:val="002D3A2C"/>
    <w:rsid w:val="002D5916"/>
    <w:rsid w:val="002D7DD9"/>
    <w:rsid w:val="002E1BC3"/>
    <w:rsid w:val="002E5F06"/>
    <w:rsid w:val="002E7DEA"/>
    <w:rsid w:val="002F074B"/>
    <w:rsid w:val="002F2C1E"/>
    <w:rsid w:val="002F2D54"/>
    <w:rsid w:val="002F6B8C"/>
    <w:rsid w:val="003048EA"/>
    <w:rsid w:val="0030614B"/>
    <w:rsid w:val="00314BC2"/>
    <w:rsid w:val="00316EB9"/>
    <w:rsid w:val="00317AC2"/>
    <w:rsid w:val="0032130D"/>
    <w:rsid w:val="0033048E"/>
    <w:rsid w:val="00334D83"/>
    <w:rsid w:val="00335A08"/>
    <w:rsid w:val="00341019"/>
    <w:rsid w:val="0034136F"/>
    <w:rsid w:val="0034445C"/>
    <w:rsid w:val="003448A6"/>
    <w:rsid w:val="003457EF"/>
    <w:rsid w:val="00347E3F"/>
    <w:rsid w:val="003554D8"/>
    <w:rsid w:val="0035796C"/>
    <w:rsid w:val="003617CB"/>
    <w:rsid w:val="00365D5A"/>
    <w:rsid w:val="00382941"/>
    <w:rsid w:val="00382D5F"/>
    <w:rsid w:val="00382E6F"/>
    <w:rsid w:val="0039348D"/>
    <w:rsid w:val="003A337F"/>
    <w:rsid w:val="003A3C8F"/>
    <w:rsid w:val="003B0360"/>
    <w:rsid w:val="003B2D89"/>
    <w:rsid w:val="003B7AA3"/>
    <w:rsid w:val="003C55A6"/>
    <w:rsid w:val="003C58C1"/>
    <w:rsid w:val="003C6078"/>
    <w:rsid w:val="003D293F"/>
    <w:rsid w:val="003D583B"/>
    <w:rsid w:val="003D6067"/>
    <w:rsid w:val="003D60C4"/>
    <w:rsid w:val="003D6C33"/>
    <w:rsid w:val="003D727D"/>
    <w:rsid w:val="003E0406"/>
    <w:rsid w:val="003E076D"/>
    <w:rsid w:val="003E12BA"/>
    <w:rsid w:val="003E3211"/>
    <w:rsid w:val="003E7D2C"/>
    <w:rsid w:val="003F0596"/>
    <w:rsid w:val="003F5873"/>
    <w:rsid w:val="00406125"/>
    <w:rsid w:val="004118FB"/>
    <w:rsid w:val="00413913"/>
    <w:rsid w:val="0042727C"/>
    <w:rsid w:val="00427F18"/>
    <w:rsid w:val="00431296"/>
    <w:rsid w:val="00431364"/>
    <w:rsid w:val="00431E03"/>
    <w:rsid w:val="004349C6"/>
    <w:rsid w:val="00435C37"/>
    <w:rsid w:val="0043623F"/>
    <w:rsid w:val="004362A3"/>
    <w:rsid w:val="0044434E"/>
    <w:rsid w:val="004454A8"/>
    <w:rsid w:val="00446D36"/>
    <w:rsid w:val="00446E21"/>
    <w:rsid w:val="0044701A"/>
    <w:rsid w:val="004531B8"/>
    <w:rsid w:val="0045732F"/>
    <w:rsid w:val="004575E8"/>
    <w:rsid w:val="00462EDA"/>
    <w:rsid w:val="00472A71"/>
    <w:rsid w:val="00475EA6"/>
    <w:rsid w:val="0047613A"/>
    <w:rsid w:val="00480398"/>
    <w:rsid w:val="00481C0B"/>
    <w:rsid w:val="0048420A"/>
    <w:rsid w:val="00485377"/>
    <w:rsid w:val="00487A04"/>
    <w:rsid w:val="0049177B"/>
    <w:rsid w:val="004A09AC"/>
    <w:rsid w:val="004A09B4"/>
    <w:rsid w:val="004A142F"/>
    <w:rsid w:val="004A273C"/>
    <w:rsid w:val="004A5A5A"/>
    <w:rsid w:val="004A7557"/>
    <w:rsid w:val="004B0491"/>
    <w:rsid w:val="004B12EF"/>
    <w:rsid w:val="004B17E8"/>
    <w:rsid w:val="004B2C68"/>
    <w:rsid w:val="004B3732"/>
    <w:rsid w:val="004C676B"/>
    <w:rsid w:val="004D08EB"/>
    <w:rsid w:val="004D443D"/>
    <w:rsid w:val="004D4706"/>
    <w:rsid w:val="004D56BF"/>
    <w:rsid w:val="004D7F57"/>
    <w:rsid w:val="004E0CB2"/>
    <w:rsid w:val="004E4035"/>
    <w:rsid w:val="004E4988"/>
    <w:rsid w:val="004E6558"/>
    <w:rsid w:val="004E67E1"/>
    <w:rsid w:val="004E7049"/>
    <w:rsid w:val="004E7F5E"/>
    <w:rsid w:val="004F5562"/>
    <w:rsid w:val="00502C94"/>
    <w:rsid w:val="00503C5B"/>
    <w:rsid w:val="00511654"/>
    <w:rsid w:val="00515E5F"/>
    <w:rsid w:val="0052227D"/>
    <w:rsid w:val="005227F6"/>
    <w:rsid w:val="00527CA0"/>
    <w:rsid w:val="00536025"/>
    <w:rsid w:val="00537540"/>
    <w:rsid w:val="005375BB"/>
    <w:rsid w:val="00537C1D"/>
    <w:rsid w:val="00541FAE"/>
    <w:rsid w:val="00542849"/>
    <w:rsid w:val="00544817"/>
    <w:rsid w:val="005458AE"/>
    <w:rsid w:val="00552E5C"/>
    <w:rsid w:val="00564465"/>
    <w:rsid w:val="0057428B"/>
    <w:rsid w:val="00575800"/>
    <w:rsid w:val="00581FA1"/>
    <w:rsid w:val="00583A16"/>
    <w:rsid w:val="005842DF"/>
    <w:rsid w:val="005865E9"/>
    <w:rsid w:val="005870CE"/>
    <w:rsid w:val="00590606"/>
    <w:rsid w:val="00597426"/>
    <w:rsid w:val="005A3235"/>
    <w:rsid w:val="005A3476"/>
    <w:rsid w:val="005A42A2"/>
    <w:rsid w:val="005A4FB5"/>
    <w:rsid w:val="005A7D6F"/>
    <w:rsid w:val="005C2946"/>
    <w:rsid w:val="005D0FB1"/>
    <w:rsid w:val="005E5B55"/>
    <w:rsid w:val="005F27B4"/>
    <w:rsid w:val="005F4954"/>
    <w:rsid w:val="005F4CB2"/>
    <w:rsid w:val="005F612A"/>
    <w:rsid w:val="006035DC"/>
    <w:rsid w:val="00606448"/>
    <w:rsid w:val="00614616"/>
    <w:rsid w:val="0061465D"/>
    <w:rsid w:val="00616C18"/>
    <w:rsid w:val="0062739F"/>
    <w:rsid w:val="006315DB"/>
    <w:rsid w:val="0063367C"/>
    <w:rsid w:val="006425DB"/>
    <w:rsid w:val="00646E1B"/>
    <w:rsid w:val="0065165D"/>
    <w:rsid w:val="00652A73"/>
    <w:rsid w:val="00654FA6"/>
    <w:rsid w:val="00655038"/>
    <w:rsid w:val="006616D6"/>
    <w:rsid w:val="0066410F"/>
    <w:rsid w:val="00685580"/>
    <w:rsid w:val="00686B17"/>
    <w:rsid w:val="00694E6F"/>
    <w:rsid w:val="00696784"/>
    <w:rsid w:val="00696F29"/>
    <w:rsid w:val="006A0F98"/>
    <w:rsid w:val="006A4247"/>
    <w:rsid w:val="006A4853"/>
    <w:rsid w:val="006A6612"/>
    <w:rsid w:val="006B0337"/>
    <w:rsid w:val="006B0706"/>
    <w:rsid w:val="006B272E"/>
    <w:rsid w:val="006C2B57"/>
    <w:rsid w:val="006C3749"/>
    <w:rsid w:val="006C3753"/>
    <w:rsid w:val="006C3B31"/>
    <w:rsid w:val="006D329F"/>
    <w:rsid w:val="006D3784"/>
    <w:rsid w:val="006E22C7"/>
    <w:rsid w:val="006E31A9"/>
    <w:rsid w:val="006E5802"/>
    <w:rsid w:val="006F2141"/>
    <w:rsid w:val="006F2AC3"/>
    <w:rsid w:val="006F52AB"/>
    <w:rsid w:val="007017B2"/>
    <w:rsid w:val="007017DE"/>
    <w:rsid w:val="00705CAD"/>
    <w:rsid w:val="007103F9"/>
    <w:rsid w:val="00712FAE"/>
    <w:rsid w:val="00714EA9"/>
    <w:rsid w:val="007156BF"/>
    <w:rsid w:val="00726E49"/>
    <w:rsid w:val="00732151"/>
    <w:rsid w:val="00732577"/>
    <w:rsid w:val="00733582"/>
    <w:rsid w:val="00734D51"/>
    <w:rsid w:val="00734EB7"/>
    <w:rsid w:val="00735D2A"/>
    <w:rsid w:val="00740295"/>
    <w:rsid w:val="007410BB"/>
    <w:rsid w:val="00742EA6"/>
    <w:rsid w:val="007450DE"/>
    <w:rsid w:val="00746C43"/>
    <w:rsid w:val="00747BFE"/>
    <w:rsid w:val="00752B79"/>
    <w:rsid w:val="00756275"/>
    <w:rsid w:val="00760AB3"/>
    <w:rsid w:val="0076174B"/>
    <w:rsid w:val="0076179A"/>
    <w:rsid w:val="00763E0F"/>
    <w:rsid w:val="00771398"/>
    <w:rsid w:val="00774812"/>
    <w:rsid w:val="007773A3"/>
    <w:rsid w:val="00780F1A"/>
    <w:rsid w:val="0078574C"/>
    <w:rsid w:val="00786BD8"/>
    <w:rsid w:val="007917E5"/>
    <w:rsid w:val="007A04DD"/>
    <w:rsid w:val="007A056E"/>
    <w:rsid w:val="007A36C2"/>
    <w:rsid w:val="007B08A3"/>
    <w:rsid w:val="007C54F1"/>
    <w:rsid w:val="007D2F2E"/>
    <w:rsid w:val="007D5618"/>
    <w:rsid w:val="007E1529"/>
    <w:rsid w:val="007E3AE7"/>
    <w:rsid w:val="007E4384"/>
    <w:rsid w:val="007E5351"/>
    <w:rsid w:val="007E549E"/>
    <w:rsid w:val="007E5603"/>
    <w:rsid w:val="007F18E8"/>
    <w:rsid w:val="00802931"/>
    <w:rsid w:val="00802A8E"/>
    <w:rsid w:val="00803EB3"/>
    <w:rsid w:val="00804232"/>
    <w:rsid w:val="00807741"/>
    <w:rsid w:val="0081226B"/>
    <w:rsid w:val="008122F4"/>
    <w:rsid w:val="00822015"/>
    <w:rsid w:val="00826673"/>
    <w:rsid w:val="00833CD3"/>
    <w:rsid w:val="00835190"/>
    <w:rsid w:val="00835EA5"/>
    <w:rsid w:val="00836A52"/>
    <w:rsid w:val="008420B1"/>
    <w:rsid w:val="008420D7"/>
    <w:rsid w:val="00843E86"/>
    <w:rsid w:val="0084432A"/>
    <w:rsid w:val="00844A7B"/>
    <w:rsid w:val="008520F1"/>
    <w:rsid w:val="00855BA6"/>
    <w:rsid w:val="00875D44"/>
    <w:rsid w:val="0088095B"/>
    <w:rsid w:val="00883C8F"/>
    <w:rsid w:val="00883F5E"/>
    <w:rsid w:val="00885BC5"/>
    <w:rsid w:val="00891A12"/>
    <w:rsid w:val="0089355B"/>
    <w:rsid w:val="008971B9"/>
    <w:rsid w:val="008A08A4"/>
    <w:rsid w:val="008A4A29"/>
    <w:rsid w:val="008A6771"/>
    <w:rsid w:val="008A72A2"/>
    <w:rsid w:val="008A7F78"/>
    <w:rsid w:val="008B3648"/>
    <w:rsid w:val="008B58EC"/>
    <w:rsid w:val="008C0C18"/>
    <w:rsid w:val="008C3C40"/>
    <w:rsid w:val="008C7EBF"/>
    <w:rsid w:val="008D0236"/>
    <w:rsid w:val="008D53BD"/>
    <w:rsid w:val="008D5809"/>
    <w:rsid w:val="008E3137"/>
    <w:rsid w:val="008E4660"/>
    <w:rsid w:val="008E5C9F"/>
    <w:rsid w:val="008E743D"/>
    <w:rsid w:val="008F2C78"/>
    <w:rsid w:val="00904065"/>
    <w:rsid w:val="00907A1F"/>
    <w:rsid w:val="00914565"/>
    <w:rsid w:val="0092310B"/>
    <w:rsid w:val="0093244F"/>
    <w:rsid w:val="00934456"/>
    <w:rsid w:val="00934981"/>
    <w:rsid w:val="00935459"/>
    <w:rsid w:val="00937F90"/>
    <w:rsid w:val="00941011"/>
    <w:rsid w:val="009478B6"/>
    <w:rsid w:val="009518F1"/>
    <w:rsid w:val="00952306"/>
    <w:rsid w:val="0095255E"/>
    <w:rsid w:val="0095605C"/>
    <w:rsid w:val="0096173D"/>
    <w:rsid w:val="00962F7E"/>
    <w:rsid w:val="009634CE"/>
    <w:rsid w:val="00965F50"/>
    <w:rsid w:val="0097046D"/>
    <w:rsid w:val="00971984"/>
    <w:rsid w:val="00971C41"/>
    <w:rsid w:val="00973CEE"/>
    <w:rsid w:val="009810EA"/>
    <w:rsid w:val="00982FB4"/>
    <w:rsid w:val="009844CD"/>
    <w:rsid w:val="00985CD1"/>
    <w:rsid w:val="0098600F"/>
    <w:rsid w:val="009876C9"/>
    <w:rsid w:val="00987E37"/>
    <w:rsid w:val="00995E80"/>
    <w:rsid w:val="00995EF8"/>
    <w:rsid w:val="00996147"/>
    <w:rsid w:val="00997E0D"/>
    <w:rsid w:val="009A1BA6"/>
    <w:rsid w:val="009A1DBD"/>
    <w:rsid w:val="009A34BC"/>
    <w:rsid w:val="009A7ABB"/>
    <w:rsid w:val="009B284A"/>
    <w:rsid w:val="009C0082"/>
    <w:rsid w:val="009C6C52"/>
    <w:rsid w:val="009C787F"/>
    <w:rsid w:val="009D1B6D"/>
    <w:rsid w:val="009D327B"/>
    <w:rsid w:val="009D394F"/>
    <w:rsid w:val="009E3E49"/>
    <w:rsid w:val="009E3F7B"/>
    <w:rsid w:val="009E55F3"/>
    <w:rsid w:val="009F304A"/>
    <w:rsid w:val="009F5831"/>
    <w:rsid w:val="00A02A03"/>
    <w:rsid w:val="00A114B9"/>
    <w:rsid w:val="00A11A7D"/>
    <w:rsid w:val="00A120EA"/>
    <w:rsid w:val="00A20F50"/>
    <w:rsid w:val="00A21546"/>
    <w:rsid w:val="00A2259D"/>
    <w:rsid w:val="00A22C96"/>
    <w:rsid w:val="00A2668C"/>
    <w:rsid w:val="00A44FE5"/>
    <w:rsid w:val="00A534E2"/>
    <w:rsid w:val="00A55DCB"/>
    <w:rsid w:val="00A56368"/>
    <w:rsid w:val="00A57592"/>
    <w:rsid w:val="00A576CE"/>
    <w:rsid w:val="00A630E7"/>
    <w:rsid w:val="00A64A8C"/>
    <w:rsid w:val="00A67788"/>
    <w:rsid w:val="00A73F53"/>
    <w:rsid w:val="00A741A0"/>
    <w:rsid w:val="00A773FA"/>
    <w:rsid w:val="00A80D77"/>
    <w:rsid w:val="00A843C5"/>
    <w:rsid w:val="00A874FF"/>
    <w:rsid w:val="00A87545"/>
    <w:rsid w:val="00A90260"/>
    <w:rsid w:val="00A917D8"/>
    <w:rsid w:val="00A93330"/>
    <w:rsid w:val="00A94C7C"/>
    <w:rsid w:val="00A94CA1"/>
    <w:rsid w:val="00AA0A8E"/>
    <w:rsid w:val="00AA1C79"/>
    <w:rsid w:val="00AA1FCC"/>
    <w:rsid w:val="00AA6FB2"/>
    <w:rsid w:val="00AB282F"/>
    <w:rsid w:val="00AB283B"/>
    <w:rsid w:val="00AB3054"/>
    <w:rsid w:val="00AB3069"/>
    <w:rsid w:val="00AB6B18"/>
    <w:rsid w:val="00AC2955"/>
    <w:rsid w:val="00AC2EF2"/>
    <w:rsid w:val="00AC4739"/>
    <w:rsid w:val="00AC575B"/>
    <w:rsid w:val="00AC5B83"/>
    <w:rsid w:val="00AC5C55"/>
    <w:rsid w:val="00AC6A40"/>
    <w:rsid w:val="00AD1EBE"/>
    <w:rsid w:val="00AD2C68"/>
    <w:rsid w:val="00AD4E5F"/>
    <w:rsid w:val="00AD501D"/>
    <w:rsid w:val="00AE580E"/>
    <w:rsid w:val="00AE5CB2"/>
    <w:rsid w:val="00AE6B66"/>
    <w:rsid w:val="00AF250F"/>
    <w:rsid w:val="00AF3A06"/>
    <w:rsid w:val="00AF4752"/>
    <w:rsid w:val="00AF4B7A"/>
    <w:rsid w:val="00AF4C6A"/>
    <w:rsid w:val="00AF6F6C"/>
    <w:rsid w:val="00AF7053"/>
    <w:rsid w:val="00AF79C0"/>
    <w:rsid w:val="00B01C79"/>
    <w:rsid w:val="00B047D4"/>
    <w:rsid w:val="00B0612C"/>
    <w:rsid w:val="00B07EEC"/>
    <w:rsid w:val="00B10B68"/>
    <w:rsid w:val="00B1154B"/>
    <w:rsid w:val="00B13BBB"/>
    <w:rsid w:val="00B214D3"/>
    <w:rsid w:val="00B21FC9"/>
    <w:rsid w:val="00B23B5C"/>
    <w:rsid w:val="00B24B66"/>
    <w:rsid w:val="00B269DA"/>
    <w:rsid w:val="00B40F61"/>
    <w:rsid w:val="00B436A1"/>
    <w:rsid w:val="00B45910"/>
    <w:rsid w:val="00B470E7"/>
    <w:rsid w:val="00B50011"/>
    <w:rsid w:val="00B508CA"/>
    <w:rsid w:val="00B520C7"/>
    <w:rsid w:val="00B52D98"/>
    <w:rsid w:val="00B56ADB"/>
    <w:rsid w:val="00B57B9E"/>
    <w:rsid w:val="00B61787"/>
    <w:rsid w:val="00B63235"/>
    <w:rsid w:val="00B7167B"/>
    <w:rsid w:val="00B8224C"/>
    <w:rsid w:val="00B82924"/>
    <w:rsid w:val="00B94F0B"/>
    <w:rsid w:val="00BA08C0"/>
    <w:rsid w:val="00BA3880"/>
    <w:rsid w:val="00BA4047"/>
    <w:rsid w:val="00BA68F5"/>
    <w:rsid w:val="00BB0B80"/>
    <w:rsid w:val="00BB397F"/>
    <w:rsid w:val="00BC5979"/>
    <w:rsid w:val="00BC7667"/>
    <w:rsid w:val="00BD14E8"/>
    <w:rsid w:val="00BD2355"/>
    <w:rsid w:val="00BD586A"/>
    <w:rsid w:val="00BD5B23"/>
    <w:rsid w:val="00BD6725"/>
    <w:rsid w:val="00BE0FAD"/>
    <w:rsid w:val="00BE229C"/>
    <w:rsid w:val="00BF5D40"/>
    <w:rsid w:val="00BF621F"/>
    <w:rsid w:val="00BF6A31"/>
    <w:rsid w:val="00BF7E69"/>
    <w:rsid w:val="00C02279"/>
    <w:rsid w:val="00C04303"/>
    <w:rsid w:val="00C06868"/>
    <w:rsid w:val="00C0704F"/>
    <w:rsid w:val="00C11B3E"/>
    <w:rsid w:val="00C12808"/>
    <w:rsid w:val="00C205C7"/>
    <w:rsid w:val="00C22273"/>
    <w:rsid w:val="00C24A1F"/>
    <w:rsid w:val="00C250D6"/>
    <w:rsid w:val="00C3070E"/>
    <w:rsid w:val="00C32AB9"/>
    <w:rsid w:val="00C34824"/>
    <w:rsid w:val="00C34ECD"/>
    <w:rsid w:val="00C444DE"/>
    <w:rsid w:val="00C52844"/>
    <w:rsid w:val="00C5300A"/>
    <w:rsid w:val="00C53450"/>
    <w:rsid w:val="00C54AC1"/>
    <w:rsid w:val="00C54DA9"/>
    <w:rsid w:val="00C56C1D"/>
    <w:rsid w:val="00C662AF"/>
    <w:rsid w:val="00C67334"/>
    <w:rsid w:val="00C75D34"/>
    <w:rsid w:val="00C7737F"/>
    <w:rsid w:val="00C82380"/>
    <w:rsid w:val="00C82AFE"/>
    <w:rsid w:val="00C8371E"/>
    <w:rsid w:val="00CA169C"/>
    <w:rsid w:val="00CA7BF2"/>
    <w:rsid w:val="00CB3868"/>
    <w:rsid w:val="00CB4CA0"/>
    <w:rsid w:val="00CC0CF8"/>
    <w:rsid w:val="00CC2A21"/>
    <w:rsid w:val="00CC460E"/>
    <w:rsid w:val="00CC49F9"/>
    <w:rsid w:val="00CC6CA3"/>
    <w:rsid w:val="00CC7920"/>
    <w:rsid w:val="00CD66E1"/>
    <w:rsid w:val="00CD6ADD"/>
    <w:rsid w:val="00CD75F1"/>
    <w:rsid w:val="00CE013E"/>
    <w:rsid w:val="00CE35E1"/>
    <w:rsid w:val="00CE7099"/>
    <w:rsid w:val="00CF08CA"/>
    <w:rsid w:val="00CF37A7"/>
    <w:rsid w:val="00D002AB"/>
    <w:rsid w:val="00D01C05"/>
    <w:rsid w:val="00D1711B"/>
    <w:rsid w:val="00D261B0"/>
    <w:rsid w:val="00D2652D"/>
    <w:rsid w:val="00D34CD7"/>
    <w:rsid w:val="00D37FED"/>
    <w:rsid w:val="00D409B3"/>
    <w:rsid w:val="00D5043E"/>
    <w:rsid w:val="00D51F30"/>
    <w:rsid w:val="00D57D5A"/>
    <w:rsid w:val="00D70E0F"/>
    <w:rsid w:val="00D75644"/>
    <w:rsid w:val="00D81F66"/>
    <w:rsid w:val="00D902D5"/>
    <w:rsid w:val="00D90D00"/>
    <w:rsid w:val="00D95909"/>
    <w:rsid w:val="00D97DD5"/>
    <w:rsid w:val="00DA119A"/>
    <w:rsid w:val="00DA5785"/>
    <w:rsid w:val="00DB0B20"/>
    <w:rsid w:val="00DB161F"/>
    <w:rsid w:val="00DB1836"/>
    <w:rsid w:val="00DB3033"/>
    <w:rsid w:val="00DC04B9"/>
    <w:rsid w:val="00DC0FDE"/>
    <w:rsid w:val="00DC1FF8"/>
    <w:rsid w:val="00DC6938"/>
    <w:rsid w:val="00DC77F8"/>
    <w:rsid w:val="00DD4495"/>
    <w:rsid w:val="00DD4C42"/>
    <w:rsid w:val="00DD6E10"/>
    <w:rsid w:val="00DE0614"/>
    <w:rsid w:val="00DE3265"/>
    <w:rsid w:val="00DE36CD"/>
    <w:rsid w:val="00DE468E"/>
    <w:rsid w:val="00DF027E"/>
    <w:rsid w:val="00DF64A1"/>
    <w:rsid w:val="00E01052"/>
    <w:rsid w:val="00E17001"/>
    <w:rsid w:val="00E25698"/>
    <w:rsid w:val="00E25BC5"/>
    <w:rsid w:val="00E26B9D"/>
    <w:rsid w:val="00E31525"/>
    <w:rsid w:val="00E332DF"/>
    <w:rsid w:val="00E34CF8"/>
    <w:rsid w:val="00E36AAE"/>
    <w:rsid w:val="00E402C1"/>
    <w:rsid w:val="00E421D0"/>
    <w:rsid w:val="00E430E1"/>
    <w:rsid w:val="00E465BD"/>
    <w:rsid w:val="00E47A38"/>
    <w:rsid w:val="00E54FD7"/>
    <w:rsid w:val="00E56B9F"/>
    <w:rsid w:val="00E601B0"/>
    <w:rsid w:val="00E61800"/>
    <w:rsid w:val="00E620AE"/>
    <w:rsid w:val="00E6410F"/>
    <w:rsid w:val="00E7042B"/>
    <w:rsid w:val="00E720D9"/>
    <w:rsid w:val="00E730C8"/>
    <w:rsid w:val="00E742AB"/>
    <w:rsid w:val="00E91594"/>
    <w:rsid w:val="00E9239D"/>
    <w:rsid w:val="00E97856"/>
    <w:rsid w:val="00EA0012"/>
    <w:rsid w:val="00EA3796"/>
    <w:rsid w:val="00EB0A9C"/>
    <w:rsid w:val="00EB4B0C"/>
    <w:rsid w:val="00EB5C0B"/>
    <w:rsid w:val="00EC0AA4"/>
    <w:rsid w:val="00EC0BFC"/>
    <w:rsid w:val="00EC12C5"/>
    <w:rsid w:val="00EC133B"/>
    <w:rsid w:val="00ED0608"/>
    <w:rsid w:val="00EE75FD"/>
    <w:rsid w:val="00EF6169"/>
    <w:rsid w:val="00EF6D17"/>
    <w:rsid w:val="00F01FD5"/>
    <w:rsid w:val="00F03A30"/>
    <w:rsid w:val="00F0504B"/>
    <w:rsid w:val="00F05B11"/>
    <w:rsid w:val="00F05B83"/>
    <w:rsid w:val="00F0640B"/>
    <w:rsid w:val="00F12296"/>
    <w:rsid w:val="00F12871"/>
    <w:rsid w:val="00F1647A"/>
    <w:rsid w:val="00F17DBB"/>
    <w:rsid w:val="00F23AEB"/>
    <w:rsid w:val="00F3416E"/>
    <w:rsid w:val="00F3503D"/>
    <w:rsid w:val="00F35D7B"/>
    <w:rsid w:val="00F363EE"/>
    <w:rsid w:val="00F37D04"/>
    <w:rsid w:val="00F41684"/>
    <w:rsid w:val="00F41713"/>
    <w:rsid w:val="00F43920"/>
    <w:rsid w:val="00F500A2"/>
    <w:rsid w:val="00F5150F"/>
    <w:rsid w:val="00F55D54"/>
    <w:rsid w:val="00F56148"/>
    <w:rsid w:val="00F64259"/>
    <w:rsid w:val="00F6755A"/>
    <w:rsid w:val="00F70D73"/>
    <w:rsid w:val="00F770EB"/>
    <w:rsid w:val="00F8038B"/>
    <w:rsid w:val="00F8376C"/>
    <w:rsid w:val="00F85C97"/>
    <w:rsid w:val="00F933CF"/>
    <w:rsid w:val="00F94E7A"/>
    <w:rsid w:val="00F9577F"/>
    <w:rsid w:val="00FA68FA"/>
    <w:rsid w:val="00FB3BB1"/>
    <w:rsid w:val="00FB3D0D"/>
    <w:rsid w:val="00FB454B"/>
    <w:rsid w:val="00FB6614"/>
    <w:rsid w:val="00FC051A"/>
    <w:rsid w:val="00FD1453"/>
    <w:rsid w:val="00FF124C"/>
    <w:rsid w:val="00FF2181"/>
    <w:rsid w:val="00FF410D"/>
    <w:rsid w:val="00FF411B"/>
    <w:rsid w:val="00FF69DB"/>
    <w:rsid w:val="00FF7FCB"/>
    <w:rsid w:val="016F283F"/>
    <w:rsid w:val="01EF673F"/>
    <w:rsid w:val="02025461"/>
    <w:rsid w:val="020906ED"/>
    <w:rsid w:val="020E19A0"/>
    <w:rsid w:val="022E2666"/>
    <w:rsid w:val="02305FB0"/>
    <w:rsid w:val="023B7BAA"/>
    <w:rsid w:val="025136F7"/>
    <w:rsid w:val="0290302F"/>
    <w:rsid w:val="029D298C"/>
    <w:rsid w:val="02AD35C3"/>
    <w:rsid w:val="02CF0501"/>
    <w:rsid w:val="02EA5DAB"/>
    <w:rsid w:val="030C192B"/>
    <w:rsid w:val="031335AD"/>
    <w:rsid w:val="03310EE0"/>
    <w:rsid w:val="034A26E0"/>
    <w:rsid w:val="034E0047"/>
    <w:rsid w:val="035626A1"/>
    <w:rsid w:val="03565632"/>
    <w:rsid w:val="03D765C2"/>
    <w:rsid w:val="03F823DC"/>
    <w:rsid w:val="041A1188"/>
    <w:rsid w:val="042041A7"/>
    <w:rsid w:val="042D4312"/>
    <w:rsid w:val="04397405"/>
    <w:rsid w:val="043D6C25"/>
    <w:rsid w:val="0455310B"/>
    <w:rsid w:val="046C5099"/>
    <w:rsid w:val="04712BB2"/>
    <w:rsid w:val="049D5154"/>
    <w:rsid w:val="049F0B86"/>
    <w:rsid w:val="050E757B"/>
    <w:rsid w:val="05384D17"/>
    <w:rsid w:val="0571520F"/>
    <w:rsid w:val="058869D5"/>
    <w:rsid w:val="05900141"/>
    <w:rsid w:val="05947D8B"/>
    <w:rsid w:val="059F7C45"/>
    <w:rsid w:val="05B57679"/>
    <w:rsid w:val="06576D6F"/>
    <w:rsid w:val="065E7559"/>
    <w:rsid w:val="06820972"/>
    <w:rsid w:val="06964F24"/>
    <w:rsid w:val="06AA705F"/>
    <w:rsid w:val="06AE3311"/>
    <w:rsid w:val="06C13614"/>
    <w:rsid w:val="07033CF7"/>
    <w:rsid w:val="07075E15"/>
    <w:rsid w:val="071B456C"/>
    <w:rsid w:val="0721688F"/>
    <w:rsid w:val="07264B70"/>
    <w:rsid w:val="074C3E6E"/>
    <w:rsid w:val="077F095C"/>
    <w:rsid w:val="07DA28EA"/>
    <w:rsid w:val="07E12C18"/>
    <w:rsid w:val="07EB1BDE"/>
    <w:rsid w:val="083325F6"/>
    <w:rsid w:val="083F55D5"/>
    <w:rsid w:val="08A52C77"/>
    <w:rsid w:val="08D02E43"/>
    <w:rsid w:val="08DB3C13"/>
    <w:rsid w:val="08ED6EB7"/>
    <w:rsid w:val="08EF599E"/>
    <w:rsid w:val="09265C8F"/>
    <w:rsid w:val="093E5F9A"/>
    <w:rsid w:val="0969589C"/>
    <w:rsid w:val="097409A1"/>
    <w:rsid w:val="09752DD4"/>
    <w:rsid w:val="098D54DA"/>
    <w:rsid w:val="09951DC8"/>
    <w:rsid w:val="09960B51"/>
    <w:rsid w:val="09A721D8"/>
    <w:rsid w:val="09B24E12"/>
    <w:rsid w:val="09D31CA1"/>
    <w:rsid w:val="09DF0546"/>
    <w:rsid w:val="09EC0695"/>
    <w:rsid w:val="0A0A24D4"/>
    <w:rsid w:val="0A2C1B1D"/>
    <w:rsid w:val="0A560A0F"/>
    <w:rsid w:val="0A684ADF"/>
    <w:rsid w:val="0AB54B4C"/>
    <w:rsid w:val="0AB7102F"/>
    <w:rsid w:val="0AD90520"/>
    <w:rsid w:val="0ADC367D"/>
    <w:rsid w:val="0AFB4C1B"/>
    <w:rsid w:val="0B592228"/>
    <w:rsid w:val="0B757C64"/>
    <w:rsid w:val="0B8663A6"/>
    <w:rsid w:val="0B943A84"/>
    <w:rsid w:val="0BB45773"/>
    <w:rsid w:val="0BFC709F"/>
    <w:rsid w:val="0C5E3BDC"/>
    <w:rsid w:val="0C8A7D98"/>
    <w:rsid w:val="0C9D4C3A"/>
    <w:rsid w:val="0CA104E4"/>
    <w:rsid w:val="0CC40E3C"/>
    <w:rsid w:val="0CCA0866"/>
    <w:rsid w:val="0CCA387F"/>
    <w:rsid w:val="0CF84B33"/>
    <w:rsid w:val="0D0A22F0"/>
    <w:rsid w:val="0D12027A"/>
    <w:rsid w:val="0D447D87"/>
    <w:rsid w:val="0D482BA0"/>
    <w:rsid w:val="0D4B62F3"/>
    <w:rsid w:val="0D767416"/>
    <w:rsid w:val="0DA456D9"/>
    <w:rsid w:val="0DAD7288"/>
    <w:rsid w:val="0DB9793C"/>
    <w:rsid w:val="0DCD736A"/>
    <w:rsid w:val="0DEB606B"/>
    <w:rsid w:val="0E533023"/>
    <w:rsid w:val="0E744255"/>
    <w:rsid w:val="0E805AF2"/>
    <w:rsid w:val="0EA44679"/>
    <w:rsid w:val="0EB97C77"/>
    <w:rsid w:val="0F340A37"/>
    <w:rsid w:val="0F475C85"/>
    <w:rsid w:val="0FD80E79"/>
    <w:rsid w:val="0FFC000F"/>
    <w:rsid w:val="101F4768"/>
    <w:rsid w:val="10475EE2"/>
    <w:rsid w:val="105818D9"/>
    <w:rsid w:val="10897B45"/>
    <w:rsid w:val="10A70529"/>
    <w:rsid w:val="10DA6C11"/>
    <w:rsid w:val="10DB13D7"/>
    <w:rsid w:val="10E9364F"/>
    <w:rsid w:val="110B15E1"/>
    <w:rsid w:val="11444CAE"/>
    <w:rsid w:val="114D36E5"/>
    <w:rsid w:val="117D60A0"/>
    <w:rsid w:val="11D42346"/>
    <w:rsid w:val="12402F3A"/>
    <w:rsid w:val="124B69B1"/>
    <w:rsid w:val="126938F7"/>
    <w:rsid w:val="127E7F4B"/>
    <w:rsid w:val="128F48BA"/>
    <w:rsid w:val="129D2F2A"/>
    <w:rsid w:val="12A226FB"/>
    <w:rsid w:val="12B23BCA"/>
    <w:rsid w:val="12DB6620"/>
    <w:rsid w:val="12EE6232"/>
    <w:rsid w:val="13076EBF"/>
    <w:rsid w:val="1315214D"/>
    <w:rsid w:val="13214C2C"/>
    <w:rsid w:val="13307BCA"/>
    <w:rsid w:val="133710ED"/>
    <w:rsid w:val="135849AF"/>
    <w:rsid w:val="139E73A3"/>
    <w:rsid w:val="13C8539E"/>
    <w:rsid w:val="13D33A0A"/>
    <w:rsid w:val="13F40A27"/>
    <w:rsid w:val="14286C7D"/>
    <w:rsid w:val="142C0AC8"/>
    <w:rsid w:val="144D1134"/>
    <w:rsid w:val="144F7079"/>
    <w:rsid w:val="146F769F"/>
    <w:rsid w:val="149A3383"/>
    <w:rsid w:val="14B736FA"/>
    <w:rsid w:val="14C909DF"/>
    <w:rsid w:val="15026EE9"/>
    <w:rsid w:val="155F1319"/>
    <w:rsid w:val="15744F5B"/>
    <w:rsid w:val="15B65DB7"/>
    <w:rsid w:val="15EB2B29"/>
    <w:rsid w:val="160A26DF"/>
    <w:rsid w:val="16255E49"/>
    <w:rsid w:val="162A0376"/>
    <w:rsid w:val="163531C0"/>
    <w:rsid w:val="163C38D7"/>
    <w:rsid w:val="166009C1"/>
    <w:rsid w:val="168419B5"/>
    <w:rsid w:val="16A12DC3"/>
    <w:rsid w:val="16E536E7"/>
    <w:rsid w:val="16E970DA"/>
    <w:rsid w:val="16EC2179"/>
    <w:rsid w:val="170719BB"/>
    <w:rsid w:val="176540E6"/>
    <w:rsid w:val="176A388B"/>
    <w:rsid w:val="178C1CFF"/>
    <w:rsid w:val="17922C77"/>
    <w:rsid w:val="17A5543C"/>
    <w:rsid w:val="17BB0A89"/>
    <w:rsid w:val="17CE48E6"/>
    <w:rsid w:val="17D4282F"/>
    <w:rsid w:val="17E32954"/>
    <w:rsid w:val="17E953B1"/>
    <w:rsid w:val="17EE22FC"/>
    <w:rsid w:val="180D2D3E"/>
    <w:rsid w:val="1812023C"/>
    <w:rsid w:val="18220BD9"/>
    <w:rsid w:val="1838669F"/>
    <w:rsid w:val="183F2948"/>
    <w:rsid w:val="185443BD"/>
    <w:rsid w:val="185E68BA"/>
    <w:rsid w:val="18904F9D"/>
    <w:rsid w:val="189579D3"/>
    <w:rsid w:val="189E3A48"/>
    <w:rsid w:val="18B331B6"/>
    <w:rsid w:val="18C74821"/>
    <w:rsid w:val="18E66EBB"/>
    <w:rsid w:val="19025F57"/>
    <w:rsid w:val="19324F2D"/>
    <w:rsid w:val="19763D46"/>
    <w:rsid w:val="19C11333"/>
    <w:rsid w:val="19C35034"/>
    <w:rsid w:val="19E640DD"/>
    <w:rsid w:val="1A05449E"/>
    <w:rsid w:val="1A11403A"/>
    <w:rsid w:val="1A1A3A7A"/>
    <w:rsid w:val="1A1B4EBB"/>
    <w:rsid w:val="1A69736E"/>
    <w:rsid w:val="1A6D1117"/>
    <w:rsid w:val="1A8064C8"/>
    <w:rsid w:val="1ACD2FD6"/>
    <w:rsid w:val="1AE040B8"/>
    <w:rsid w:val="1AE479A2"/>
    <w:rsid w:val="1AEB414F"/>
    <w:rsid w:val="1AF24EC1"/>
    <w:rsid w:val="1AF40286"/>
    <w:rsid w:val="1B0A019F"/>
    <w:rsid w:val="1B4518B1"/>
    <w:rsid w:val="1B59799D"/>
    <w:rsid w:val="1B7D3D21"/>
    <w:rsid w:val="1B9121F0"/>
    <w:rsid w:val="1BC23700"/>
    <w:rsid w:val="1BDD4132"/>
    <w:rsid w:val="1BF5549F"/>
    <w:rsid w:val="1C525DE2"/>
    <w:rsid w:val="1C65773A"/>
    <w:rsid w:val="1CA74B34"/>
    <w:rsid w:val="1CC0123D"/>
    <w:rsid w:val="1CCD5E94"/>
    <w:rsid w:val="1CD3788A"/>
    <w:rsid w:val="1CE06C35"/>
    <w:rsid w:val="1D442BBF"/>
    <w:rsid w:val="1D6A0633"/>
    <w:rsid w:val="1DAF7AA4"/>
    <w:rsid w:val="1DCD0937"/>
    <w:rsid w:val="1DCF3737"/>
    <w:rsid w:val="1DFC53A9"/>
    <w:rsid w:val="1E1852EB"/>
    <w:rsid w:val="1E2546ED"/>
    <w:rsid w:val="1E46102C"/>
    <w:rsid w:val="1E4A5F58"/>
    <w:rsid w:val="1E5A2DF1"/>
    <w:rsid w:val="1E5E6219"/>
    <w:rsid w:val="1E7F1EEE"/>
    <w:rsid w:val="1EB4270B"/>
    <w:rsid w:val="1EC26333"/>
    <w:rsid w:val="1EF84036"/>
    <w:rsid w:val="1F1B5D4F"/>
    <w:rsid w:val="1F517F2C"/>
    <w:rsid w:val="1FEF532C"/>
    <w:rsid w:val="20676B18"/>
    <w:rsid w:val="20936952"/>
    <w:rsid w:val="20B2346F"/>
    <w:rsid w:val="20B66625"/>
    <w:rsid w:val="20C030B4"/>
    <w:rsid w:val="20F75756"/>
    <w:rsid w:val="21035E7F"/>
    <w:rsid w:val="210C333B"/>
    <w:rsid w:val="2132578D"/>
    <w:rsid w:val="21577AC1"/>
    <w:rsid w:val="216F44FA"/>
    <w:rsid w:val="218E3254"/>
    <w:rsid w:val="219A49FA"/>
    <w:rsid w:val="21A27F4F"/>
    <w:rsid w:val="21DB5E82"/>
    <w:rsid w:val="227408D5"/>
    <w:rsid w:val="22DD00C4"/>
    <w:rsid w:val="2329758D"/>
    <w:rsid w:val="23733FB9"/>
    <w:rsid w:val="23C91456"/>
    <w:rsid w:val="23E32312"/>
    <w:rsid w:val="23FA1FE5"/>
    <w:rsid w:val="240D3A0D"/>
    <w:rsid w:val="241601E5"/>
    <w:rsid w:val="244F1F4B"/>
    <w:rsid w:val="2463408C"/>
    <w:rsid w:val="246E47F0"/>
    <w:rsid w:val="249470BE"/>
    <w:rsid w:val="24AC0965"/>
    <w:rsid w:val="24C811BD"/>
    <w:rsid w:val="24D8525B"/>
    <w:rsid w:val="25C35926"/>
    <w:rsid w:val="25DD46D4"/>
    <w:rsid w:val="25F34408"/>
    <w:rsid w:val="2658246E"/>
    <w:rsid w:val="267001A5"/>
    <w:rsid w:val="26CE7AB0"/>
    <w:rsid w:val="2725716F"/>
    <w:rsid w:val="27323E78"/>
    <w:rsid w:val="274E68CF"/>
    <w:rsid w:val="276141EA"/>
    <w:rsid w:val="278E073B"/>
    <w:rsid w:val="27B51458"/>
    <w:rsid w:val="282E5685"/>
    <w:rsid w:val="2873463D"/>
    <w:rsid w:val="28814A83"/>
    <w:rsid w:val="28DE260B"/>
    <w:rsid w:val="28E243D6"/>
    <w:rsid w:val="28F07C1C"/>
    <w:rsid w:val="28FA47EE"/>
    <w:rsid w:val="292E21FC"/>
    <w:rsid w:val="2979460C"/>
    <w:rsid w:val="298D54F1"/>
    <w:rsid w:val="299F1743"/>
    <w:rsid w:val="29C678D3"/>
    <w:rsid w:val="29E66F5D"/>
    <w:rsid w:val="29F77068"/>
    <w:rsid w:val="29F85437"/>
    <w:rsid w:val="2A275D68"/>
    <w:rsid w:val="2A752C9C"/>
    <w:rsid w:val="2A786FCD"/>
    <w:rsid w:val="2A803081"/>
    <w:rsid w:val="2A9F5694"/>
    <w:rsid w:val="2ADA2F92"/>
    <w:rsid w:val="2B3F0145"/>
    <w:rsid w:val="2B5E364E"/>
    <w:rsid w:val="2B6132E0"/>
    <w:rsid w:val="2B902015"/>
    <w:rsid w:val="2BA069BB"/>
    <w:rsid w:val="2BBB03D8"/>
    <w:rsid w:val="2BC054E0"/>
    <w:rsid w:val="2BCF78BE"/>
    <w:rsid w:val="2C193FF6"/>
    <w:rsid w:val="2C2B6686"/>
    <w:rsid w:val="2C735B15"/>
    <w:rsid w:val="2C816B03"/>
    <w:rsid w:val="2C911363"/>
    <w:rsid w:val="2CA2012A"/>
    <w:rsid w:val="2CAC41B7"/>
    <w:rsid w:val="2CBF54C8"/>
    <w:rsid w:val="2CF745A3"/>
    <w:rsid w:val="2CFC7258"/>
    <w:rsid w:val="2D1655C4"/>
    <w:rsid w:val="2D6B40B3"/>
    <w:rsid w:val="2D6E7BED"/>
    <w:rsid w:val="2D9755BA"/>
    <w:rsid w:val="2DA77E53"/>
    <w:rsid w:val="2DB322BA"/>
    <w:rsid w:val="2DD15D54"/>
    <w:rsid w:val="2DD227A8"/>
    <w:rsid w:val="2E2F47F9"/>
    <w:rsid w:val="2E3265B0"/>
    <w:rsid w:val="2E3B2D3A"/>
    <w:rsid w:val="2E7243F3"/>
    <w:rsid w:val="2EE5252D"/>
    <w:rsid w:val="2F7000C4"/>
    <w:rsid w:val="2F7B1FE1"/>
    <w:rsid w:val="2FA56828"/>
    <w:rsid w:val="2FF21A50"/>
    <w:rsid w:val="2FF34AD6"/>
    <w:rsid w:val="30166BF7"/>
    <w:rsid w:val="30220049"/>
    <w:rsid w:val="3023677D"/>
    <w:rsid w:val="30247D84"/>
    <w:rsid w:val="30326E32"/>
    <w:rsid w:val="30411F2E"/>
    <w:rsid w:val="30650594"/>
    <w:rsid w:val="30677594"/>
    <w:rsid w:val="309B2A6D"/>
    <w:rsid w:val="30FB140E"/>
    <w:rsid w:val="310432AF"/>
    <w:rsid w:val="313A24EC"/>
    <w:rsid w:val="314E640A"/>
    <w:rsid w:val="319517D8"/>
    <w:rsid w:val="319D209C"/>
    <w:rsid w:val="319E6575"/>
    <w:rsid w:val="31BE4833"/>
    <w:rsid w:val="3203133D"/>
    <w:rsid w:val="320B1245"/>
    <w:rsid w:val="321D73B2"/>
    <w:rsid w:val="324A03FF"/>
    <w:rsid w:val="328B4E7C"/>
    <w:rsid w:val="328D101D"/>
    <w:rsid w:val="328E3A2B"/>
    <w:rsid w:val="32B5750F"/>
    <w:rsid w:val="32BF42CE"/>
    <w:rsid w:val="32F30C34"/>
    <w:rsid w:val="332E1DF5"/>
    <w:rsid w:val="33520FBA"/>
    <w:rsid w:val="3373696C"/>
    <w:rsid w:val="33831FF7"/>
    <w:rsid w:val="342F7D1C"/>
    <w:rsid w:val="34520BE0"/>
    <w:rsid w:val="34526A07"/>
    <w:rsid w:val="34733733"/>
    <w:rsid w:val="347B4A7C"/>
    <w:rsid w:val="34BE72F6"/>
    <w:rsid w:val="350A0A97"/>
    <w:rsid w:val="356F0BF2"/>
    <w:rsid w:val="3586542E"/>
    <w:rsid w:val="35972109"/>
    <w:rsid w:val="35BE10C4"/>
    <w:rsid w:val="35C804B6"/>
    <w:rsid w:val="35D96CC0"/>
    <w:rsid w:val="36066C9A"/>
    <w:rsid w:val="36302504"/>
    <w:rsid w:val="367D48CB"/>
    <w:rsid w:val="369A1ECC"/>
    <w:rsid w:val="36B857AE"/>
    <w:rsid w:val="36D677AE"/>
    <w:rsid w:val="37094F18"/>
    <w:rsid w:val="37132393"/>
    <w:rsid w:val="371B6CA1"/>
    <w:rsid w:val="37205C99"/>
    <w:rsid w:val="378812D9"/>
    <w:rsid w:val="37940528"/>
    <w:rsid w:val="37A20F03"/>
    <w:rsid w:val="37C537A7"/>
    <w:rsid w:val="37D73EA4"/>
    <w:rsid w:val="37F232DB"/>
    <w:rsid w:val="38156626"/>
    <w:rsid w:val="38163439"/>
    <w:rsid w:val="381B27FE"/>
    <w:rsid w:val="383D19BB"/>
    <w:rsid w:val="38660DF1"/>
    <w:rsid w:val="387371F0"/>
    <w:rsid w:val="38E16234"/>
    <w:rsid w:val="38FD0545"/>
    <w:rsid w:val="394A4C85"/>
    <w:rsid w:val="39664A0A"/>
    <w:rsid w:val="398D427F"/>
    <w:rsid w:val="39F11384"/>
    <w:rsid w:val="39FE574A"/>
    <w:rsid w:val="3A2D1C82"/>
    <w:rsid w:val="3A4A66E1"/>
    <w:rsid w:val="3A5165C7"/>
    <w:rsid w:val="3A653596"/>
    <w:rsid w:val="3A9771F0"/>
    <w:rsid w:val="3A9F7D31"/>
    <w:rsid w:val="3AA76CE7"/>
    <w:rsid w:val="3AA96311"/>
    <w:rsid w:val="3AFF6EEC"/>
    <w:rsid w:val="3B043A1D"/>
    <w:rsid w:val="3B266EA8"/>
    <w:rsid w:val="3B9C09A4"/>
    <w:rsid w:val="3BAD79E5"/>
    <w:rsid w:val="3BAF7922"/>
    <w:rsid w:val="3BE64A17"/>
    <w:rsid w:val="3C6E6583"/>
    <w:rsid w:val="3C9470BC"/>
    <w:rsid w:val="3CA32DC2"/>
    <w:rsid w:val="3CC22CF1"/>
    <w:rsid w:val="3CDC344D"/>
    <w:rsid w:val="3CED0F2B"/>
    <w:rsid w:val="3D15241E"/>
    <w:rsid w:val="3D2A14BF"/>
    <w:rsid w:val="3D596132"/>
    <w:rsid w:val="3D8C0486"/>
    <w:rsid w:val="3D8C43FF"/>
    <w:rsid w:val="3DF02F4A"/>
    <w:rsid w:val="3DF06633"/>
    <w:rsid w:val="3E187249"/>
    <w:rsid w:val="3E577B09"/>
    <w:rsid w:val="3E6265E3"/>
    <w:rsid w:val="3E9F4BF0"/>
    <w:rsid w:val="3EAF5011"/>
    <w:rsid w:val="3ECE2276"/>
    <w:rsid w:val="3ED337FC"/>
    <w:rsid w:val="3F0119BC"/>
    <w:rsid w:val="3F054A58"/>
    <w:rsid w:val="3F20674B"/>
    <w:rsid w:val="3F361046"/>
    <w:rsid w:val="3F947F05"/>
    <w:rsid w:val="3F965898"/>
    <w:rsid w:val="3FA63B92"/>
    <w:rsid w:val="3FB41A15"/>
    <w:rsid w:val="3FC8723E"/>
    <w:rsid w:val="3FEC15FA"/>
    <w:rsid w:val="40016F05"/>
    <w:rsid w:val="40356BEB"/>
    <w:rsid w:val="4051567E"/>
    <w:rsid w:val="40995374"/>
    <w:rsid w:val="40A9513A"/>
    <w:rsid w:val="40BE3E61"/>
    <w:rsid w:val="40CC319E"/>
    <w:rsid w:val="40F86052"/>
    <w:rsid w:val="41215401"/>
    <w:rsid w:val="413050B9"/>
    <w:rsid w:val="413C5C04"/>
    <w:rsid w:val="413D0351"/>
    <w:rsid w:val="41422592"/>
    <w:rsid w:val="415D7EDF"/>
    <w:rsid w:val="41813BBA"/>
    <w:rsid w:val="41881842"/>
    <w:rsid w:val="41B12785"/>
    <w:rsid w:val="41EC5E9E"/>
    <w:rsid w:val="41F30347"/>
    <w:rsid w:val="420A478E"/>
    <w:rsid w:val="421B6B95"/>
    <w:rsid w:val="42815AE6"/>
    <w:rsid w:val="42865FCF"/>
    <w:rsid w:val="42A43FBD"/>
    <w:rsid w:val="42A453F4"/>
    <w:rsid w:val="42B21BEA"/>
    <w:rsid w:val="42DE61E4"/>
    <w:rsid w:val="42F43A2D"/>
    <w:rsid w:val="42FB7DC5"/>
    <w:rsid w:val="42FE4864"/>
    <w:rsid w:val="434F2EC3"/>
    <w:rsid w:val="4388447E"/>
    <w:rsid w:val="439E67A3"/>
    <w:rsid w:val="4404366A"/>
    <w:rsid w:val="441D22E9"/>
    <w:rsid w:val="442A3DC9"/>
    <w:rsid w:val="44323013"/>
    <w:rsid w:val="44AC4BAB"/>
    <w:rsid w:val="4509076A"/>
    <w:rsid w:val="450B3A95"/>
    <w:rsid w:val="452B0E0C"/>
    <w:rsid w:val="45366559"/>
    <w:rsid w:val="456E77DE"/>
    <w:rsid w:val="457C18BB"/>
    <w:rsid w:val="457F58C7"/>
    <w:rsid w:val="461D6E30"/>
    <w:rsid w:val="4668135C"/>
    <w:rsid w:val="466C043F"/>
    <w:rsid w:val="46F6745A"/>
    <w:rsid w:val="470B5CD0"/>
    <w:rsid w:val="47106E37"/>
    <w:rsid w:val="471A1716"/>
    <w:rsid w:val="47205A88"/>
    <w:rsid w:val="472C2A21"/>
    <w:rsid w:val="475D3B51"/>
    <w:rsid w:val="47734F1C"/>
    <w:rsid w:val="47881D4D"/>
    <w:rsid w:val="47C23144"/>
    <w:rsid w:val="47F13CCA"/>
    <w:rsid w:val="480C491F"/>
    <w:rsid w:val="481840D5"/>
    <w:rsid w:val="482608AC"/>
    <w:rsid w:val="48402B31"/>
    <w:rsid w:val="484D4D89"/>
    <w:rsid w:val="48670296"/>
    <w:rsid w:val="487412FA"/>
    <w:rsid w:val="48825F81"/>
    <w:rsid w:val="48B8616D"/>
    <w:rsid w:val="48BD5EF6"/>
    <w:rsid w:val="48E74E80"/>
    <w:rsid w:val="48F52BF7"/>
    <w:rsid w:val="490C0FE5"/>
    <w:rsid w:val="494222DD"/>
    <w:rsid w:val="494E3549"/>
    <w:rsid w:val="495C4CC4"/>
    <w:rsid w:val="4983764B"/>
    <w:rsid w:val="49A700EB"/>
    <w:rsid w:val="49AE18AA"/>
    <w:rsid w:val="49C728DD"/>
    <w:rsid w:val="49C72CBA"/>
    <w:rsid w:val="49D41B5B"/>
    <w:rsid w:val="4A3E66FF"/>
    <w:rsid w:val="4A481C46"/>
    <w:rsid w:val="4A815073"/>
    <w:rsid w:val="4A960195"/>
    <w:rsid w:val="4A986E3C"/>
    <w:rsid w:val="4AB303EA"/>
    <w:rsid w:val="4AD81C70"/>
    <w:rsid w:val="4B1423A7"/>
    <w:rsid w:val="4B4F118E"/>
    <w:rsid w:val="4B615D7D"/>
    <w:rsid w:val="4BAD450E"/>
    <w:rsid w:val="4BAE2851"/>
    <w:rsid w:val="4BF61CC7"/>
    <w:rsid w:val="4C2B129F"/>
    <w:rsid w:val="4C5B7D49"/>
    <w:rsid w:val="4C747CFB"/>
    <w:rsid w:val="4C8A6A7A"/>
    <w:rsid w:val="4C8F1210"/>
    <w:rsid w:val="4C9F4644"/>
    <w:rsid w:val="4CAB1C76"/>
    <w:rsid w:val="4CB90024"/>
    <w:rsid w:val="4CDF2BD9"/>
    <w:rsid w:val="4CFF0CD7"/>
    <w:rsid w:val="4D0C5D4B"/>
    <w:rsid w:val="4D31491B"/>
    <w:rsid w:val="4DA603D9"/>
    <w:rsid w:val="4DBE3E26"/>
    <w:rsid w:val="4DCA2C28"/>
    <w:rsid w:val="4DDC5453"/>
    <w:rsid w:val="4DF5341D"/>
    <w:rsid w:val="4E080BD2"/>
    <w:rsid w:val="4E49742F"/>
    <w:rsid w:val="4E757824"/>
    <w:rsid w:val="4E907CF2"/>
    <w:rsid w:val="4E931F7D"/>
    <w:rsid w:val="4E9512F2"/>
    <w:rsid w:val="4EA330F5"/>
    <w:rsid w:val="4EAC2069"/>
    <w:rsid w:val="4F0D6438"/>
    <w:rsid w:val="4F304124"/>
    <w:rsid w:val="4F4D5DCF"/>
    <w:rsid w:val="4F55064A"/>
    <w:rsid w:val="4F957086"/>
    <w:rsid w:val="4FCB67A2"/>
    <w:rsid w:val="4FDA272D"/>
    <w:rsid w:val="503F6504"/>
    <w:rsid w:val="5075696C"/>
    <w:rsid w:val="50A40D3E"/>
    <w:rsid w:val="50DD1034"/>
    <w:rsid w:val="50F20FB7"/>
    <w:rsid w:val="51023987"/>
    <w:rsid w:val="51806A77"/>
    <w:rsid w:val="518C793B"/>
    <w:rsid w:val="51CA6CC4"/>
    <w:rsid w:val="51F018D7"/>
    <w:rsid w:val="51F66DD5"/>
    <w:rsid w:val="521B5925"/>
    <w:rsid w:val="524E3D55"/>
    <w:rsid w:val="526936B8"/>
    <w:rsid w:val="527C6137"/>
    <w:rsid w:val="527F20EA"/>
    <w:rsid w:val="52932EE3"/>
    <w:rsid w:val="52974AB8"/>
    <w:rsid w:val="52A53FC6"/>
    <w:rsid w:val="52B37CB8"/>
    <w:rsid w:val="52C86FD1"/>
    <w:rsid w:val="53430611"/>
    <w:rsid w:val="53627BE4"/>
    <w:rsid w:val="53C468E2"/>
    <w:rsid w:val="53FE5E2B"/>
    <w:rsid w:val="542A0177"/>
    <w:rsid w:val="54437464"/>
    <w:rsid w:val="54634406"/>
    <w:rsid w:val="548A3DF9"/>
    <w:rsid w:val="54913C35"/>
    <w:rsid w:val="54C16EA3"/>
    <w:rsid w:val="54D74940"/>
    <w:rsid w:val="55291C33"/>
    <w:rsid w:val="55590AEB"/>
    <w:rsid w:val="55897AB3"/>
    <w:rsid w:val="55B66153"/>
    <w:rsid w:val="55CD0F1C"/>
    <w:rsid w:val="56092128"/>
    <w:rsid w:val="563C1E65"/>
    <w:rsid w:val="56472602"/>
    <w:rsid w:val="566227A7"/>
    <w:rsid w:val="56846E7E"/>
    <w:rsid w:val="5692649F"/>
    <w:rsid w:val="56A722B1"/>
    <w:rsid w:val="56D444BE"/>
    <w:rsid w:val="56DB6394"/>
    <w:rsid w:val="56FF4F1F"/>
    <w:rsid w:val="570766BF"/>
    <w:rsid w:val="57191540"/>
    <w:rsid w:val="5769131C"/>
    <w:rsid w:val="579054FC"/>
    <w:rsid w:val="57A15C32"/>
    <w:rsid w:val="57AE5BB0"/>
    <w:rsid w:val="57DF758B"/>
    <w:rsid w:val="58416128"/>
    <w:rsid w:val="585A09A0"/>
    <w:rsid w:val="585C75BC"/>
    <w:rsid w:val="586341B3"/>
    <w:rsid w:val="587F5911"/>
    <w:rsid w:val="58931D6D"/>
    <w:rsid w:val="58B92C79"/>
    <w:rsid w:val="58BB1BAA"/>
    <w:rsid w:val="58F761FC"/>
    <w:rsid w:val="59093456"/>
    <w:rsid w:val="590C4A9E"/>
    <w:rsid w:val="59212001"/>
    <w:rsid w:val="59244711"/>
    <w:rsid w:val="59274812"/>
    <w:rsid w:val="593F776C"/>
    <w:rsid w:val="596C0D04"/>
    <w:rsid w:val="598114F6"/>
    <w:rsid w:val="59835FFD"/>
    <w:rsid w:val="598711C3"/>
    <w:rsid w:val="5A63429E"/>
    <w:rsid w:val="5AA02DA4"/>
    <w:rsid w:val="5AD012F2"/>
    <w:rsid w:val="5B3C48AC"/>
    <w:rsid w:val="5B472156"/>
    <w:rsid w:val="5B4A06EF"/>
    <w:rsid w:val="5B6E177F"/>
    <w:rsid w:val="5B890073"/>
    <w:rsid w:val="5BEC25AB"/>
    <w:rsid w:val="5C0B2299"/>
    <w:rsid w:val="5C3F4AFE"/>
    <w:rsid w:val="5C6815F6"/>
    <w:rsid w:val="5C840DEB"/>
    <w:rsid w:val="5C895E1C"/>
    <w:rsid w:val="5CA304CF"/>
    <w:rsid w:val="5CB614B7"/>
    <w:rsid w:val="5D00257E"/>
    <w:rsid w:val="5D083605"/>
    <w:rsid w:val="5D4376F6"/>
    <w:rsid w:val="5D5C24A0"/>
    <w:rsid w:val="5D7333AE"/>
    <w:rsid w:val="5DD87C1F"/>
    <w:rsid w:val="5DEC7617"/>
    <w:rsid w:val="5DED38E5"/>
    <w:rsid w:val="5E4024BC"/>
    <w:rsid w:val="5EAE7678"/>
    <w:rsid w:val="5ECA5DB4"/>
    <w:rsid w:val="5F175366"/>
    <w:rsid w:val="5F3A23FC"/>
    <w:rsid w:val="5F650370"/>
    <w:rsid w:val="5FA76A0B"/>
    <w:rsid w:val="5FD50C60"/>
    <w:rsid w:val="5FE6444C"/>
    <w:rsid w:val="600D34CC"/>
    <w:rsid w:val="605D4121"/>
    <w:rsid w:val="606106AF"/>
    <w:rsid w:val="60727845"/>
    <w:rsid w:val="60B35EF7"/>
    <w:rsid w:val="60BE45C5"/>
    <w:rsid w:val="60EA07B8"/>
    <w:rsid w:val="613E6B5F"/>
    <w:rsid w:val="614B0D8B"/>
    <w:rsid w:val="61C418D5"/>
    <w:rsid w:val="62AC58AE"/>
    <w:rsid w:val="62C34F5D"/>
    <w:rsid w:val="630A677D"/>
    <w:rsid w:val="630C5904"/>
    <w:rsid w:val="63335122"/>
    <w:rsid w:val="6346670F"/>
    <w:rsid w:val="635A65BF"/>
    <w:rsid w:val="63E95101"/>
    <w:rsid w:val="641143FD"/>
    <w:rsid w:val="64333D20"/>
    <w:rsid w:val="644402D3"/>
    <w:rsid w:val="64554E94"/>
    <w:rsid w:val="6468691A"/>
    <w:rsid w:val="647C43A7"/>
    <w:rsid w:val="647E1BEC"/>
    <w:rsid w:val="64872CE9"/>
    <w:rsid w:val="649F7681"/>
    <w:rsid w:val="64A34D63"/>
    <w:rsid w:val="64C61BD7"/>
    <w:rsid w:val="654D0427"/>
    <w:rsid w:val="656A0EAF"/>
    <w:rsid w:val="657F0286"/>
    <w:rsid w:val="65A11976"/>
    <w:rsid w:val="65B12D70"/>
    <w:rsid w:val="65BE4440"/>
    <w:rsid w:val="65CC221B"/>
    <w:rsid w:val="65E9725A"/>
    <w:rsid w:val="65F725EE"/>
    <w:rsid w:val="660C126B"/>
    <w:rsid w:val="663F036C"/>
    <w:rsid w:val="6669691D"/>
    <w:rsid w:val="6682353D"/>
    <w:rsid w:val="66984BD8"/>
    <w:rsid w:val="669F5D03"/>
    <w:rsid w:val="66AA4924"/>
    <w:rsid w:val="66DB472B"/>
    <w:rsid w:val="66E50212"/>
    <w:rsid w:val="66EA5C31"/>
    <w:rsid w:val="67362CC9"/>
    <w:rsid w:val="67543A22"/>
    <w:rsid w:val="675A5B0A"/>
    <w:rsid w:val="67632C19"/>
    <w:rsid w:val="676E21F0"/>
    <w:rsid w:val="67893D01"/>
    <w:rsid w:val="679750B3"/>
    <w:rsid w:val="67F84AAA"/>
    <w:rsid w:val="6802729D"/>
    <w:rsid w:val="68346D9E"/>
    <w:rsid w:val="683B190B"/>
    <w:rsid w:val="685E205D"/>
    <w:rsid w:val="687B4B51"/>
    <w:rsid w:val="68A67BB8"/>
    <w:rsid w:val="68B74886"/>
    <w:rsid w:val="68D20407"/>
    <w:rsid w:val="693A6395"/>
    <w:rsid w:val="695D5F0B"/>
    <w:rsid w:val="69661B5A"/>
    <w:rsid w:val="69750A05"/>
    <w:rsid w:val="698E5BBA"/>
    <w:rsid w:val="69AE3F82"/>
    <w:rsid w:val="69C84345"/>
    <w:rsid w:val="6A2841CE"/>
    <w:rsid w:val="6A2E0F0C"/>
    <w:rsid w:val="6A31115D"/>
    <w:rsid w:val="6A6746F7"/>
    <w:rsid w:val="6A710FDB"/>
    <w:rsid w:val="6A784964"/>
    <w:rsid w:val="6A8D596E"/>
    <w:rsid w:val="6ABD59DD"/>
    <w:rsid w:val="6AD83CE7"/>
    <w:rsid w:val="6AE35AEF"/>
    <w:rsid w:val="6AFD13CB"/>
    <w:rsid w:val="6B071019"/>
    <w:rsid w:val="6B1744AC"/>
    <w:rsid w:val="6B362AD6"/>
    <w:rsid w:val="6B674BB7"/>
    <w:rsid w:val="6B6E4F2F"/>
    <w:rsid w:val="6BBA57C6"/>
    <w:rsid w:val="6BD2532D"/>
    <w:rsid w:val="6BF336DA"/>
    <w:rsid w:val="6BF56622"/>
    <w:rsid w:val="6BFB64A9"/>
    <w:rsid w:val="6C3B315A"/>
    <w:rsid w:val="6C4D665D"/>
    <w:rsid w:val="6D04407F"/>
    <w:rsid w:val="6D323A49"/>
    <w:rsid w:val="6D3546EE"/>
    <w:rsid w:val="6D3A06E8"/>
    <w:rsid w:val="6DB4461A"/>
    <w:rsid w:val="6DF6376E"/>
    <w:rsid w:val="6E5A51ED"/>
    <w:rsid w:val="6E931DC8"/>
    <w:rsid w:val="6E996F65"/>
    <w:rsid w:val="6EA2346E"/>
    <w:rsid w:val="6EA476C1"/>
    <w:rsid w:val="6EA94A11"/>
    <w:rsid w:val="6EB773B2"/>
    <w:rsid w:val="6EF205BB"/>
    <w:rsid w:val="6EF40543"/>
    <w:rsid w:val="6F467459"/>
    <w:rsid w:val="6F57477A"/>
    <w:rsid w:val="6FBA4314"/>
    <w:rsid w:val="6FCB78F0"/>
    <w:rsid w:val="6FEF29EC"/>
    <w:rsid w:val="7007230A"/>
    <w:rsid w:val="700A74D7"/>
    <w:rsid w:val="702B6D19"/>
    <w:rsid w:val="703637EB"/>
    <w:rsid w:val="70421527"/>
    <w:rsid w:val="705E0DD1"/>
    <w:rsid w:val="70A74A7A"/>
    <w:rsid w:val="70BB0361"/>
    <w:rsid w:val="70CA3E16"/>
    <w:rsid w:val="711846DE"/>
    <w:rsid w:val="711A0B9D"/>
    <w:rsid w:val="714341AA"/>
    <w:rsid w:val="71502AE2"/>
    <w:rsid w:val="723860AD"/>
    <w:rsid w:val="72A244C0"/>
    <w:rsid w:val="72C74D55"/>
    <w:rsid w:val="72D66F50"/>
    <w:rsid w:val="730F2BB4"/>
    <w:rsid w:val="734D7DAF"/>
    <w:rsid w:val="736312CF"/>
    <w:rsid w:val="736355C7"/>
    <w:rsid w:val="73637B2E"/>
    <w:rsid w:val="736A5734"/>
    <w:rsid w:val="737C0BDA"/>
    <w:rsid w:val="73896D6B"/>
    <w:rsid w:val="739B01C6"/>
    <w:rsid w:val="73AC5E80"/>
    <w:rsid w:val="73C97B16"/>
    <w:rsid w:val="73EA50E6"/>
    <w:rsid w:val="74433919"/>
    <w:rsid w:val="74727FB1"/>
    <w:rsid w:val="74EE73AC"/>
    <w:rsid w:val="74F5771F"/>
    <w:rsid w:val="75000BD7"/>
    <w:rsid w:val="75136434"/>
    <w:rsid w:val="75145E70"/>
    <w:rsid w:val="75265D63"/>
    <w:rsid w:val="75312618"/>
    <w:rsid w:val="754934AD"/>
    <w:rsid w:val="75494289"/>
    <w:rsid w:val="755A7A35"/>
    <w:rsid w:val="756058DF"/>
    <w:rsid w:val="757B6C26"/>
    <w:rsid w:val="75893B6E"/>
    <w:rsid w:val="75A34A7D"/>
    <w:rsid w:val="75C80F81"/>
    <w:rsid w:val="75DE1361"/>
    <w:rsid w:val="75E93166"/>
    <w:rsid w:val="76114530"/>
    <w:rsid w:val="76121D94"/>
    <w:rsid w:val="761A3289"/>
    <w:rsid w:val="762B6111"/>
    <w:rsid w:val="762F01FC"/>
    <w:rsid w:val="763C5235"/>
    <w:rsid w:val="764B29B7"/>
    <w:rsid w:val="76F04ED4"/>
    <w:rsid w:val="773249D5"/>
    <w:rsid w:val="776A4E4C"/>
    <w:rsid w:val="776F38B6"/>
    <w:rsid w:val="77786776"/>
    <w:rsid w:val="7807649C"/>
    <w:rsid w:val="782E7AC2"/>
    <w:rsid w:val="783138DB"/>
    <w:rsid w:val="78566571"/>
    <w:rsid w:val="786515B1"/>
    <w:rsid w:val="78A5018E"/>
    <w:rsid w:val="78B21B3D"/>
    <w:rsid w:val="78CB506B"/>
    <w:rsid w:val="790B2ED9"/>
    <w:rsid w:val="791B321E"/>
    <w:rsid w:val="795957CE"/>
    <w:rsid w:val="796F4684"/>
    <w:rsid w:val="79A4751B"/>
    <w:rsid w:val="79C3208F"/>
    <w:rsid w:val="79C93160"/>
    <w:rsid w:val="79FA40C6"/>
    <w:rsid w:val="7A0218A7"/>
    <w:rsid w:val="7A2956AB"/>
    <w:rsid w:val="7A2E3098"/>
    <w:rsid w:val="7A3405DC"/>
    <w:rsid w:val="7A4E0081"/>
    <w:rsid w:val="7A6A2E0A"/>
    <w:rsid w:val="7A7B7145"/>
    <w:rsid w:val="7AE15DCA"/>
    <w:rsid w:val="7AF30E7B"/>
    <w:rsid w:val="7B0F3BEA"/>
    <w:rsid w:val="7B1D60D6"/>
    <w:rsid w:val="7B446C0B"/>
    <w:rsid w:val="7B720F1B"/>
    <w:rsid w:val="7B7C7AE9"/>
    <w:rsid w:val="7B8667D9"/>
    <w:rsid w:val="7B9F0B35"/>
    <w:rsid w:val="7BCD671F"/>
    <w:rsid w:val="7BF45DA7"/>
    <w:rsid w:val="7C5346CF"/>
    <w:rsid w:val="7CC178F1"/>
    <w:rsid w:val="7CDE195B"/>
    <w:rsid w:val="7CE473B1"/>
    <w:rsid w:val="7D085E6D"/>
    <w:rsid w:val="7D087EB8"/>
    <w:rsid w:val="7D0F1B1A"/>
    <w:rsid w:val="7D1D623D"/>
    <w:rsid w:val="7D3143FF"/>
    <w:rsid w:val="7D59457E"/>
    <w:rsid w:val="7D610C91"/>
    <w:rsid w:val="7D687089"/>
    <w:rsid w:val="7D954526"/>
    <w:rsid w:val="7D9549AE"/>
    <w:rsid w:val="7DD10814"/>
    <w:rsid w:val="7DD16E1B"/>
    <w:rsid w:val="7E1C19D1"/>
    <w:rsid w:val="7E443B52"/>
    <w:rsid w:val="7E861F31"/>
    <w:rsid w:val="7ED11094"/>
    <w:rsid w:val="7EEA1BAF"/>
    <w:rsid w:val="7EF00718"/>
    <w:rsid w:val="7EF24AF0"/>
    <w:rsid w:val="7F0448FC"/>
    <w:rsid w:val="7F3D42E8"/>
    <w:rsid w:val="7F412376"/>
    <w:rsid w:val="7F7A2A84"/>
    <w:rsid w:val="7FA11016"/>
    <w:rsid w:val="7FF92E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rPr>
      <w:rFonts w:ascii="仿宋_GB2312" w:hAnsi="宋体" w:eastAsia="仿宋_GB2312" w:cs="Times New Roman"/>
    </w:rPr>
  </w:style>
  <w:style w:type="paragraph" w:styleId="5">
    <w:name w:val="annotation text"/>
    <w:basedOn w:val="1"/>
    <w:semiHidden/>
    <w:qFormat/>
    <w:uiPriority w:val="0"/>
    <w:pPr>
      <w:jc w:val="left"/>
    </w:pPr>
  </w:style>
  <w:style w:type="paragraph" w:styleId="6">
    <w:name w:val="Plain Text"/>
    <w:basedOn w:val="1"/>
    <w:qFormat/>
    <w:uiPriority w:val="0"/>
    <w:rPr>
      <w:rFonts w:ascii="宋体" w:hAnsi="Courier New" w:eastAsia="宋体" w:cs="Courier New"/>
      <w:sz w:val="21"/>
      <w:szCs w:val="21"/>
    </w:rPr>
  </w:style>
  <w:style w:type="paragraph" w:styleId="7">
    <w:name w:val="Balloon Text"/>
    <w:basedOn w:val="1"/>
    <w:semiHidden/>
    <w:qFormat/>
    <w:uiPriority w:val="0"/>
    <w:rPr>
      <w:sz w:val="18"/>
      <w:szCs w:val="18"/>
    </w:r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pPr>
      <w:tabs>
        <w:tab w:val="right" w:leader="dot" w:pos="8777"/>
      </w:tabs>
      <w:spacing w:line="360" w:lineRule="auto"/>
    </w:pPr>
  </w:style>
  <w:style w:type="paragraph" w:styleId="11">
    <w:name w:val="footnote text"/>
    <w:basedOn w:val="1"/>
    <w:semiHidden/>
    <w:qFormat/>
    <w:uiPriority w:val="0"/>
    <w:pPr>
      <w:snapToGrid w:val="0"/>
      <w:jc w:val="left"/>
    </w:pPr>
    <w:rPr>
      <w:sz w:val="18"/>
      <w:szCs w:val="18"/>
    </w:rPr>
  </w:style>
  <w:style w:type="paragraph" w:styleId="12">
    <w:name w:val="toc 2"/>
    <w:basedOn w:val="1"/>
    <w:next w:val="1"/>
    <w:semiHidden/>
    <w:qFormat/>
    <w:uiPriority w:val="0"/>
    <w:pPr>
      <w:ind w:left="420" w:leftChars="200"/>
    </w:p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qFormat/>
    <w:uiPriority w:val="0"/>
    <w:rPr>
      <w:sz w:val="24"/>
    </w:rPr>
  </w:style>
  <w:style w:type="paragraph" w:styleId="15">
    <w:name w:val="annotation subject"/>
    <w:basedOn w:val="5"/>
    <w:next w:val="5"/>
    <w:semiHidden/>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page number"/>
    <w:basedOn w:val="18"/>
    <w:qFormat/>
    <w:uiPriority w:val="0"/>
    <w:rPr>
      <w:rFonts w:hint="default"/>
      <w:sz w:val="24"/>
    </w:rPr>
  </w:style>
  <w:style w:type="character" w:styleId="21">
    <w:name w:val="FollowedHyperlink"/>
    <w:basedOn w:val="18"/>
    <w:qFormat/>
    <w:uiPriority w:val="0"/>
    <w:rPr>
      <w:color w:val="555555"/>
      <w:u w:val="none"/>
    </w:rPr>
  </w:style>
  <w:style w:type="character" w:styleId="22">
    <w:name w:val="Hyperlink"/>
    <w:basedOn w:val="18"/>
    <w:qFormat/>
    <w:uiPriority w:val="0"/>
    <w:rPr>
      <w:color w:val="555555"/>
      <w:u w:val="none"/>
    </w:rPr>
  </w:style>
  <w:style w:type="character" w:styleId="23">
    <w:name w:val="annotation reference"/>
    <w:basedOn w:val="18"/>
    <w:semiHidden/>
    <w:qFormat/>
    <w:uiPriority w:val="0"/>
    <w:rPr>
      <w:sz w:val="21"/>
      <w:szCs w:val="21"/>
    </w:rPr>
  </w:style>
  <w:style w:type="character" w:styleId="24">
    <w:name w:val="footnote reference"/>
    <w:basedOn w:val="18"/>
    <w:semiHidden/>
    <w:qFormat/>
    <w:uiPriority w:val="0"/>
    <w:rPr>
      <w:vertAlign w:val="superscript"/>
    </w:rPr>
  </w:style>
  <w:style w:type="character" w:customStyle="1" w:styleId="25">
    <w:name w:val="标题 2 Char"/>
    <w:link w:val="4"/>
    <w:qFormat/>
    <w:uiPriority w:val="0"/>
    <w:rPr>
      <w:rFonts w:ascii="Arial" w:hAnsi="Arial" w:eastAsia="黑体"/>
      <w:b/>
      <w:bCs/>
      <w:sz w:val="32"/>
      <w:szCs w:val="32"/>
    </w:rPr>
  </w:style>
  <w:style w:type="character" w:customStyle="1" w:styleId="26">
    <w:name w:val="页脚 Char"/>
    <w:link w:val="8"/>
    <w:qFormat/>
    <w:uiPriority w:val="99"/>
    <w:rPr>
      <w:kern w:val="2"/>
      <w:sz w:val="18"/>
      <w:szCs w:val="18"/>
    </w:rPr>
  </w:style>
  <w:style w:type="character" w:customStyle="1" w:styleId="27">
    <w:name w:val="页眉 Char"/>
    <w:link w:val="9"/>
    <w:qFormat/>
    <w:uiPriority w:val="0"/>
    <w:rPr>
      <w:kern w:val="2"/>
      <w:sz w:val="18"/>
      <w:szCs w:val="18"/>
    </w:rPr>
  </w:style>
  <w:style w:type="character" w:customStyle="1" w:styleId="28">
    <w:name w:val="15"/>
    <w:basedOn w:val="18"/>
    <w:qFormat/>
    <w:uiPriority w:val="0"/>
    <w:rPr>
      <w:rFonts w:hint="default" w:ascii="Times New Roman" w:hAnsi="Times New Roman" w:cs="Times New Roman"/>
    </w:rPr>
  </w:style>
  <w:style w:type="character" w:customStyle="1" w:styleId="29">
    <w:name w:val="current2"/>
    <w:basedOn w:val="18"/>
    <w:qFormat/>
    <w:uiPriority w:val="0"/>
    <w:rPr>
      <w:b/>
      <w:color w:val="FFFFFF"/>
      <w:bdr w:val="single" w:color="15B800" w:sz="6" w:space="0"/>
      <w:shd w:val="clear" w:color="auto" w:fill="15B800"/>
    </w:rPr>
  </w:style>
  <w:style w:type="character" w:customStyle="1" w:styleId="30">
    <w:name w:val="disabled"/>
    <w:basedOn w:val="18"/>
    <w:qFormat/>
    <w:uiPriority w:val="0"/>
    <w:rPr>
      <w:color w:val="CCCCCC"/>
      <w:bdr w:val="single" w:color="F3F3F3" w:sz="6" w:space="0"/>
    </w:rPr>
  </w:style>
  <w:style w:type="character" w:customStyle="1" w:styleId="31">
    <w:name w:val="fontstyle51"/>
    <w:qFormat/>
    <w:uiPriority w:val="0"/>
    <w:rPr>
      <w:color w:val="231F20"/>
      <w:sz w:val="20"/>
      <w:szCs w:val="20"/>
    </w:rPr>
  </w:style>
  <w:style w:type="character" w:customStyle="1" w:styleId="32">
    <w:name w:val="16"/>
    <w:basedOn w:val="18"/>
    <w:qFormat/>
    <w:uiPriority w:val="0"/>
    <w:rPr>
      <w:rFonts w:hint="default" w:ascii="Times New Roman" w:hAnsi="Times New Roman" w:cs="Times New Roman"/>
    </w:rPr>
  </w:style>
  <w:style w:type="character" w:customStyle="1" w:styleId="33">
    <w:name w:val="on"/>
    <w:basedOn w:val="18"/>
    <w:qFormat/>
    <w:uiPriority w:val="0"/>
    <w:rPr>
      <w:color w:val="FF3300"/>
    </w:rPr>
  </w:style>
  <w:style w:type="character" w:customStyle="1" w:styleId="34">
    <w:name w:val="fontstyle31"/>
    <w:qFormat/>
    <w:uiPriority w:val="0"/>
    <w:rPr>
      <w:rFonts w:hint="eastAsia" w:ascii="宋体" w:hAnsi="宋体" w:eastAsia="宋体"/>
      <w:color w:val="231F20"/>
      <w:sz w:val="20"/>
      <w:szCs w:val="20"/>
    </w:rPr>
  </w:style>
  <w:style w:type="character" w:customStyle="1" w:styleId="35">
    <w:name w:val="fontstyle41"/>
    <w:qFormat/>
    <w:uiPriority w:val="0"/>
    <w:rPr>
      <w:color w:val="231F20"/>
      <w:sz w:val="20"/>
      <w:szCs w:val="20"/>
    </w:rPr>
  </w:style>
  <w:style w:type="character" w:customStyle="1" w:styleId="36">
    <w:name w:val="fontstyle01"/>
    <w:qFormat/>
    <w:uiPriority w:val="0"/>
    <w:rPr>
      <w:rFonts w:hint="default" w:ascii="DLF-3-0-1335754762+ZJZHnC-674" w:hAnsi="DLF-3-0-1335754762+ZJZHnC-674"/>
      <w:color w:val="231F20"/>
      <w:sz w:val="20"/>
      <w:szCs w:val="20"/>
    </w:rPr>
  </w:style>
  <w:style w:type="character" w:customStyle="1" w:styleId="37">
    <w:name w:val="fontstyle21"/>
    <w:qFormat/>
    <w:uiPriority w:val="0"/>
    <w:rPr>
      <w:rFonts w:hint="eastAsia" w:ascii="楷体" w:hAnsi="楷体" w:eastAsia="楷体"/>
      <w:color w:val="231F20"/>
      <w:sz w:val="20"/>
      <w:szCs w:val="20"/>
    </w:rPr>
  </w:style>
  <w:style w:type="paragraph" w:customStyle="1" w:styleId="38">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4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列出段落1"/>
    <w:basedOn w:val="1"/>
    <w:qFormat/>
    <w:uiPriority w:val="34"/>
    <w:pPr>
      <w:ind w:firstLine="420"/>
    </w:pPr>
  </w:style>
  <w:style w:type="paragraph" w:customStyle="1" w:styleId="42">
    <w:name w:val="p16"/>
    <w:basedOn w:val="1"/>
    <w:qFormat/>
    <w:uiPriority w:val="0"/>
    <w:pPr>
      <w:widowControl/>
      <w:spacing w:before="100" w:beforeAutospacing="1" w:after="100" w:afterAutospacing="1"/>
      <w:jc w:val="left"/>
    </w:pPr>
    <w:rPr>
      <w:rFonts w:ascii="宋体" w:hAnsi="宋体" w:cs="宋体"/>
      <w:kern w:val="0"/>
      <w:sz w:val="24"/>
    </w:rPr>
  </w:style>
  <w:style w:type="character" w:customStyle="1" w:styleId="43">
    <w:name w:val="font21"/>
    <w:basedOn w:val="18"/>
    <w:qFormat/>
    <w:uiPriority w:val="0"/>
    <w:rPr>
      <w:rFonts w:ascii="Arial" w:hAnsi="Arial" w:cs="Arial"/>
      <w:color w:val="000000"/>
      <w:sz w:val="24"/>
      <w:szCs w:val="24"/>
      <w:u w:val="none"/>
    </w:rPr>
  </w:style>
  <w:style w:type="character" w:customStyle="1" w:styleId="44">
    <w:name w:val="font41"/>
    <w:basedOn w:val="18"/>
    <w:qFormat/>
    <w:uiPriority w:val="0"/>
    <w:rPr>
      <w:rFonts w:hint="eastAsia" w:ascii="宋体" w:hAnsi="宋体" w:eastAsia="宋体" w:cs="宋体"/>
      <w:color w:val="000000"/>
      <w:sz w:val="16"/>
      <w:szCs w:val="16"/>
      <w:u w:val="none"/>
    </w:rPr>
  </w:style>
  <w:style w:type="character" w:customStyle="1" w:styleId="45">
    <w:name w:val="font51"/>
    <w:basedOn w:val="18"/>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18</Pages>
  <Words>11187</Words>
  <Characters>11942</Characters>
  <Lines>106</Lines>
  <Paragraphs>30</Paragraphs>
  <TotalTime>66</TotalTime>
  <ScaleCrop>false</ScaleCrop>
  <LinksUpToDate>false</LinksUpToDate>
  <CharactersWithSpaces>12095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2017-09-29T01:39:00Z</dcterms:created>
  <dc:creator>ychen</dc:creator>
  <cp:lastModifiedBy>HP</cp:lastModifiedBy>
  <cp:lastPrinted>2022-12-16T07:29:25Z</cp:lastPrinted>
  <dcterms:modified xsi:type="dcterms:W3CDTF">2022-12-16T07:34:01Z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F2B3ED7DD7F449CEAE1674BB6CE46473</vt:lpwstr>
  </property>
</Properties>
</file>