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4B1CCC">
      <w:pPr>
        <w:widowControl w:val="0"/>
        <w:overflowPunct w:val="0"/>
        <w:jc w:val="center"/>
        <w:rPr>
          <w:rFonts w:hint="eastAsia" w:ascii="黑体" w:hAnsi="黑体" w:eastAsia="黑体" w:cs="黑体"/>
          <w:spacing w:val="4"/>
          <w:sz w:val="44"/>
          <w:szCs w:val="44"/>
          <w:lang w:eastAsia="zh-CN"/>
        </w:rPr>
      </w:pPr>
      <w:bookmarkStart w:id="0" w:name="_Hlk174307505"/>
    </w:p>
    <w:p w14:paraId="299C79D4">
      <w:pPr>
        <w:widowControl w:val="0"/>
        <w:overflowPunct w:val="0"/>
        <w:jc w:val="center"/>
        <w:rPr>
          <w:rFonts w:hint="eastAsia" w:ascii="黑体" w:hAnsi="黑体" w:eastAsia="黑体" w:cs="黑体"/>
          <w:spacing w:val="4"/>
          <w:sz w:val="44"/>
          <w:szCs w:val="44"/>
          <w:lang w:eastAsia="zh-CN"/>
        </w:rPr>
      </w:pPr>
    </w:p>
    <w:p w14:paraId="72FA8AEF">
      <w:pPr>
        <w:widowControl w:val="0"/>
        <w:overflowPunct w:val="0"/>
        <w:jc w:val="center"/>
        <w:rPr>
          <w:rFonts w:hint="eastAsia" w:ascii="黑体" w:hAnsi="黑体" w:eastAsia="黑体" w:cs="黑体"/>
          <w:spacing w:val="4"/>
          <w:sz w:val="44"/>
          <w:szCs w:val="44"/>
          <w:lang w:eastAsia="zh-CN"/>
        </w:rPr>
      </w:pPr>
    </w:p>
    <w:p w14:paraId="10B0F9A0">
      <w:pPr>
        <w:widowControl w:val="0"/>
        <w:overflowPunct w:val="0"/>
        <w:jc w:val="center"/>
        <w:rPr>
          <w:rFonts w:hint="eastAsia" w:ascii="黑体" w:hAnsi="黑体" w:eastAsia="黑体" w:cs="黑体"/>
          <w:spacing w:val="4"/>
          <w:sz w:val="44"/>
          <w:szCs w:val="44"/>
          <w:lang w:eastAsia="zh-CN"/>
        </w:rPr>
      </w:pPr>
      <w:r>
        <w:rPr>
          <w:rFonts w:hint="eastAsia" w:ascii="黑体" w:hAnsi="黑体" w:eastAsia="黑体" w:cs="黑体"/>
          <w:spacing w:val="4"/>
          <w:sz w:val="44"/>
          <w:szCs w:val="44"/>
          <w:lang w:eastAsia="zh-CN"/>
        </w:rPr>
        <w:t>泉州市洛江区应急管理局</w:t>
      </w:r>
    </w:p>
    <w:p w14:paraId="706519E8">
      <w:pPr>
        <w:widowControl w:val="0"/>
        <w:overflowPunct w:val="0"/>
        <w:jc w:val="center"/>
        <w:rPr>
          <w:rFonts w:hint="eastAsia" w:ascii="黑体" w:hAnsi="黑体" w:eastAsia="黑体" w:cs="黑体"/>
          <w:spacing w:val="4"/>
          <w:sz w:val="44"/>
          <w:szCs w:val="44"/>
          <w:lang w:eastAsia="zh-CN"/>
        </w:rPr>
      </w:pPr>
      <w:r>
        <w:rPr>
          <w:rFonts w:hint="eastAsia" w:ascii="黑体" w:hAnsi="黑体" w:eastAsia="黑体" w:cs="黑体"/>
          <w:spacing w:val="4"/>
          <w:sz w:val="44"/>
          <w:szCs w:val="44"/>
          <w:lang w:eastAsia="zh-CN"/>
        </w:rPr>
        <w:t>部门</w:t>
      </w:r>
      <w:bookmarkStart w:id="1" w:name="_Toc12298"/>
      <w:bookmarkStart w:id="2" w:name="_Toc16249"/>
      <w:bookmarkStart w:id="3" w:name="_Toc14919"/>
      <w:bookmarkStart w:id="4" w:name="_Toc21913"/>
      <w:bookmarkStart w:id="5" w:name="_Toc30332"/>
      <w:bookmarkStart w:id="6" w:name="_Toc13715"/>
      <w:bookmarkStart w:id="7" w:name="_Toc8216"/>
      <w:bookmarkStart w:id="8" w:name="_Toc15425"/>
      <w:r>
        <w:rPr>
          <w:rFonts w:hint="eastAsia" w:ascii="黑体" w:hAnsi="黑体" w:eastAsia="黑体" w:cs="黑体"/>
          <w:spacing w:val="4"/>
          <w:sz w:val="44"/>
          <w:szCs w:val="44"/>
          <w:lang w:eastAsia="zh-CN"/>
        </w:rPr>
        <w:t>整体支出绩效评价报告</w:t>
      </w:r>
      <w:bookmarkEnd w:id="1"/>
      <w:bookmarkEnd w:id="2"/>
      <w:bookmarkEnd w:id="3"/>
      <w:bookmarkEnd w:id="4"/>
      <w:bookmarkEnd w:id="5"/>
      <w:bookmarkEnd w:id="6"/>
      <w:bookmarkEnd w:id="7"/>
      <w:bookmarkEnd w:id="8"/>
    </w:p>
    <w:p w14:paraId="719FCE9E">
      <w:pPr>
        <w:pStyle w:val="56"/>
        <w:widowControl w:val="0"/>
        <w:kinsoku w:val="0"/>
        <w:wordWrap/>
        <w:overflowPunct w:val="0"/>
        <w:autoSpaceDE w:val="0"/>
        <w:autoSpaceDN w:val="0"/>
        <w:rPr>
          <w:rFonts w:hint="eastAsia" w:ascii="黑体" w:hAnsi="黑体" w:eastAsia="黑体" w:cs="黑体"/>
          <w:sz w:val="20"/>
          <w:szCs w:val="21"/>
          <w:highlight w:val="yellow"/>
        </w:rPr>
      </w:pPr>
    </w:p>
    <w:p w14:paraId="1AC66EA0">
      <w:pPr>
        <w:widowControl w:val="0"/>
        <w:overflowPunct w:val="0"/>
        <w:rPr>
          <w:rFonts w:hint="eastAsia" w:ascii="黑体" w:hAnsi="黑体" w:eastAsia="黑体" w:cs="黑体"/>
          <w:color w:val="auto"/>
          <w:sz w:val="20"/>
          <w:szCs w:val="22"/>
          <w:highlight w:val="yellow"/>
          <w:lang w:eastAsia="zh-CN"/>
        </w:rPr>
      </w:pPr>
    </w:p>
    <w:p w14:paraId="498EA0E7">
      <w:pPr>
        <w:pStyle w:val="55"/>
        <w:widowControl w:val="0"/>
        <w:overflowPunct w:val="0"/>
        <w:rPr>
          <w:rFonts w:hint="eastAsia" w:ascii="黑体" w:hAnsi="黑体" w:eastAsia="黑体" w:cs="黑体"/>
          <w:color w:val="auto"/>
          <w:sz w:val="16"/>
          <w:szCs w:val="16"/>
          <w:highlight w:val="yellow"/>
          <w:lang w:eastAsia="zh-CN"/>
        </w:rPr>
      </w:pPr>
    </w:p>
    <w:p w14:paraId="7FBFA145">
      <w:pPr>
        <w:pStyle w:val="56"/>
        <w:widowControl w:val="0"/>
        <w:kinsoku w:val="0"/>
        <w:wordWrap/>
        <w:overflowPunct w:val="0"/>
        <w:autoSpaceDE w:val="0"/>
        <w:autoSpaceDN w:val="0"/>
        <w:rPr>
          <w:rFonts w:hint="eastAsia" w:ascii="黑体" w:hAnsi="黑体" w:eastAsia="黑体" w:cs="黑体"/>
          <w:sz w:val="20"/>
          <w:szCs w:val="21"/>
          <w:highlight w:val="yellow"/>
        </w:rPr>
      </w:pPr>
    </w:p>
    <w:p w14:paraId="759ACEB9">
      <w:pPr>
        <w:widowControl w:val="0"/>
        <w:overflowPunct w:val="0"/>
        <w:spacing w:line="360" w:lineRule="auto"/>
        <w:ind w:firstLine="1131" w:firstLineChars="345"/>
        <w:jc w:val="center"/>
        <w:rPr>
          <w:rFonts w:hint="eastAsia" w:ascii="黑体" w:hAnsi="黑体" w:eastAsia="黑体" w:cs="黑体"/>
          <w:color w:val="auto"/>
          <w:spacing w:val="4"/>
          <w:sz w:val="32"/>
          <w:szCs w:val="32"/>
          <w:highlight w:val="yellow"/>
          <w:lang w:eastAsia="zh-CN"/>
        </w:rPr>
      </w:pPr>
    </w:p>
    <w:p w14:paraId="4EF97662">
      <w:pPr>
        <w:pStyle w:val="55"/>
        <w:widowControl w:val="0"/>
        <w:overflowPunct w:val="0"/>
        <w:rPr>
          <w:color w:val="auto"/>
          <w:sz w:val="16"/>
          <w:szCs w:val="16"/>
          <w:highlight w:val="yellow"/>
          <w:lang w:eastAsia="zh-CN"/>
        </w:rPr>
      </w:pPr>
    </w:p>
    <w:p w14:paraId="533F6C16">
      <w:pPr>
        <w:pStyle w:val="55"/>
        <w:widowControl w:val="0"/>
        <w:overflowPunct w:val="0"/>
        <w:rPr>
          <w:color w:val="auto"/>
          <w:sz w:val="16"/>
          <w:szCs w:val="16"/>
          <w:highlight w:val="yellow"/>
          <w:lang w:eastAsia="zh-CN"/>
        </w:rPr>
      </w:pPr>
    </w:p>
    <w:p w14:paraId="432263B4">
      <w:pPr>
        <w:pStyle w:val="56"/>
        <w:widowControl w:val="0"/>
        <w:kinsoku w:val="0"/>
        <w:wordWrap/>
        <w:overflowPunct w:val="0"/>
        <w:autoSpaceDE w:val="0"/>
        <w:autoSpaceDN w:val="0"/>
        <w:rPr>
          <w:sz w:val="32"/>
          <w:szCs w:val="32"/>
        </w:rPr>
      </w:pPr>
    </w:p>
    <w:p w14:paraId="1957D6D2">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项目单位：</w:t>
      </w:r>
      <w:r>
        <w:rPr>
          <w:rFonts w:hint="eastAsia" w:ascii="黑体" w:hAnsi="黑体" w:eastAsia="黑体" w:cs="黑体"/>
          <w:color w:val="auto"/>
          <w:sz w:val="32"/>
          <w:szCs w:val="32"/>
          <w:u w:val="single"/>
          <w:lang w:eastAsia="zh-CN"/>
        </w:rPr>
        <w:t xml:space="preserve">     泉州市洛江区应急管理局       </w:t>
      </w:r>
    </w:p>
    <w:p w14:paraId="59D8F561">
      <w:pPr>
        <w:pStyle w:val="55"/>
        <w:widowControl w:val="0"/>
        <w:overflowPunct w:val="0"/>
        <w:rPr>
          <w:color w:val="auto"/>
          <w:sz w:val="32"/>
          <w:szCs w:val="32"/>
          <w:lang w:eastAsia="zh-CN"/>
        </w:rPr>
      </w:pPr>
    </w:p>
    <w:p w14:paraId="734A61D4">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委托单位：</w:t>
      </w:r>
      <w:r>
        <w:rPr>
          <w:rFonts w:hint="eastAsia" w:ascii="黑体" w:hAnsi="黑体" w:eastAsia="黑体" w:cs="黑体"/>
          <w:color w:val="auto"/>
          <w:sz w:val="32"/>
          <w:szCs w:val="32"/>
          <w:u w:val="single"/>
          <w:lang w:eastAsia="zh-CN"/>
        </w:rPr>
        <w:t xml:space="preserve">       泉州市洛江区财政局         </w:t>
      </w:r>
    </w:p>
    <w:p w14:paraId="0797E8D2">
      <w:pPr>
        <w:pStyle w:val="490"/>
        <w:widowControl w:val="0"/>
        <w:overflowPunct w:val="0"/>
        <w:ind w:firstLine="640"/>
        <w:rPr>
          <w:rFonts w:hint="eastAsia" w:ascii="黑体" w:hAnsi="黑体" w:eastAsia="黑体" w:cs="黑体"/>
          <w:color w:val="auto"/>
          <w:szCs w:val="32"/>
          <w:lang w:eastAsia="zh-CN"/>
        </w:rPr>
      </w:pPr>
    </w:p>
    <w:p w14:paraId="69CB7BDB">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评价机构：</w:t>
      </w:r>
      <w:r>
        <w:rPr>
          <w:rFonts w:hint="eastAsia" w:ascii="黑体" w:hAnsi="黑体" w:eastAsia="黑体" w:cs="黑体"/>
          <w:color w:val="auto"/>
          <w:sz w:val="32"/>
          <w:szCs w:val="32"/>
          <w:u w:val="single"/>
          <w:lang w:eastAsia="zh-CN"/>
        </w:rPr>
        <w:t xml:space="preserve">   泉州市启程财务咨询有限公司     </w:t>
      </w:r>
    </w:p>
    <w:p w14:paraId="3E5B69E8">
      <w:pPr>
        <w:pStyle w:val="490"/>
        <w:widowControl w:val="0"/>
        <w:overflowPunct w:val="0"/>
        <w:ind w:firstLine="0" w:firstLineChars="0"/>
        <w:rPr>
          <w:rFonts w:hint="eastAsia" w:ascii="黑体" w:hAnsi="黑体" w:eastAsia="黑体" w:cs="黑体"/>
          <w:color w:val="auto"/>
          <w:szCs w:val="32"/>
          <w:lang w:eastAsia="zh-CN"/>
        </w:rPr>
      </w:pPr>
    </w:p>
    <w:p w14:paraId="53FAD1F5">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评价时间：</w:t>
      </w:r>
      <w:r>
        <w:rPr>
          <w:rFonts w:hint="eastAsia" w:ascii="黑体" w:hAnsi="黑体" w:eastAsia="黑体" w:cs="黑体"/>
          <w:color w:val="auto"/>
          <w:sz w:val="32"/>
          <w:szCs w:val="32"/>
          <w:u w:val="single"/>
          <w:lang w:eastAsia="zh-CN"/>
        </w:rPr>
        <w:t xml:space="preserve">        2024年</w:t>
      </w:r>
      <w:r>
        <w:rPr>
          <w:rFonts w:hint="eastAsia" w:ascii="黑体" w:hAnsi="黑体" w:eastAsia="黑体" w:cs="黑体"/>
          <w:color w:val="auto"/>
          <w:sz w:val="32"/>
          <w:szCs w:val="32"/>
          <w:u w:val="single"/>
          <w:lang w:val="en-US" w:eastAsia="zh-CN"/>
        </w:rPr>
        <w:t>12</w:t>
      </w:r>
      <w:r>
        <w:rPr>
          <w:rFonts w:hint="eastAsia" w:ascii="黑体" w:hAnsi="黑体" w:eastAsia="黑体" w:cs="黑体"/>
          <w:color w:val="auto"/>
          <w:sz w:val="32"/>
          <w:szCs w:val="32"/>
          <w:u w:val="single"/>
          <w:lang w:eastAsia="zh-CN"/>
        </w:rPr>
        <w:t xml:space="preserve">月               </w:t>
      </w:r>
    </w:p>
    <w:p w14:paraId="58557453">
      <w:pPr>
        <w:widowControl w:val="0"/>
        <w:overflowPunct w:val="0"/>
        <w:spacing w:line="760" w:lineRule="exact"/>
        <w:jc w:val="center"/>
        <w:rPr>
          <w:rFonts w:hint="eastAsia" w:ascii="黑体" w:hAnsi="黑体" w:eastAsia="黑体" w:cs="黑体"/>
          <w:color w:val="auto"/>
          <w:spacing w:val="4"/>
          <w:sz w:val="32"/>
          <w:szCs w:val="32"/>
          <w:highlight w:val="yellow"/>
          <w:lang w:eastAsia="zh-CN"/>
        </w:rPr>
      </w:pPr>
    </w:p>
    <w:p w14:paraId="615C8990">
      <w:pPr>
        <w:pStyle w:val="55"/>
        <w:widowControl w:val="0"/>
        <w:overflowPunct w:val="0"/>
        <w:rPr>
          <w:rFonts w:hint="eastAsia" w:ascii="黑体" w:hAnsi="黑体" w:eastAsia="黑体" w:cs="黑体"/>
          <w:color w:val="auto"/>
          <w:spacing w:val="4"/>
          <w:sz w:val="32"/>
          <w:szCs w:val="32"/>
          <w:highlight w:val="yellow"/>
          <w:lang w:eastAsia="zh-CN"/>
        </w:rPr>
      </w:pPr>
    </w:p>
    <w:p w14:paraId="36164B5B">
      <w:pPr>
        <w:pStyle w:val="56"/>
        <w:widowControl w:val="0"/>
        <w:kinsoku w:val="0"/>
        <w:wordWrap/>
        <w:overflowPunct w:val="0"/>
        <w:autoSpaceDE w:val="0"/>
        <w:autoSpaceDN w:val="0"/>
        <w:rPr>
          <w:rFonts w:hint="eastAsia" w:ascii="黑体" w:hAnsi="黑体" w:eastAsia="黑体" w:cs="黑体"/>
          <w:spacing w:val="4"/>
          <w:sz w:val="32"/>
          <w:szCs w:val="32"/>
          <w:highlight w:val="yellow"/>
        </w:rPr>
      </w:pPr>
    </w:p>
    <w:p w14:paraId="1055A712">
      <w:pPr>
        <w:widowControl w:val="0"/>
        <w:overflowPunct w:val="0"/>
        <w:rPr>
          <w:color w:val="auto"/>
          <w:sz w:val="32"/>
          <w:szCs w:val="32"/>
          <w:highlight w:val="yellow"/>
          <w:lang w:eastAsia="zh-CN"/>
        </w:rPr>
      </w:pPr>
    </w:p>
    <w:p w14:paraId="40F71C2E">
      <w:pPr>
        <w:pStyle w:val="56"/>
        <w:widowControl w:val="0"/>
        <w:kinsoku w:val="0"/>
        <w:wordWrap/>
        <w:overflowPunct w:val="0"/>
        <w:autoSpaceDE w:val="0"/>
        <w:autoSpaceDN w:val="0"/>
        <w:jc w:val="center"/>
        <w:rPr>
          <w:rFonts w:hint="eastAsia" w:ascii="黑体" w:hAnsi="黑体" w:eastAsia="黑体" w:cs="黑体"/>
          <w:spacing w:val="4"/>
          <w:sz w:val="32"/>
          <w:szCs w:val="32"/>
          <w:highlight w:val="yellow"/>
        </w:rPr>
      </w:pPr>
    </w:p>
    <w:p w14:paraId="6300E4DB">
      <w:pPr>
        <w:widowControl w:val="0"/>
        <w:overflowPunct w:val="0"/>
        <w:spacing w:line="360" w:lineRule="auto"/>
        <w:jc w:val="center"/>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2024年</w:t>
      </w:r>
      <w:r>
        <w:rPr>
          <w:rFonts w:hint="eastAsia" w:ascii="黑体" w:hAnsi="黑体" w:eastAsia="黑体" w:cs="黑体"/>
          <w:color w:val="auto"/>
          <w:sz w:val="32"/>
          <w:szCs w:val="32"/>
          <w:lang w:val="en-US" w:eastAsia="zh-CN"/>
        </w:rPr>
        <w:t>12</w:t>
      </w:r>
      <w:r>
        <w:rPr>
          <w:rFonts w:hint="eastAsia" w:ascii="黑体" w:hAnsi="黑体" w:eastAsia="黑体" w:cs="黑体"/>
          <w:color w:val="auto"/>
          <w:sz w:val="32"/>
          <w:szCs w:val="32"/>
          <w:lang w:eastAsia="zh-CN"/>
        </w:rPr>
        <w:t>月</w:t>
      </w:r>
    </w:p>
    <w:p w14:paraId="34587EB9">
      <w:pPr>
        <w:widowControl w:val="0"/>
        <w:overflowPunct w:val="0"/>
        <w:spacing w:line="760" w:lineRule="exact"/>
        <w:rPr>
          <w:rFonts w:hint="eastAsia" w:ascii="黑体" w:hAnsi="黑体" w:eastAsia="黑体" w:cs="黑体"/>
          <w:color w:val="auto"/>
          <w:spacing w:val="4"/>
          <w:sz w:val="32"/>
          <w:szCs w:val="32"/>
          <w:lang w:eastAsia="zh-CN"/>
        </w:rPr>
      </w:pPr>
      <w:r>
        <w:rPr>
          <w:rFonts w:hint="eastAsia" w:ascii="黑体" w:hAnsi="黑体" w:eastAsia="黑体" w:cs="黑体"/>
          <w:color w:val="auto"/>
          <w:spacing w:val="4"/>
          <w:sz w:val="32"/>
          <w:szCs w:val="32"/>
          <w:lang w:eastAsia="zh-CN"/>
        </w:rPr>
        <w:t xml:space="preserve">   </w:t>
      </w:r>
    </w:p>
    <w:p w14:paraId="6FFF28F1">
      <w:pPr>
        <w:widowControl w:val="0"/>
        <w:overflowPunct w:val="0"/>
        <w:spacing w:line="760" w:lineRule="exact"/>
        <w:jc w:val="both"/>
        <w:rPr>
          <w:rFonts w:hint="eastAsia" w:ascii="黑体" w:hAnsi="黑体" w:eastAsia="黑体" w:cs="黑体"/>
          <w:color w:val="auto"/>
          <w:spacing w:val="4"/>
          <w:sz w:val="32"/>
          <w:szCs w:val="32"/>
          <w:lang w:eastAsia="zh-CN"/>
        </w:rPr>
      </w:pPr>
      <w:bookmarkStart w:id="9" w:name="_Toc30028"/>
      <w:bookmarkStart w:id="10" w:name="_Toc15437"/>
      <w:bookmarkStart w:id="11" w:name="_Toc23378"/>
      <w:bookmarkStart w:id="12" w:name="_Toc1930"/>
      <w:bookmarkStart w:id="13" w:name="_Toc3359"/>
    </w:p>
    <w:bookmarkEnd w:id="9"/>
    <w:bookmarkEnd w:id="10"/>
    <w:bookmarkEnd w:id="11"/>
    <w:bookmarkEnd w:id="12"/>
    <w:bookmarkEnd w:id="13"/>
    <w:p w14:paraId="27E1A057">
      <w:pPr>
        <w:widowControl w:val="0"/>
        <w:overflowPunct w:val="0"/>
        <w:jc w:val="center"/>
        <w:rPr>
          <w:rFonts w:hint="eastAsia" w:ascii="黑体" w:hAnsi="黑体" w:eastAsia="黑体" w:cs="黑体"/>
          <w:color w:val="auto"/>
          <w:sz w:val="28"/>
          <w:szCs w:val="28"/>
          <w:highlight w:val="yellow"/>
        </w:rPr>
      </w:pPr>
    </w:p>
    <w:p w14:paraId="15D0E6C0">
      <w:pPr>
        <w:kinsoku/>
        <w:autoSpaceDE/>
        <w:autoSpaceDN/>
        <w:adjustRightInd/>
        <w:snapToGrid/>
        <w:textAlignment w:val="auto"/>
        <w:rPr>
          <w:rFonts w:hint="eastAsia" w:ascii="仿宋" w:hAnsi="仿宋" w:eastAsia="仿宋" w:cs="仿宋"/>
          <w:color w:val="auto"/>
          <w:spacing w:val="-2"/>
          <w:sz w:val="28"/>
          <w:szCs w:val="28"/>
          <w:lang w:eastAsia="zh-CN"/>
        </w:rPr>
      </w:pPr>
      <w:r>
        <w:rPr>
          <w:rFonts w:hint="eastAsia" w:ascii="仿宋" w:hAnsi="仿宋" w:eastAsia="仿宋" w:cs="仿宋"/>
          <w:color w:val="auto"/>
          <w:spacing w:val="-2"/>
          <w:sz w:val="28"/>
          <w:szCs w:val="28"/>
          <w:lang w:eastAsia="zh-CN"/>
        </w:rPr>
        <w:br w:type="page"/>
      </w:r>
    </w:p>
    <w:sdt>
      <w:sdtPr>
        <w:rPr>
          <w:rFonts w:ascii="Arial" w:hAnsi="Arial" w:eastAsia="Arial" w:cs="Arial"/>
          <w:snapToGrid w:val="0"/>
          <w:color w:val="000000"/>
          <w:sz w:val="21"/>
          <w:szCs w:val="21"/>
          <w:lang w:val="zh-CN" w:eastAsia="en-US"/>
        </w:rPr>
        <w:id w:val="1405872457"/>
        <w:docPartObj>
          <w:docPartGallery w:val="Table of Contents"/>
          <w:docPartUnique/>
        </w:docPartObj>
      </w:sdtPr>
      <w:sdtEndPr>
        <w:rPr>
          <w:rFonts w:ascii="仿宋" w:hAnsi="仿宋" w:eastAsia="仿宋" w:cs="Arial"/>
          <w:snapToGrid w:val="0"/>
          <w:color w:val="000000"/>
          <w:sz w:val="24"/>
          <w:szCs w:val="24"/>
          <w:lang w:val="zh-CN" w:eastAsia="en-US"/>
        </w:rPr>
      </w:sdtEndPr>
      <w:sdtContent>
        <w:p w14:paraId="43B3097C">
          <w:pPr>
            <w:pStyle w:val="866"/>
            <w:spacing w:line="360" w:lineRule="auto"/>
            <w:jc w:val="center"/>
            <w:rPr>
              <w:rFonts w:hint="eastAsia" w:ascii="仿宋" w:hAnsi="仿宋" w:eastAsia="仿宋"/>
              <w:b/>
              <w:bCs/>
              <w:color w:val="auto"/>
              <w:sz w:val="24"/>
              <w:szCs w:val="24"/>
            </w:rPr>
          </w:pPr>
          <w:r>
            <w:rPr>
              <w:rFonts w:ascii="仿宋" w:hAnsi="仿宋" w:eastAsia="仿宋"/>
              <w:b/>
              <w:bCs/>
              <w:color w:val="auto"/>
              <w:sz w:val="24"/>
              <w:szCs w:val="24"/>
              <w:lang w:val="zh-CN"/>
            </w:rPr>
            <w:t>目录</w:t>
          </w:r>
        </w:p>
        <w:p w14:paraId="04C08A31">
          <w:pPr>
            <w:pStyle w:val="60"/>
            <w:tabs>
              <w:tab w:val="right" w:leader="dot" w:pos="9337"/>
            </w:tabs>
            <w:spacing w:line="360" w:lineRule="auto"/>
            <w:rPr>
              <w:rStyle w:val="473"/>
            </w:rPr>
          </w:pPr>
          <w:r>
            <w:rPr>
              <w:rStyle w:val="473"/>
              <w:rFonts w:ascii="仿宋" w:hAnsi="仿宋" w:eastAsia="仿宋" w:cs="仿宋"/>
              <w:spacing w:val="-2"/>
              <w:sz w:val="24"/>
              <w:szCs w:val="24"/>
              <w:lang w:eastAsia="zh-CN"/>
            </w:rPr>
            <w:fldChar w:fldCharType="begin"/>
          </w:r>
          <w:r>
            <w:rPr>
              <w:rStyle w:val="473"/>
              <w:rFonts w:ascii="仿宋" w:hAnsi="仿宋" w:eastAsia="仿宋" w:cs="仿宋"/>
              <w:spacing w:val="-2"/>
              <w:sz w:val="24"/>
              <w:szCs w:val="24"/>
              <w:lang w:eastAsia="zh-CN"/>
            </w:rPr>
            <w:instrText xml:space="preserve"> TOC \o "1-3" \h \z \u </w:instrText>
          </w:r>
          <w:r>
            <w:rPr>
              <w:rStyle w:val="473"/>
              <w:rFonts w:ascii="仿宋" w:hAnsi="仿宋" w:eastAsia="仿宋" w:cs="仿宋"/>
              <w:spacing w:val="-2"/>
              <w:sz w:val="24"/>
              <w:szCs w:val="24"/>
              <w:lang w:eastAsia="zh-CN"/>
            </w:rPr>
            <w:fldChar w:fldCharType="separate"/>
          </w:r>
          <w:r>
            <w:fldChar w:fldCharType="begin"/>
          </w:r>
          <w:r>
            <w:instrText xml:space="preserve"> HYPERLINK \l "_Toc182903987" </w:instrText>
          </w:r>
          <w:r>
            <w:fldChar w:fldCharType="separate"/>
          </w:r>
          <w:r>
            <w:rPr>
              <w:rStyle w:val="473"/>
              <w:rFonts w:hint="eastAsia" w:ascii="仿宋" w:hAnsi="仿宋" w:eastAsia="仿宋"/>
              <w:sz w:val="24"/>
              <w:szCs w:val="24"/>
              <w:lang w:eastAsia="zh-CN"/>
            </w:rPr>
            <w:t>一、部门概况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_Toc182903987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5</w:t>
          </w:r>
          <w:r>
            <w:rPr>
              <w:rStyle w:val="473"/>
              <w:rFonts w:hint="eastAsia"/>
              <w:lang w:eastAsia="zh-CN"/>
            </w:rPr>
            <w:fldChar w:fldCharType="end"/>
          </w:r>
          <w:r>
            <w:rPr>
              <w:rStyle w:val="473"/>
              <w:rFonts w:hint="eastAsia"/>
              <w:lang w:eastAsia="zh-CN"/>
            </w:rPr>
            <w:fldChar w:fldCharType="end"/>
          </w:r>
        </w:p>
        <w:p w14:paraId="69823E48">
          <w:pPr>
            <w:pStyle w:val="75"/>
            <w:tabs>
              <w:tab w:val="right" w:leader="dot" w:pos="9337"/>
            </w:tabs>
            <w:spacing w:line="360" w:lineRule="auto"/>
            <w:rPr>
              <w:rStyle w:val="473"/>
            </w:rPr>
          </w:pPr>
          <w:r>
            <w:fldChar w:fldCharType="begin"/>
          </w:r>
          <w:r>
            <w:instrText xml:space="preserve"> HYPERLINK \l "_Toc182903988" </w:instrText>
          </w:r>
          <w:r>
            <w:fldChar w:fldCharType="separate"/>
          </w:r>
          <w:r>
            <w:rPr>
              <w:rStyle w:val="473"/>
              <w:rFonts w:hint="eastAsia" w:ascii="仿宋" w:hAnsi="仿宋" w:eastAsia="仿宋"/>
              <w:sz w:val="24"/>
              <w:szCs w:val="24"/>
              <w:lang w:eastAsia="zh-CN"/>
            </w:rPr>
            <w:t>（一）主要职责</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_Toc182903988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5</w:t>
          </w:r>
          <w:r>
            <w:rPr>
              <w:rStyle w:val="473"/>
              <w:rFonts w:hint="eastAsia"/>
              <w:lang w:eastAsia="zh-CN"/>
            </w:rPr>
            <w:fldChar w:fldCharType="end"/>
          </w:r>
          <w:r>
            <w:rPr>
              <w:rStyle w:val="473"/>
              <w:rFonts w:hint="eastAsia"/>
              <w:lang w:eastAsia="zh-CN"/>
            </w:rPr>
            <w:fldChar w:fldCharType="end"/>
          </w:r>
        </w:p>
        <w:p w14:paraId="449C511C">
          <w:pPr>
            <w:pStyle w:val="75"/>
            <w:tabs>
              <w:tab w:val="right" w:leader="dot" w:pos="9337"/>
            </w:tabs>
            <w:spacing w:line="360" w:lineRule="auto"/>
            <w:rPr>
              <w:rStyle w:val="473"/>
            </w:rPr>
          </w:pPr>
          <w:r>
            <w:fldChar w:fldCharType="begin"/>
          </w:r>
          <w:r>
            <w:instrText xml:space="preserve"> HYPERLINK \l "_Toc182903989" </w:instrText>
          </w:r>
          <w:r>
            <w:fldChar w:fldCharType="separate"/>
          </w:r>
          <w:r>
            <w:rPr>
              <w:rStyle w:val="473"/>
              <w:rFonts w:hint="eastAsia" w:ascii="仿宋" w:hAnsi="仿宋" w:eastAsia="仿宋"/>
              <w:sz w:val="24"/>
              <w:szCs w:val="24"/>
              <w:lang w:eastAsia="zh-CN"/>
            </w:rPr>
            <w:t>（二）单位构成及人员结构：</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_Toc182903989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7</w:t>
          </w:r>
          <w:r>
            <w:rPr>
              <w:rStyle w:val="473"/>
              <w:rFonts w:hint="eastAsia"/>
              <w:lang w:eastAsia="zh-CN"/>
            </w:rPr>
            <w:fldChar w:fldCharType="end"/>
          </w:r>
          <w:r>
            <w:rPr>
              <w:rStyle w:val="473"/>
              <w:rFonts w:hint="eastAsia"/>
              <w:lang w:eastAsia="zh-CN"/>
            </w:rPr>
            <w:fldChar w:fldCharType="end"/>
          </w:r>
        </w:p>
        <w:p w14:paraId="3BE069CD">
          <w:pPr>
            <w:pStyle w:val="75"/>
            <w:tabs>
              <w:tab w:val="right" w:leader="dot" w:pos="9337"/>
            </w:tabs>
            <w:spacing w:line="360" w:lineRule="auto"/>
            <w:rPr>
              <w:rStyle w:val="473"/>
            </w:rPr>
          </w:pPr>
          <w:r>
            <w:fldChar w:fldCharType="begin"/>
          </w:r>
          <w:r>
            <w:instrText xml:space="preserve"> HYPERLINK \l "_Toc182903990" </w:instrText>
          </w:r>
          <w:r>
            <w:fldChar w:fldCharType="separate"/>
          </w:r>
          <w:r>
            <w:rPr>
              <w:rStyle w:val="473"/>
              <w:rFonts w:hint="eastAsia" w:ascii="仿宋" w:hAnsi="仿宋" w:eastAsia="仿宋"/>
              <w:sz w:val="24"/>
              <w:szCs w:val="24"/>
              <w:lang w:eastAsia="zh-CN"/>
            </w:rPr>
            <w:t>（三）部门管理制度</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9</w:t>
          </w:r>
          <w:r>
            <w:rPr>
              <w:rStyle w:val="473"/>
              <w:rFonts w:hint="eastAsia"/>
              <w:lang w:eastAsia="zh-CN"/>
            </w:rPr>
            <w:fldChar w:fldCharType="end"/>
          </w:r>
          <w:r>
            <w:rPr>
              <w:rStyle w:val="473"/>
              <w:rFonts w:hint="eastAsia"/>
              <w:lang w:eastAsia="zh-CN"/>
            </w:rPr>
            <w:fldChar w:fldCharType="end"/>
          </w:r>
        </w:p>
        <w:p w14:paraId="2B47B404">
          <w:pPr>
            <w:pStyle w:val="75"/>
            <w:tabs>
              <w:tab w:val="right" w:leader="dot" w:pos="9337"/>
            </w:tabs>
            <w:spacing w:line="360" w:lineRule="auto"/>
            <w:rPr>
              <w:rStyle w:val="473"/>
            </w:rPr>
          </w:pPr>
          <w:r>
            <w:fldChar w:fldCharType="begin"/>
          </w:r>
          <w:r>
            <w:instrText xml:space="preserve"> HYPERLINK \l "_Toc182903991" </w:instrText>
          </w:r>
          <w:r>
            <w:fldChar w:fldCharType="separate"/>
          </w:r>
          <w:r>
            <w:rPr>
              <w:rStyle w:val="473"/>
              <w:rFonts w:hint="eastAsia" w:ascii="仿宋" w:hAnsi="仿宋" w:eastAsia="仿宋"/>
              <w:sz w:val="24"/>
              <w:szCs w:val="24"/>
              <w:lang w:eastAsia="zh-CN"/>
            </w:rPr>
            <w:t>（四）部门整体收支情况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9</w:t>
          </w:r>
          <w:r>
            <w:rPr>
              <w:rStyle w:val="473"/>
              <w:rFonts w:hint="eastAsia"/>
              <w:lang w:eastAsia="zh-CN"/>
            </w:rPr>
            <w:fldChar w:fldCharType="end"/>
          </w:r>
          <w:r>
            <w:rPr>
              <w:rStyle w:val="473"/>
              <w:rFonts w:hint="eastAsia"/>
              <w:lang w:eastAsia="zh-CN"/>
            </w:rPr>
            <w:fldChar w:fldCharType="end"/>
          </w:r>
        </w:p>
        <w:p w14:paraId="78D1CF6C">
          <w:pPr>
            <w:pStyle w:val="45"/>
            <w:tabs>
              <w:tab w:val="right" w:leader="dot" w:pos="9337"/>
            </w:tabs>
            <w:spacing w:line="360" w:lineRule="auto"/>
            <w:rPr>
              <w:rStyle w:val="473"/>
            </w:rPr>
          </w:pPr>
          <w:r>
            <w:fldChar w:fldCharType="begin"/>
          </w:r>
          <w:r>
            <w:instrText xml:space="preserve"> HYPERLINK \l "_Toc182903992" </w:instrText>
          </w:r>
          <w:r>
            <w:fldChar w:fldCharType="separate"/>
          </w:r>
          <w:r>
            <w:rPr>
              <w:rStyle w:val="473"/>
              <w:rFonts w:hint="eastAsia" w:ascii="仿宋" w:hAnsi="仿宋" w:eastAsia="仿宋"/>
              <w:sz w:val="24"/>
              <w:szCs w:val="24"/>
              <w:lang w:eastAsia="zh-CN"/>
            </w:rPr>
            <w:t>1.资金预算和执行情况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9</w:t>
          </w:r>
          <w:r>
            <w:rPr>
              <w:rStyle w:val="473"/>
              <w:rFonts w:hint="eastAsia"/>
              <w:lang w:eastAsia="zh-CN"/>
            </w:rPr>
            <w:fldChar w:fldCharType="end"/>
          </w:r>
          <w:r>
            <w:rPr>
              <w:rStyle w:val="473"/>
              <w:rFonts w:hint="eastAsia"/>
              <w:lang w:eastAsia="zh-CN"/>
            </w:rPr>
            <w:fldChar w:fldCharType="end"/>
          </w:r>
        </w:p>
        <w:p w14:paraId="240F5780">
          <w:pPr>
            <w:pStyle w:val="45"/>
            <w:tabs>
              <w:tab w:val="right" w:leader="dot" w:pos="9337"/>
            </w:tabs>
            <w:spacing w:line="360" w:lineRule="auto"/>
            <w:rPr>
              <w:rStyle w:val="473"/>
            </w:rPr>
          </w:pPr>
          <w:r>
            <w:fldChar w:fldCharType="begin"/>
          </w:r>
          <w:r>
            <w:instrText xml:space="preserve"> HYPERLINK \l "_Toc182903993" </w:instrText>
          </w:r>
          <w:r>
            <w:fldChar w:fldCharType="separate"/>
          </w:r>
          <w:r>
            <w:rPr>
              <w:rStyle w:val="473"/>
              <w:rFonts w:hint="eastAsia" w:ascii="仿宋" w:hAnsi="仿宋" w:eastAsia="仿宋"/>
              <w:sz w:val="24"/>
              <w:szCs w:val="24"/>
              <w:lang w:eastAsia="zh-CN"/>
            </w:rPr>
            <w:t>2.资金年度调剂情况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10</w:t>
          </w:r>
          <w:r>
            <w:rPr>
              <w:rStyle w:val="473"/>
              <w:rFonts w:hint="eastAsia"/>
              <w:lang w:eastAsia="zh-CN"/>
            </w:rPr>
            <w:fldChar w:fldCharType="end"/>
          </w:r>
          <w:r>
            <w:rPr>
              <w:rStyle w:val="473"/>
              <w:rFonts w:hint="eastAsia"/>
              <w:lang w:eastAsia="zh-CN"/>
            </w:rPr>
            <w:fldChar w:fldCharType="end"/>
          </w:r>
        </w:p>
        <w:p w14:paraId="7B9C8750">
          <w:pPr>
            <w:pStyle w:val="45"/>
            <w:tabs>
              <w:tab w:val="right" w:leader="dot" w:pos="9337"/>
            </w:tabs>
            <w:spacing w:line="360" w:lineRule="auto"/>
            <w:rPr>
              <w:rStyle w:val="473"/>
            </w:rPr>
          </w:pPr>
          <w:r>
            <w:fldChar w:fldCharType="begin"/>
          </w:r>
          <w:r>
            <w:instrText xml:space="preserve"> HYPERLINK \l "_Toc182903994" </w:instrText>
          </w:r>
          <w:r>
            <w:fldChar w:fldCharType="separate"/>
          </w:r>
          <w:r>
            <w:rPr>
              <w:rStyle w:val="473"/>
              <w:rFonts w:hint="eastAsia" w:ascii="仿宋" w:hAnsi="仿宋" w:eastAsia="仿宋"/>
              <w:sz w:val="24"/>
              <w:szCs w:val="24"/>
              <w:lang w:eastAsia="zh-CN"/>
            </w:rPr>
            <w:t>3.资金预算执行情况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10</w:t>
          </w:r>
          <w:r>
            <w:rPr>
              <w:rStyle w:val="473"/>
              <w:rFonts w:hint="eastAsia"/>
              <w:lang w:eastAsia="zh-CN"/>
            </w:rPr>
            <w:fldChar w:fldCharType="end"/>
          </w:r>
          <w:r>
            <w:rPr>
              <w:rStyle w:val="473"/>
              <w:rFonts w:hint="eastAsia"/>
              <w:lang w:eastAsia="zh-CN"/>
            </w:rPr>
            <w:fldChar w:fldCharType="end"/>
          </w:r>
        </w:p>
        <w:p w14:paraId="3F0002A5">
          <w:pPr>
            <w:pStyle w:val="45"/>
            <w:tabs>
              <w:tab w:val="right" w:leader="dot" w:pos="9337"/>
            </w:tabs>
            <w:spacing w:line="360" w:lineRule="auto"/>
            <w:rPr>
              <w:rStyle w:val="473"/>
            </w:rPr>
          </w:pPr>
          <w:r>
            <w:fldChar w:fldCharType="begin"/>
          </w:r>
          <w:r>
            <w:instrText xml:space="preserve"> HYPERLINK \l "_Toc182903995" </w:instrText>
          </w:r>
          <w:r>
            <w:fldChar w:fldCharType="separate"/>
          </w:r>
          <w:r>
            <w:rPr>
              <w:rStyle w:val="473"/>
              <w:rFonts w:hint="eastAsia" w:ascii="仿宋" w:hAnsi="仿宋" w:eastAsia="仿宋"/>
              <w:sz w:val="24"/>
              <w:szCs w:val="24"/>
              <w:lang w:eastAsia="zh-CN"/>
            </w:rPr>
            <w:t>4.资金结余情况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10</w:t>
          </w:r>
          <w:r>
            <w:rPr>
              <w:rStyle w:val="473"/>
              <w:rFonts w:hint="eastAsia"/>
              <w:lang w:eastAsia="zh-CN"/>
            </w:rPr>
            <w:fldChar w:fldCharType="end"/>
          </w:r>
          <w:r>
            <w:rPr>
              <w:rStyle w:val="473"/>
              <w:rFonts w:hint="eastAsia"/>
              <w:lang w:eastAsia="zh-CN"/>
            </w:rPr>
            <w:fldChar w:fldCharType="end"/>
          </w:r>
        </w:p>
        <w:p w14:paraId="7E725412">
          <w:pPr>
            <w:pStyle w:val="75"/>
            <w:tabs>
              <w:tab w:val="right" w:leader="dot" w:pos="9337"/>
            </w:tabs>
            <w:spacing w:line="360" w:lineRule="auto"/>
            <w:rPr>
              <w:rStyle w:val="473"/>
            </w:rPr>
          </w:pPr>
          <w:r>
            <w:fldChar w:fldCharType="begin"/>
          </w:r>
          <w:r>
            <w:instrText xml:space="preserve"> HYPERLINK \l "_Toc182903996" </w:instrText>
          </w:r>
          <w:r>
            <w:fldChar w:fldCharType="separate"/>
          </w:r>
          <w:r>
            <w:rPr>
              <w:rStyle w:val="473"/>
              <w:rFonts w:hint="eastAsia" w:ascii="仿宋" w:hAnsi="仿宋" w:eastAsia="仿宋"/>
              <w:sz w:val="24"/>
              <w:szCs w:val="24"/>
              <w:lang w:eastAsia="zh-CN"/>
            </w:rPr>
            <w:t>（二）资金使用方向、主要内容和涉及范围</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11</w:t>
          </w:r>
          <w:r>
            <w:rPr>
              <w:rStyle w:val="473"/>
              <w:rFonts w:hint="eastAsia"/>
              <w:lang w:eastAsia="zh-CN"/>
            </w:rPr>
            <w:fldChar w:fldCharType="end"/>
          </w:r>
          <w:r>
            <w:rPr>
              <w:rStyle w:val="473"/>
              <w:rFonts w:hint="eastAsia"/>
              <w:lang w:eastAsia="zh-CN"/>
            </w:rPr>
            <w:fldChar w:fldCharType="end"/>
          </w:r>
        </w:p>
        <w:p w14:paraId="03103878">
          <w:pPr>
            <w:pStyle w:val="45"/>
            <w:tabs>
              <w:tab w:val="right" w:leader="dot" w:pos="9337"/>
            </w:tabs>
            <w:spacing w:line="360" w:lineRule="auto"/>
            <w:rPr>
              <w:rStyle w:val="473"/>
            </w:rPr>
          </w:pPr>
          <w:r>
            <w:fldChar w:fldCharType="begin"/>
          </w:r>
          <w:r>
            <w:instrText xml:space="preserve"> HYPERLINK \l "_Toc182903997" </w:instrText>
          </w:r>
          <w:r>
            <w:fldChar w:fldCharType="separate"/>
          </w:r>
          <w:r>
            <w:rPr>
              <w:rStyle w:val="473"/>
              <w:rFonts w:hint="eastAsia" w:ascii="仿宋" w:hAnsi="仿宋" w:eastAsia="仿宋"/>
              <w:sz w:val="24"/>
              <w:szCs w:val="24"/>
              <w:lang w:eastAsia="zh-CN"/>
            </w:rPr>
            <w:t>1.基本支出</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11</w:t>
          </w:r>
          <w:r>
            <w:rPr>
              <w:rStyle w:val="473"/>
              <w:rFonts w:hint="eastAsia"/>
              <w:lang w:eastAsia="zh-CN"/>
            </w:rPr>
            <w:fldChar w:fldCharType="end"/>
          </w:r>
          <w:r>
            <w:rPr>
              <w:rStyle w:val="473"/>
              <w:rFonts w:hint="eastAsia"/>
              <w:lang w:eastAsia="zh-CN"/>
            </w:rPr>
            <w:fldChar w:fldCharType="end"/>
          </w:r>
        </w:p>
        <w:p w14:paraId="205305DF">
          <w:pPr>
            <w:pStyle w:val="45"/>
            <w:tabs>
              <w:tab w:val="right" w:leader="dot" w:pos="9337"/>
            </w:tabs>
            <w:spacing w:line="360" w:lineRule="auto"/>
            <w:rPr>
              <w:rStyle w:val="473"/>
            </w:rPr>
          </w:pPr>
          <w:r>
            <w:fldChar w:fldCharType="begin"/>
          </w:r>
          <w:r>
            <w:instrText xml:space="preserve"> HYPERLINK \l "_Toc182903998" </w:instrText>
          </w:r>
          <w:r>
            <w:fldChar w:fldCharType="separate"/>
          </w:r>
          <w:r>
            <w:rPr>
              <w:rStyle w:val="473"/>
              <w:rFonts w:hint="eastAsia" w:ascii="仿宋" w:hAnsi="仿宋" w:eastAsia="仿宋"/>
              <w:sz w:val="24"/>
              <w:szCs w:val="24"/>
              <w:lang w:eastAsia="zh-CN"/>
            </w:rPr>
            <w:t>2.项目支出</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11</w:t>
          </w:r>
          <w:r>
            <w:rPr>
              <w:rStyle w:val="473"/>
              <w:rFonts w:hint="eastAsia"/>
              <w:lang w:eastAsia="zh-CN"/>
            </w:rPr>
            <w:fldChar w:fldCharType="end"/>
          </w:r>
          <w:r>
            <w:rPr>
              <w:rStyle w:val="473"/>
              <w:rFonts w:hint="eastAsia"/>
              <w:lang w:eastAsia="zh-CN"/>
            </w:rPr>
            <w:fldChar w:fldCharType="end"/>
          </w:r>
        </w:p>
        <w:p w14:paraId="2C151149">
          <w:pPr>
            <w:pStyle w:val="45"/>
            <w:tabs>
              <w:tab w:val="right" w:leader="dot" w:pos="9337"/>
            </w:tabs>
            <w:spacing w:line="360" w:lineRule="auto"/>
            <w:rPr>
              <w:rStyle w:val="473"/>
            </w:rPr>
          </w:pPr>
          <w:r>
            <w:fldChar w:fldCharType="begin"/>
          </w:r>
          <w:r>
            <w:instrText xml:space="preserve"> HYPERLINK \l "_Toc182903999" </w:instrText>
          </w:r>
          <w:r>
            <w:fldChar w:fldCharType="separate"/>
          </w:r>
          <w:r>
            <w:rPr>
              <w:rStyle w:val="473"/>
              <w:rFonts w:hint="eastAsia" w:ascii="仿宋" w:hAnsi="仿宋" w:eastAsia="仿宋"/>
              <w:sz w:val="24"/>
              <w:szCs w:val="24"/>
              <w:lang w:eastAsia="zh-CN"/>
            </w:rPr>
            <w:t>3.“三公”经费的使用和管理情况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_Toc182903999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12</w:t>
          </w:r>
          <w:r>
            <w:rPr>
              <w:rStyle w:val="473"/>
              <w:rFonts w:hint="eastAsia"/>
              <w:lang w:eastAsia="zh-CN"/>
            </w:rPr>
            <w:fldChar w:fldCharType="end"/>
          </w:r>
          <w:r>
            <w:rPr>
              <w:rStyle w:val="473"/>
              <w:rFonts w:hint="eastAsia"/>
              <w:lang w:eastAsia="zh-CN"/>
            </w:rPr>
            <w:fldChar w:fldCharType="end"/>
          </w:r>
        </w:p>
        <w:p w14:paraId="3F44DCC2">
          <w:pPr>
            <w:pStyle w:val="60"/>
            <w:tabs>
              <w:tab w:val="right" w:leader="dot" w:pos="9337"/>
            </w:tabs>
            <w:spacing w:line="360" w:lineRule="auto"/>
            <w:rPr>
              <w:rStyle w:val="473"/>
            </w:rPr>
          </w:pPr>
          <w:r>
            <w:fldChar w:fldCharType="begin"/>
          </w:r>
          <w:r>
            <w:instrText xml:space="preserve"> HYPERLINK \l "_Toc182904000" </w:instrText>
          </w:r>
          <w:r>
            <w:fldChar w:fldCharType="separate"/>
          </w:r>
          <w:r>
            <w:rPr>
              <w:rStyle w:val="473"/>
              <w:rFonts w:hint="eastAsia" w:ascii="仿宋" w:hAnsi="仿宋" w:eastAsia="仿宋"/>
              <w:sz w:val="24"/>
              <w:szCs w:val="24"/>
              <w:lang w:eastAsia="zh-CN"/>
            </w:rPr>
            <w:t>三、部门年度总体目标</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12</w:t>
          </w:r>
          <w:r>
            <w:rPr>
              <w:rStyle w:val="473"/>
              <w:rFonts w:hint="eastAsia"/>
              <w:lang w:eastAsia="zh-CN"/>
            </w:rPr>
            <w:fldChar w:fldCharType="end"/>
          </w:r>
          <w:r>
            <w:rPr>
              <w:rStyle w:val="473"/>
              <w:rFonts w:hint="eastAsia"/>
              <w:lang w:eastAsia="zh-CN"/>
            </w:rPr>
            <w:fldChar w:fldCharType="end"/>
          </w:r>
        </w:p>
        <w:p w14:paraId="4FD5E401">
          <w:pPr>
            <w:pStyle w:val="60"/>
            <w:tabs>
              <w:tab w:val="right" w:leader="dot" w:pos="9337"/>
            </w:tabs>
            <w:spacing w:line="360" w:lineRule="auto"/>
            <w:rPr>
              <w:rStyle w:val="473"/>
            </w:rPr>
          </w:pPr>
          <w:r>
            <w:fldChar w:fldCharType="begin"/>
          </w:r>
          <w:r>
            <w:instrText xml:space="preserve"> HYPERLINK \l "_Toc182904001" </w:instrText>
          </w:r>
          <w:r>
            <w:fldChar w:fldCharType="separate"/>
          </w:r>
          <w:r>
            <w:rPr>
              <w:rStyle w:val="473"/>
              <w:rFonts w:hint="eastAsia" w:ascii="仿宋" w:hAnsi="仿宋" w:eastAsia="仿宋"/>
              <w:sz w:val="24"/>
              <w:szCs w:val="24"/>
              <w:lang w:eastAsia="zh-CN"/>
            </w:rPr>
            <w:t>四、评价思路</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13</w:t>
          </w:r>
          <w:r>
            <w:rPr>
              <w:rStyle w:val="473"/>
              <w:rFonts w:hint="eastAsia"/>
              <w:lang w:eastAsia="zh-CN"/>
            </w:rPr>
            <w:fldChar w:fldCharType="end"/>
          </w:r>
          <w:r>
            <w:rPr>
              <w:rStyle w:val="473"/>
              <w:rFonts w:hint="eastAsia"/>
              <w:lang w:eastAsia="zh-CN"/>
            </w:rPr>
            <w:fldChar w:fldCharType="end"/>
          </w:r>
        </w:p>
        <w:p w14:paraId="5B98D8EC">
          <w:pPr>
            <w:pStyle w:val="75"/>
            <w:tabs>
              <w:tab w:val="right" w:leader="dot" w:pos="9337"/>
            </w:tabs>
            <w:spacing w:line="360" w:lineRule="auto"/>
            <w:rPr>
              <w:rStyle w:val="473"/>
            </w:rPr>
          </w:pPr>
          <w:r>
            <w:fldChar w:fldCharType="begin"/>
          </w:r>
          <w:r>
            <w:instrText xml:space="preserve"> HYPERLINK \l "_Toc182904002" </w:instrText>
          </w:r>
          <w:r>
            <w:fldChar w:fldCharType="separate"/>
          </w:r>
          <w:r>
            <w:rPr>
              <w:rStyle w:val="473"/>
              <w:rFonts w:hint="eastAsia" w:ascii="仿宋" w:hAnsi="仿宋" w:eastAsia="仿宋"/>
              <w:sz w:val="24"/>
              <w:szCs w:val="24"/>
              <w:lang w:eastAsia="zh-CN"/>
            </w:rPr>
            <w:t>（一）评价目的</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13</w:t>
          </w:r>
          <w:r>
            <w:rPr>
              <w:rStyle w:val="473"/>
              <w:rFonts w:hint="eastAsia"/>
              <w:lang w:eastAsia="zh-CN"/>
            </w:rPr>
            <w:fldChar w:fldCharType="end"/>
          </w:r>
          <w:r>
            <w:rPr>
              <w:rStyle w:val="473"/>
              <w:rFonts w:hint="eastAsia"/>
              <w:lang w:eastAsia="zh-CN"/>
            </w:rPr>
            <w:fldChar w:fldCharType="end"/>
          </w:r>
        </w:p>
        <w:p w14:paraId="11C6B86B">
          <w:pPr>
            <w:pStyle w:val="75"/>
            <w:tabs>
              <w:tab w:val="right" w:leader="dot" w:pos="9337"/>
            </w:tabs>
            <w:spacing w:line="360" w:lineRule="auto"/>
            <w:rPr>
              <w:rStyle w:val="473"/>
            </w:rPr>
          </w:pPr>
          <w:r>
            <w:fldChar w:fldCharType="begin"/>
          </w:r>
          <w:r>
            <w:instrText xml:space="preserve"> HYPERLINK \l "_Toc182904003" </w:instrText>
          </w:r>
          <w:r>
            <w:fldChar w:fldCharType="separate"/>
          </w:r>
          <w:r>
            <w:rPr>
              <w:rStyle w:val="473"/>
              <w:rFonts w:hint="eastAsia" w:ascii="仿宋" w:hAnsi="仿宋" w:eastAsia="仿宋"/>
              <w:sz w:val="24"/>
              <w:szCs w:val="24"/>
              <w:lang w:eastAsia="zh-CN"/>
            </w:rPr>
            <w:t>（二）评价对象及范围</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13</w:t>
          </w:r>
          <w:r>
            <w:rPr>
              <w:rStyle w:val="473"/>
              <w:rFonts w:hint="eastAsia"/>
              <w:lang w:eastAsia="zh-CN"/>
            </w:rPr>
            <w:fldChar w:fldCharType="end"/>
          </w:r>
          <w:r>
            <w:rPr>
              <w:rStyle w:val="473"/>
              <w:rFonts w:hint="eastAsia"/>
              <w:lang w:eastAsia="zh-CN"/>
            </w:rPr>
            <w:fldChar w:fldCharType="end"/>
          </w:r>
        </w:p>
        <w:p w14:paraId="0F9D9CD1">
          <w:pPr>
            <w:pStyle w:val="75"/>
            <w:tabs>
              <w:tab w:val="right" w:leader="dot" w:pos="9337"/>
            </w:tabs>
            <w:spacing w:line="360" w:lineRule="auto"/>
            <w:rPr>
              <w:rStyle w:val="473"/>
            </w:rPr>
          </w:pPr>
          <w:r>
            <w:fldChar w:fldCharType="begin"/>
          </w:r>
          <w:r>
            <w:instrText xml:space="preserve"> HYPERLINK \l "_Toc182904004" </w:instrText>
          </w:r>
          <w:r>
            <w:fldChar w:fldCharType="separate"/>
          </w:r>
          <w:r>
            <w:rPr>
              <w:rStyle w:val="473"/>
              <w:rFonts w:hint="eastAsia" w:ascii="仿宋" w:hAnsi="仿宋" w:eastAsia="仿宋"/>
              <w:sz w:val="24"/>
              <w:szCs w:val="24"/>
              <w:lang w:eastAsia="zh-CN"/>
            </w:rPr>
            <w:t>（三）评价依据</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13</w:t>
          </w:r>
          <w:r>
            <w:rPr>
              <w:rStyle w:val="473"/>
              <w:rFonts w:hint="eastAsia"/>
              <w:lang w:eastAsia="zh-CN"/>
            </w:rPr>
            <w:fldChar w:fldCharType="end"/>
          </w:r>
          <w:r>
            <w:rPr>
              <w:rStyle w:val="473"/>
              <w:rFonts w:hint="eastAsia"/>
              <w:lang w:eastAsia="zh-CN"/>
            </w:rPr>
            <w:fldChar w:fldCharType="end"/>
          </w:r>
        </w:p>
        <w:p w14:paraId="2C95BD64">
          <w:pPr>
            <w:pStyle w:val="75"/>
            <w:tabs>
              <w:tab w:val="right" w:leader="dot" w:pos="9337"/>
            </w:tabs>
            <w:spacing w:line="360" w:lineRule="auto"/>
            <w:rPr>
              <w:rStyle w:val="473"/>
            </w:rPr>
          </w:pPr>
          <w:r>
            <w:fldChar w:fldCharType="begin"/>
          </w:r>
          <w:r>
            <w:instrText xml:space="preserve"> HYPERLINK \l "_Toc182904005" </w:instrText>
          </w:r>
          <w:r>
            <w:fldChar w:fldCharType="separate"/>
          </w:r>
          <w:r>
            <w:rPr>
              <w:rStyle w:val="473"/>
              <w:rFonts w:hint="eastAsia" w:ascii="仿宋" w:hAnsi="仿宋" w:eastAsia="仿宋"/>
              <w:sz w:val="24"/>
              <w:szCs w:val="24"/>
              <w:lang w:eastAsia="zh-CN"/>
            </w:rPr>
            <w:t>（四）评价原则</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14</w:t>
          </w:r>
          <w:r>
            <w:rPr>
              <w:rStyle w:val="473"/>
              <w:rFonts w:hint="eastAsia"/>
              <w:lang w:eastAsia="zh-CN"/>
            </w:rPr>
            <w:fldChar w:fldCharType="end"/>
          </w:r>
          <w:r>
            <w:rPr>
              <w:rStyle w:val="473"/>
              <w:rFonts w:hint="eastAsia"/>
              <w:lang w:eastAsia="zh-CN"/>
            </w:rPr>
            <w:fldChar w:fldCharType="end"/>
          </w:r>
        </w:p>
        <w:p w14:paraId="078F7967">
          <w:pPr>
            <w:pStyle w:val="75"/>
            <w:tabs>
              <w:tab w:val="right" w:leader="dot" w:pos="9337"/>
            </w:tabs>
            <w:spacing w:line="360" w:lineRule="auto"/>
            <w:rPr>
              <w:rStyle w:val="473"/>
            </w:rPr>
          </w:pPr>
          <w:r>
            <w:fldChar w:fldCharType="begin"/>
          </w:r>
          <w:r>
            <w:instrText xml:space="preserve"> HYPERLINK \l "_Toc182904006" </w:instrText>
          </w:r>
          <w:r>
            <w:fldChar w:fldCharType="separate"/>
          </w:r>
          <w:r>
            <w:rPr>
              <w:rStyle w:val="473"/>
              <w:rFonts w:hint="eastAsia" w:ascii="仿宋" w:hAnsi="仿宋" w:eastAsia="仿宋"/>
              <w:sz w:val="24"/>
              <w:szCs w:val="24"/>
              <w:lang w:eastAsia="zh-CN"/>
            </w:rPr>
            <w:t>（五）评价方法</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15</w:t>
          </w:r>
          <w:r>
            <w:rPr>
              <w:rStyle w:val="473"/>
              <w:rFonts w:hint="eastAsia"/>
              <w:lang w:eastAsia="zh-CN"/>
            </w:rPr>
            <w:fldChar w:fldCharType="end"/>
          </w:r>
          <w:r>
            <w:rPr>
              <w:rStyle w:val="473"/>
              <w:rFonts w:hint="eastAsia"/>
              <w:lang w:eastAsia="zh-CN"/>
            </w:rPr>
            <w:fldChar w:fldCharType="end"/>
          </w:r>
        </w:p>
        <w:p w14:paraId="26311041">
          <w:pPr>
            <w:pStyle w:val="75"/>
            <w:tabs>
              <w:tab w:val="right" w:leader="dot" w:pos="9337"/>
            </w:tabs>
            <w:spacing w:line="360" w:lineRule="auto"/>
            <w:rPr>
              <w:rStyle w:val="473"/>
            </w:rPr>
          </w:pPr>
          <w:r>
            <w:fldChar w:fldCharType="begin"/>
          </w:r>
          <w:r>
            <w:instrText xml:space="preserve"> HYPERLINK \l "_Toc182904007" </w:instrText>
          </w:r>
          <w:r>
            <w:fldChar w:fldCharType="separate"/>
          </w:r>
          <w:r>
            <w:rPr>
              <w:rStyle w:val="473"/>
              <w:rFonts w:hint="eastAsia" w:ascii="仿宋" w:hAnsi="仿宋" w:eastAsia="仿宋"/>
              <w:sz w:val="24"/>
              <w:szCs w:val="24"/>
              <w:lang w:eastAsia="zh-CN"/>
            </w:rPr>
            <w:t>（六）绩效标准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16</w:t>
          </w:r>
          <w:r>
            <w:rPr>
              <w:rStyle w:val="473"/>
              <w:rFonts w:hint="eastAsia"/>
              <w:lang w:eastAsia="zh-CN"/>
            </w:rPr>
            <w:fldChar w:fldCharType="end"/>
          </w:r>
          <w:r>
            <w:rPr>
              <w:rStyle w:val="473"/>
              <w:rFonts w:hint="eastAsia"/>
              <w:lang w:eastAsia="zh-CN"/>
            </w:rPr>
            <w:fldChar w:fldCharType="end"/>
          </w:r>
        </w:p>
        <w:p w14:paraId="43494B0E">
          <w:pPr>
            <w:pStyle w:val="75"/>
            <w:tabs>
              <w:tab w:val="right" w:leader="dot" w:pos="9337"/>
            </w:tabs>
            <w:spacing w:line="360" w:lineRule="auto"/>
            <w:rPr>
              <w:rStyle w:val="473"/>
            </w:rPr>
          </w:pPr>
          <w:r>
            <w:fldChar w:fldCharType="begin"/>
          </w:r>
          <w:r>
            <w:instrText xml:space="preserve"> HYPERLINK \l "_Toc182904008" </w:instrText>
          </w:r>
          <w:r>
            <w:fldChar w:fldCharType="separate"/>
          </w:r>
          <w:r>
            <w:rPr>
              <w:rStyle w:val="473"/>
              <w:rFonts w:hint="eastAsia" w:ascii="仿宋" w:hAnsi="仿宋" w:eastAsia="仿宋"/>
              <w:sz w:val="24"/>
              <w:szCs w:val="24"/>
              <w:lang w:eastAsia="zh-CN"/>
            </w:rPr>
            <w:t>（七）评价思路及关注点</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16</w:t>
          </w:r>
          <w:r>
            <w:rPr>
              <w:rStyle w:val="473"/>
              <w:rFonts w:hint="eastAsia"/>
              <w:lang w:eastAsia="zh-CN"/>
            </w:rPr>
            <w:fldChar w:fldCharType="end"/>
          </w:r>
          <w:r>
            <w:rPr>
              <w:rStyle w:val="473"/>
              <w:rFonts w:hint="eastAsia"/>
              <w:lang w:eastAsia="zh-CN"/>
            </w:rPr>
            <w:fldChar w:fldCharType="end"/>
          </w:r>
        </w:p>
        <w:p w14:paraId="6DD12FD3">
          <w:pPr>
            <w:pStyle w:val="75"/>
            <w:tabs>
              <w:tab w:val="right" w:leader="dot" w:pos="9337"/>
            </w:tabs>
            <w:spacing w:line="360" w:lineRule="auto"/>
            <w:rPr>
              <w:rStyle w:val="473"/>
            </w:rPr>
          </w:pPr>
          <w:r>
            <w:fldChar w:fldCharType="begin"/>
          </w:r>
          <w:r>
            <w:instrText xml:space="preserve"> HYPERLINK \l "_Toc182904009" </w:instrText>
          </w:r>
          <w:r>
            <w:fldChar w:fldCharType="separate"/>
          </w:r>
          <w:r>
            <w:rPr>
              <w:rStyle w:val="473"/>
              <w:rFonts w:hint="eastAsia" w:ascii="仿宋" w:hAnsi="仿宋" w:eastAsia="仿宋"/>
              <w:sz w:val="24"/>
              <w:szCs w:val="24"/>
              <w:lang w:eastAsia="zh-CN"/>
            </w:rPr>
            <w:t>（八）绩效评价数据来源</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_Toc182904009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17</w:t>
          </w:r>
          <w:r>
            <w:rPr>
              <w:rStyle w:val="473"/>
              <w:rFonts w:hint="eastAsia"/>
              <w:lang w:eastAsia="zh-CN"/>
            </w:rPr>
            <w:fldChar w:fldCharType="end"/>
          </w:r>
          <w:r>
            <w:rPr>
              <w:rStyle w:val="473"/>
              <w:rFonts w:hint="eastAsia"/>
              <w:lang w:eastAsia="zh-CN"/>
            </w:rPr>
            <w:fldChar w:fldCharType="end"/>
          </w:r>
        </w:p>
        <w:p w14:paraId="0D24A665">
          <w:pPr>
            <w:pStyle w:val="75"/>
            <w:tabs>
              <w:tab w:val="right" w:leader="dot" w:pos="9337"/>
            </w:tabs>
            <w:spacing w:line="360" w:lineRule="auto"/>
            <w:rPr>
              <w:rStyle w:val="473"/>
            </w:rPr>
          </w:pPr>
          <w:r>
            <w:fldChar w:fldCharType="begin"/>
          </w:r>
          <w:r>
            <w:instrText xml:space="preserve"> HYPERLINK \l "_Toc182904010" </w:instrText>
          </w:r>
          <w:r>
            <w:fldChar w:fldCharType="separate"/>
          </w:r>
          <w:r>
            <w:rPr>
              <w:rStyle w:val="473"/>
              <w:rFonts w:hint="eastAsia" w:ascii="仿宋" w:hAnsi="仿宋" w:eastAsia="仿宋"/>
              <w:sz w:val="24"/>
              <w:szCs w:val="24"/>
              <w:lang w:eastAsia="zh-CN"/>
            </w:rPr>
            <w:t>（九）评价工作开展情况</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17</w:t>
          </w:r>
          <w:r>
            <w:rPr>
              <w:rStyle w:val="473"/>
              <w:rFonts w:hint="eastAsia"/>
              <w:lang w:eastAsia="zh-CN"/>
            </w:rPr>
            <w:fldChar w:fldCharType="end"/>
          </w:r>
          <w:r>
            <w:rPr>
              <w:rStyle w:val="473"/>
              <w:rFonts w:hint="eastAsia"/>
              <w:lang w:eastAsia="zh-CN"/>
            </w:rPr>
            <w:fldChar w:fldCharType="end"/>
          </w:r>
        </w:p>
        <w:p w14:paraId="5210242B">
          <w:pPr>
            <w:pStyle w:val="60"/>
            <w:tabs>
              <w:tab w:val="right" w:leader="dot" w:pos="9337"/>
            </w:tabs>
            <w:spacing w:line="360" w:lineRule="auto"/>
            <w:rPr>
              <w:rStyle w:val="473"/>
            </w:rPr>
          </w:pPr>
          <w:r>
            <w:fldChar w:fldCharType="begin"/>
          </w:r>
          <w:r>
            <w:instrText xml:space="preserve"> HYPERLINK \l "_Toc182904011" </w:instrText>
          </w:r>
          <w:r>
            <w:fldChar w:fldCharType="separate"/>
          </w:r>
          <w:r>
            <w:rPr>
              <w:rStyle w:val="473"/>
              <w:rFonts w:hint="eastAsia" w:ascii="仿宋" w:hAnsi="仿宋" w:eastAsia="仿宋"/>
              <w:sz w:val="24"/>
              <w:szCs w:val="24"/>
              <w:lang w:eastAsia="zh-CN"/>
            </w:rPr>
            <w:t>五、指标体系</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18</w:t>
          </w:r>
          <w:r>
            <w:rPr>
              <w:rStyle w:val="473"/>
              <w:rFonts w:hint="eastAsia"/>
              <w:lang w:eastAsia="zh-CN"/>
            </w:rPr>
            <w:fldChar w:fldCharType="end"/>
          </w:r>
          <w:r>
            <w:rPr>
              <w:rStyle w:val="473"/>
              <w:rFonts w:hint="eastAsia"/>
              <w:lang w:eastAsia="zh-CN"/>
            </w:rPr>
            <w:fldChar w:fldCharType="end"/>
          </w:r>
        </w:p>
        <w:p w14:paraId="5048574B">
          <w:pPr>
            <w:pStyle w:val="75"/>
            <w:tabs>
              <w:tab w:val="right" w:leader="dot" w:pos="9337"/>
            </w:tabs>
            <w:spacing w:line="360" w:lineRule="auto"/>
            <w:rPr>
              <w:rStyle w:val="473"/>
            </w:rPr>
          </w:pPr>
          <w:r>
            <w:fldChar w:fldCharType="begin"/>
          </w:r>
          <w:r>
            <w:instrText xml:space="preserve"> HYPERLINK \l "_Toc182904012" </w:instrText>
          </w:r>
          <w:r>
            <w:fldChar w:fldCharType="separate"/>
          </w:r>
          <w:r>
            <w:rPr>
              <w:rStyle w:val="473"/>
              <w:rFonts w:hint="eastAsia" w:ascii="仿宋" w:hAnsi="仿宋" w:eastAsia="仿宋"/>
              <w:sz w:val="24"/>
              <w:szCs w:val="24"/>
              <w:lang w:eastAsia="zh-CN"/>
            </w:rPr>
            <w:t>（一）评价指标分值分布</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18</w:t>
          </w:r>
          <w:r>
            <w:rPr>
              <w:rStyle w:val="473"/>
              <w:rFonts w:hint="eastAsia"/>
              <w:lang w:eastAsia="zh-CN"/>
            </w:rPr>
            <w:fldChar w:fldCharType="end"/>
          </w:r>
          <w:r>
            <w:rPr>
              <w:rStyle w:val="473"/>
              <w:rFonts w:hint="eastAsia"/>
              <w:lang w:eastAsia="zh-CN"/>
            </w:rPr>
            <w:fldChar w:fldCharType="end"/>
          </w:r>
        </w:p>
        <w:p w14:paraId="0249B1A4">
          <w:pPr>
            <w:pStyle w:val="75"/>
            <w:tabs>
              <w:tab w:val="right" w:leader="dot" w:pos="9337"/>
            </w:tabs>
            <w:spacing w:line="360" w:lineRule="auto"/>
            <w:rPr>
              <w:rStyle w:val="473"/>
            </w:rPr>
          </w:pPr>
          <w:r>
            <w:fldChar w:fldCharType="begin"/>
          </w:r>
          <w:r>
            <w:instrText xml:space="preserve"> HYPERLINK \l "_Toc182904013" </w:instrText>
          </w:r>
          <w:r>
            <w:fldChar w:fldCharType="separate"/>
          </w:r>
          <w:r>
            <w:rPr>
              <w:rStyle w:val="473"/>
              <w:rFonts w:hint="eastAsia" w:ascii="仿宋" w:hAnsi="仿宋" w:eastAsia="仿宋"/>
              <w:sz w:val="24"/>
              <w:szCs w:val="24"/>
              <w:lang w:eastAsia="zh-CN"/>
            </w:rPr>
            <w:t>（二）评价等级</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18</w:t>
          </w:r>
          <w:r>
            <w:rPr>
              <w:rStyle w:val="473"/>
              <w:rFonts w:hint="eastAsia"/>
              <w:lang w:eastAsia="zh-CN"/>
            </w:rPr>
            <w:fldChar w:fldCharType="end"/>
          </w:r>
          <w:r>
            <w:rPr>
              <w:rStyle w:val="473"/>
              <w:rFonts w:hint="eastAsia"/>
              <w:lang w:eastAsia="zh-CN"/>
            </w:rPr>
            <w:fldChar w:fldCharType="end"/>
          </w:r>
        </w:p>
        <w:p w14:paraId="60308870">
          <w:pPr>
            <w:pStyle w:val="60"/>
            <w:tabs>
              <w:tab w:val="right" w:leader="dot" w:pos="9337"/>
            </w:tabs>
            <w:spacing w:line="360" w:lineRule="auto"/>
            <w:rPr>
              <w:rStyle w:val="473"/>
            </w:rPr>
          </w:pPr>
          <w:r>
            <w:fldChar w:fldCharType="begin"/>
          </w:r>
          <w:r>
            <w:instrText xml:space="preserve"> HYPERLINK \l "_Toc182904014" </w:instrText>
          </w:r>
          <w:r>
            <w:fldChar w:fldCharType="separate"/>
          </w:r>
          <w:r>
            <w:rPr>
              <w:rStyle w:val="473"/>
              <w:rFonts w:hint="eastAsia" w:ascii="仿宋" w:hAnsi="仿宋" w:eastAsia="仿宋"/>
              <w:sz w:val="24"/>
              <w:szCs w:val="24"/>
              <w:lang w:eastAsia="zh-CN"/>
            </w:rPr>
            <w:t>六、绩效指标分析</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25</w:t>
          </w:r>
          <w:r>
            <w:rPr>
              <w:rStyle w:val="473"/>
              <w:rFonts w:hint="eastAsia"/>
              <w:lang w:eastAsia="zh-CN"/>
            </w:rPr>
            <w:fldChar w:fldCharType="end"/>
          </w:r>
          <w:r>
            <w:rPr>
              <w:rStyle w:val="473"/>
              <w:rFonts w:hint="eastAsia"/>
              <w:lang w:eastAsia="zh-CN"/>
            </w:rPr>
            <w:fldChar w:fldCharType="end"/>
          </w:r>
        </w:p>
        <w:p w14:paraId="40EF22CE">
          <w:pPr>
            <w:pStyle w:val="75"/>
            <w:tabs>
              <w:tab w:val="right" w:leader="dot" w:pos="9337"/>
            </w:tabs>
            <w:spacing w:line="360" w:lineRule="auto"/>
            <w:rPr>
              <w:rStyle w:val="473"/>
            </w:rPr>
          </w:pPr>
          <w:r>
            <w:fldChar w:fldCharType="begin"/>
          </w:r>
          <w:r>
            <w:instrText xml:space="preserve"> HYPERLINK \l "_Toc182904015" </w:instrText>
          </w:r>
          <w:r>
            <w:fldChar w:fldCharType="separate"/>
          </w:r>
          <w:r>
            <w:rPr>
              <w:rStyle w:val="473"/>
              <w:rFonts w:hint="eastAsia" w:ascii="仿宋" w:hAnsi="仿宋" w:eastAsia="仿宋"/>
              <w:sz w:val="24"/>
              <w:szCs w:val="24"/>
              <w:lang w:eastAsia="zh-CN"/>
            </w:rPr>
            <w:t>（一）投入（总分15分，得分14分）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25</w:t>
          </w:r>
          <w:r>
            <w:rPr>
              <w:rStyle w:val="473"/>
              <w:rFonts w:hint="eastAsia"/>
              <w:lang w:eastAsia="zh-CN"/>
            </w:rPr>
            <w:fldChar w:fldCharType="end"/>
          </w:r>
          <w:r>
            <w:rPr>
              <w:rStyle w:val="473"/>
              <w:rFonts w:hint="eastAsia"/>
              <w:lang w:eastAsia="zh-CN"/>
            </w:rPr>
            <w:fldChar w:fldCharType="end"/>
          </w:r>
        </w:p>
        <w:p w14:paraId="31171BD1">
          <w:pPr>
            <w:pStyle w:val="45"/>
            <w:tabs>
              <w:tab w:val="right" w:leader="dot" w:pos="9337"/>
            </w:tabs>
            <w:spacing w:line="360" w:lineRule="auto"/>
            <w:rPr>
              <w:rStyle w:val="473"/>
            </w:rPr>
          </w:pPr>
          <w:r>
            <w:fldChar w:fldCharType="begin"/>
          </w:r>
          <w:r>
            <w:instrText xml:space="preserve"> HYPERLINK \l "_Toc182904016" </w:instrText>
          </w:r>
          <w:r>
            <w:fldChar w:fldCharType="separate"/>
          </w:r>
          <w:r>
            <w:rPr>
              <w:rStyle w:val="473"/>
              <w:rFonts w:hint="eastAsia" w:ascii="仿宋" w:hAnsi="仿宋" w:eastAsia="仿宋"/>
              <w:sz w:val="24"/>
              <w:szCs w:val="24"/>
              <w:lang w:eastAsia="zh-CN"/>
            </w:rPr>
            <w:t>1.目标设定（总分6分，得分5分）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25</w:t>
          </w:r>
          <w:r>
            <w:rPr>
              <w:rStyle w:val="473"/>
              <w:rFonts w:hint="eastAsia"/>
              <w:lang w:eastAsia="zh-CN"/>
            </w:rPr>
            <w:fldChar w:fldCharType="end"/>
          </w:r>
          <w:r>
            <w:rPr>
              <w:rStyle w:val="473"/>
              <w:rFonts w:hint="eastAsia"/>
              <w:lang w:eastAsia="zh-CN"/>
            </w:rPr>
            <w:fldChar w:fldCharType="end"/>
          </w:r>
        </w:p>
        <w:p w14:paraId="5E92F8BD">
          <w:pPr>
            <w:pStyle w:val="45"/>
            <w:tabs>
              <w:tab w:val="right" w:leader="dot" w:pos="9337"/>
            </w:tabs>
            <w:spacing w:line="360" w:lineRule="auto"/>
            <w:rPr>
              <w:rStyle w:val="473"/>
            </w:rPr>
          </w:pPr>
          <w:r>
            <w:fldChar w:fldCharType="begin"/>
          </w:r>
          <w:r>
            <w:instrText xml:space="preserve"> HYPERLINK \l "_Toc182904017" </w:instrText>
          </w:r>
          <w:r>
            <w:fldChar w:fldCharType="separate"/>
          </w:r>
          <w:r>
            <w:rPr>
              <w:rStyle w:val="473"/>
              <w:rFonts w:hint="eastAsia" w:ascii="仿宋" w:hAnsi="仿宋" w:eastAsia="仿宋"/>
              <w:sz w:val="24"/>
              <w:szCs w:val="24"/>
              <w:lang w:eastAsia="zh-CN"/>
            </w:rPr>
            <w:t>2.预算配置（总分9分,得分9分）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26</w:t>
          </w:r>
          <w:r>
            <w:rPr>
              <w:rStyle w:val="473"/>
              <w:rFonts w:hint="eastAsia"/>
              <w:lang w:eastAsia="zh-CN"/>
            </w:rPr>
            <w:fldChar w:fldCharType="end"/>
          </w:r>
          <w:r>
            <w:rPr>
              <w:rStyle w:val="473"/>
              <w:rFonts w:hint="eastAsia"/>
              <w:lang w:eastAsia="zh-CN"/>
            </w:rPr>
            <w:fldChar w:fldCharType="end"/>
          </w:r>
        </w:p>
        <w:p w14:paraId="475D665E">
          <w:pPr>
            <w:pStyle w:val="75"/>
            <w:tabs>
              <w:tab w:val="right" w:leader="dot" w:pos="9337"/>
            </w:tabs>
            <w:spacing w:line="360" w:lineRule="auto"/>
            <w:rPr>
              <w:rStyle w:val="473"/>
            </w:rPr>
          </w:pPr>
          <w:r>
            <w:fldChar w:fldCharType="begin"/>
          </w:r>
          <w:r>
            <w:instrText xml:space="preserve"> HYPERLINK \l "_Toc182904018" </w:instrText>
          </w:r>
          <w:r>
            <w:fldChar w:fldCharType="separate"/>
          </w:r>
          <w:r>
            <w:rPr>
              <w:rStyle w:val="473"/>
              <w:rFonts w:hint="eastAsia" w:ascii="仿宋" w:hAnsi="仿宋" w:eastAsia="仿宋"/>
              <w:sz w:val="24"/>
              <w:szCs w:val="24"/>
              <w:lang w:eastAsia="zh-CN"/>
            </w:rPr>
            <w:t>（二）过程（总分22分，得分17.9分）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27</w:t>
          </w:r>
          <w:r>
            <w:rPr>
              <w:rStyle w:val="473"/>
              <w:rFonts w:hint="eastAsia"/>
              <w:lang w:eastAsia="zh-CN"/>
            </w:rPr>
            <w:fldChar w:fldCharType="end"/>
          </w:r>
          <w:r>
            <w:rPr>
              <w:rStyle w:val="473"/>
              <w:rFonts w:hint="eastAsia"/>
              <w:lang w:eastAsia="zh-CN"/>
            </w:rPr>
            <w:fldChar w:fldCharType="end"/>
          </w:r>
        </w:p>
        <w:p w14:paraId="652CF9B7">
          <w:pPr>
            <w:pStyle w:val="45"/>
            <w:tabs>
              <w:tab w:val="right" w:leader="dot" w:pos="9337"/>
            </w:tabs>
            <w:spacing w:line="360" w:lineRule="auto"/>
            <w:rPr>
              <w:rStyle w:val="473"/>
            </w:rPr>
          </w:pPr>
          <w:r>
            <w:fldChar w:fldCharType="begin"/>
          </w:r>
          <w:r>
            <w:instrText xml:space="preserve"> HYPERLINK \l "_Toc182904019" </w:instrText>
          </w:r>
          <w:r>
            <w:fldChar w:fldCharType="separate"/>
          </w:r>
          <w:r>
            <w:rPr>
              <w:rStyle w:val="473"/>
              <w:rFonts w:hint="eastAsia" w:ascii="仿宋" w:hAnsi="仿宋" w:eastAsia="仿宋"/>
              <w:sz w:val="24"/>
              <w:szCs w:val="24"/>
              <w:lang w:eastAsia="zh-CN"/>
            </w:rPr>
            <w:t>1.预算执行（总分9分，得分6.9分）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_Toc182904019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27</w:t>
          </w:r>
          <w:r>
            <w:rPr>
              <w:rStyle w:val="473"/>
              <w:rFonts w:hint="eastAsia"/>
              <w:lang w:eastAsia="zh-CN"/>
            </w:rPr>
            <w:fldChar w:fldCharType="end"/>
          </w:r>
          <w:r>
            <w:rPr>
              <w:rStyle w:val="473"/>
              <w:rFonts w:hint="eastAsia"/>
              <w:lang w:eastAsia="zh-CN"/>
            </w:rPr>
            <w:fldChar w:fldCharType="end"/>
          </w:r>
        </w:p>
        <w:p w14:paraId="0974CBF5">
          <w:pPr>
            <w:pStyle w:val="45"/>
            <w:tabs>
              <w:tab w:val="right" w:leader="dot" w:pos="9337"/>
            </w:tabs>
            <w:spacing w:line="360" w:lineRule="auto"/>
            <w:rPr>
              <w:rStyle w:val="473"/>
            </w:rPr>
          </w:pPr>
          <w:r>
            <w:fldChar w:fldCharType="begin"/>
          </w:r>
          <w:r>
            <w:instrText xml:space="preserve"> HYPERLINK \l "_Toc182904020" </w:instrText>
          </w:r>
          <w:r>
            <w:fldChar w:fldCharType="separate"/>
          </w:r>
          <w:r>
            <w:rPr>
              <w:rStyle w:val="473"/>
              <w:rFonts w:hint="eastAsia" w:ascii="仿宋" w:hAnsi="仿宋" w:eastAsia="仿宋"/>
              <w:sz w:val="24"/>
              <w:szCs w:val="24"/>
              <w:lang w:eastAsia="zh-CN"/>
            </w:rPr>
            <w:t>2.预算管理（总分13分，得分11分）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28</w:t>
          </w:r>
          <w:r>
            <w:rPr>
              <w:rStyle w:val="473"/>
              <w:rFonts w:hint="eastAsia"/>
              <w:lang w:eastAsia="zh-CN"/>
            </w:rPr>
            <w:fldChar w:fldCharType="end"/>
          </w:r>
          <w:r>
            <w:rPr>
              <w:rStyle w:val="473"/>
              <w:rFonts w:hint="eastAsia"/>
              <w:lang w:eastAsia="zh-CN"/>
            </w:rPr>
            <w:fldChar w:fldCharType="end"/>
          </w:r>
        </w:p>
        <w:p w14:paraId="60C12DC0">
          <w:pPr>
            <w:pStyle w:val="75"/>
            <w:tabs>
              <w:tab w:val="right" w:leader="dot" w:pos="9337"/>
            </w:tabs>
            <w:spacing w:line="360" w:lineRule="auto"/>
            <w:rPr>
              <w:rStyle w:val="473"/>
            </w:rPr>
          </w:pPr>
          <w:r>
            <w:fldChar w:fldCharType="begin"/>
          </w:r>
          <w:r>
            <w:instrText xml:space="preserve"> HYPERLINK \l "_Toc182904021" </w:instrText>
          </w:r>
          <w:r>
            <w:fldChar w:fldCharType="separate"/>
          </w:r>
          <w:r>
            <w:rPr>
              <w:rStyle w:val="473"/>
              <w:rFonts w:hint="eastAsia" w:ascii="仿宋" w:hAnsi="仿宋" w:eastAsia="仿宋"/>
              <w:sz w:val="24"/>
              <w:szCs w:val="24"/>
              <w:lang w:eastAsia="zh-CN"/>
            </w:rPr>
            <w:t>（三）产出（总分34分，得分30分）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29</w:t>
          </w:r>
          <w:r>
            <w:rPr>
              <w:rStyle w:val="473"/>
              <w:rFonts w:hint="eastAsia"/>
              <w:lang w:eastAsia="zh-CN"/>
            </w:rPr>
            <w:fldChar w:fldCharType="end"/>
          </w:r>
          <w:r>
            <w:rPr>
              <w:rStyle w:val="473"/>
              <w:rFonts w:hint="eastAsia"/>
              <w:lang w:eastAsia="zh-CN"/>
            </w:rPr>
            <w:fldChar w:fldCharType="end"/>
          </w:r>
        </w:p>
        <w:p w14:paraId="6E04FDFB">
          <w:pPr>
            <w:pStyle w:val="45"/>
            <w:tabs>
              <w:tab w:val="right" w:leader="dot" w:pos="9337"/>
            </w:tabs>
            <w:spacing w:line="360" w:lineRule="auto"/>
            <w:rPr>
              <w:rStyle w:val="473"/>
            </w:rPr>
          </w:pPr>
          <w:r>
            <w:fldChar w:fldCharType="begin"/>
          </w:r>
          <w:r>
            <w:instrText xml:space="preserve"> HYPERLINK \l "_Toc182904022" </w:instrText>
          </w:r>
          <w:r>
            <w:fldChar w:fldCharType="separate"/>
          </w:r>
          <w:r>
            <w:rPr>
              <w:rStyle w:val="473"/>
              <w:rFonts w:hint="eastAsia" w:ascii="仿宋" w:hAnsi="仿宋" w:eastAsia="仿宋"/>
              <w:sz w:val="24"/>
              <w:szCs w:val="24"/>
              <w:lang w:eastAsia="zh-CN"/>
            </w:rPr>
            <w:t>1.产出数量（总分18分，得分18分）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29</w:t>
          </w:r>
          <w:r>
            <w:rPr>
              <w:rStyle w:val="473"/>
              <w:rFonts w:hint="eastAsia"/>
              <w:lang w:eastAsia="zh-CN"/>
            </w:rPr>
            <w:fldChar w:fldCharType="end"/>
          </w:r>
          <w:r>
            <w:rPr>
              <w:rStyle w:val="473"/>
              <w:rFonts w:hint="eastAsia"/>
              <w:lang w:eastAsia="zh-CN"/>
            </w:rPr>
            <w:fldChar w:fldCharType="end"/>
          </w:r>
        </w:p>
        <w:p w14:paraId="50908137">
          <w:pPr>
            <w:pStyle w:val="45"/>
            <w:tabs>
              <w:tab w:val="right" w:leader="dot" w:pos="9337"/>
            </w:tabs>
            <w:spacing w:line="360" w:lineRule="auto"/>
            <w:rPr>
              <w:rStyle w:val="473"/>
            </w:rPr>
          </w:pPr>
          <w:r>
            <w:fldChar w:fldCharType="begin"/>
          </w:r>
          <w:r>
            <w:instrText xml:space="preserve"> HYPERLINK \l "_Toc182904023" </w:instrText>
          </w:r>
          <w:r>
            <w:fldChar w:fldCharType="separate"/>
          </w:r>
          <w:r>
            <w:rPr>
              <w:rStyle w:val="473"/>
              <w:rFonts w:hint="eastAsia" w:ascii="仿宋" w:hAnsi="仿宋" w:eastAsia="仿宋"/>
              <w:sz w:val="24"/>
              <w:szCs w:val="24"/>
              <w:lang w:eastAsia="zh-CN"/>
            </w:rPr>
            <w:t>2.产出质量（总分13分，得分9分）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30</w:t>
          </w:r>
          <w:r>
            <w:rPr>
              <w:rStyle w:val="473"/>
              <w:rFonts w:hint="eastAsia"/>
              <w:lang w:eastAsia="zh-CN"/>
            </w:rPr>
            <w:fldChar w:fldCharType="end"/>
          </w:r>
          <w:r>
            <w:rPr>
              <w:rStyle w:val="473"/>
              <w:rFonts w:hint="eastAsia"/>
              <w:lang w:eastAsia="zh-CN"/>
            </w:rPr>
            <w:fldChar w:fldCharType="end"/>
          </w:r>
        </w:p>
        <w:p w14:paraId="52B9FEB6">
          <w:pPr>
            <w:pStyle w:val="45"/>
            <w:tabs>
              <w:tab w:val="right" w:leader="dot" w:pos="9337"/>
            </w:tabs>
            <w:spacing w:line="360" w:lineRule="auto"/>
            <w:rPr>
              <w:rStyle w:val="473"/>
            </w:rPr>
          </w:pPr>
          <w:r>
            <w:fldChar w:fldCharType="begin"/>
          </w:r>
          <w:r>
            <w:instrText xml:space="preserve"> HYPERLINK \l "_Toc182904024" </w:instrText>
          </w:r>
          <w:r>
            <w:fldChar w:fldCharType="separate"/>
          </w:r>
          <w:r>
            <w:rPr>
              <w:rStyle w:val="473"/>
              <w:rFonts w:hint="eastAsia" w:ascii="仿宋" w:hAnsi="仿宋" w:eastAsia="仿宋"/>
              <w:sz w:val="24"/>
              <w:szCs w:val="24"/>
              <w:lang w:eastAsia="zh-CN"/>
            </w:rPr>
            <w:t>3.产出成本（总分3分，得分3分）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31</w:t>
          </w:r>
          <w:r>
            <w:rPr>
              <w:rStyle w:val="473"/>
              <w:rFonts w:hint="eastAsia"/>
              <w:lang w:eastAsia="zh-CN"/>
            </w:rPr>
            <w:fldChar w:fldCharType="end"/>
          </w:r>
          <w:r>
            <w:rPr>
              <w:rStyle w:val="473"/>
              <w:rFonts w:hint="eastAsia"/>
              <w:lang w:eastAsia="zh-CN"/>
            </w:rPr>
            <w:fldChar w:fldCharType="end"/>
          </w:r>
        </w:p>
        <w:p w14:paraId="446D5CE4">
          <w:pPr>
            <w:pStyle w:val="75"/>
            <w:tabs>
              <w:tab w:val="right" w:leader="dot" w:pos="9337"/>
            </w:tabs>
            <w:spacing w:line="360" w:lineRule="auto"/>
            <w:rPr>
              <w:rStyle w:val="473"/>
            </w:rPr>
          </w:pPr>
          <w:r>
            <w:fldChar w:fldCharType="begin"/>
          </w:r>
          <w:r>
            <w:instrText xml:space="preserve"> HYPERLINK \l "_Toc182904025" </w:instrText>
          </w:r>
          <w:r>
            <w:fldChar w:fldCharType="separate"/>
          </w:r>
          <w:r>
            <w:rPr>
              <w:rStyle w:val="473"/>
              <w:rFonts w:hint="eastAsia" w:ascii="仿宋" w:hAnsi="仿宋" w:eastAsia="仿宋"/>
              <w:sz w:val="24"/>
              <w:szCs w:val="24"/>
              <w:lang w:eastAsia="zh-CN"/>
            </w:rPr>
            <w:t>（四）效益（29分，得分29分）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32</w:t>
          </w:r>
          <w:r>
            <w:rPr>
              <w:rStyle w:val="473"/>
              <w:rFonts w:hint="eastAsia"/>
              <w:lang w:eastAsia="zh-CN"/>
            </w:rPr>
            <w:fldChar w:fldCharType="end"/>
          </w:r>
          <w:r>
            <w:rPr>
              <w:rStyle w:val="473"/>
              <w:rFonts w:hint="eastAsia"/>
              <w:lang w:eastAsia="zh-CN"/>
            </w:rPr>
            <w:fldChar w:fldCharType="end"/>
          </w:r>
        </w:p>
        <w:p w14:paraId="32916953">
          <w:pPr>
            <w:pStyle w:val="45"/>
            <w:tabs>
              <w:tab w:val="right" w:leader="dot" w:pos="9337"/>
            </w:tabs>
            <w:spacing w:line="360" w:lineRule="auto"/>
            <w:rPr>
              <w:rStyle w:val="473"/>
            </w:rPr>
          </w:pPr>
          <w:r>
            <w:fldChar w:fldCharType="begin"/>
          </w:r>
          <w:r>
            <w:instrText xml:space="preserve"> HYPERLINK \l "_Toc182904026" </w:instrText>
          </w:r>
          <w:r>
            <w:fldChar w:fldCharType="separate"/>
          </w:r>
          <w:r>
            <w:rPr>
              <w:rStyle w:val="473"/>
              <w:rFonts w:hint="eastAsia" w:ascii="仿宋" w:hAnsi="仿宋" w:eastAsia="仿宋"/>
              <w:sz w:val="24"/>
              <w:szCs w:val="24"/>
              <w:lang w:eastAsia="zh-CN"/>
            </w:rPr>
            <w:t>1.社会效益（总分25分，得分25分）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32</w:t>
          </w:r>
          <w:r>
            <w:rPr>
              <w:rStyle w:val="473"/>
              <w:rFonts w:hint="eastAsia"/>
              <w:lang w:eastAsia="zh-CN"/>
            </w:rPr>
            <w:fldChar w:fldCharType="end"/>
          </w:r>
          <w:r>
            <w:rPr>
              <w:rStyle w:val="473"/>
              <w:rFonts w:hint="eastAsia"/>
              <w:lang w:eastAsia="zh-CN"/>
            </w:rPr>
            <w:fldChar w:fldCharType="end"/>
          </w:r>
        </w:p>
        <w:p w14:paraId="0F826E78">
          <w:pPr>
            <w:pStyle w:val="45"/>
            <w:tabs>
              <w:tab w:val="right" w:leader="dot" w:pos="9337"/>
            </w:tabs>
            <w:spacing w:line="360" w:lineRule="auto"/>
            <w:rPr>
              <w:rStyle w:val="473"/>
            </w:rPr>
          </w:pPr>
          <w:r>
            <w:fldChar w:fldCharType="begin"/>
          </w:r>
          <w:r>
            <w:instrText xml:space="preserve"> HYPERLINK \l "_Toc182904027" </w:instrText>
          </w:r>
          <w:r>
            <w:fldChar w:fldCharType="separate"/>
          </w:r>
          <w:r>
            <w:rPr>
              <w:rStyle w:val="473"/>
              <w:rFonts w:hint="eastAsia" w:ascii="仿宋" w:hAnsi="仿宋" w:eastAsia="仿宋"/>
              <w:sz w:val="24"/>
              <w:szCs w:val="24"/>
              <w:lang w:eastAsia="zh-CN"/>
            </w:rPr>
            <w:t>2.满意度（总分4分，得分4分）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33</w:t>
          </w:r>
          <w:r>
            <w:rPr>
              <w:rStyle w:val="473"/>
              <w:rFonts w:hint="eastAsia"/>
              <w:lang w:eastAsia="zh-CN"/>
            </w:rPr>
            <w:fldChar w:fldCharType="end"/>
          </w:r>
          <w:r>
            <w:rPr>
              <w:rStyle w:val="473"/>
              <w:rFonts w:hint="eastAsia"/>
              <w:lang w:eastAsia="zh-CN"/>
            </w:rPr>
            <w:fldChar w:fldCharType="end"/>
          </w:r>
        </w:p>
        <w:p w14:paraId="19D4B8DA">
          <w:pPr>
            <w:pStyle w:val="60"/>
            <w:tabs>
              <w:tab w:val="right" w:leader="dot" w:pos="9337"/>
            </w:tabs>
            <w:spacing w:line="360" w:lineRule="auto"/>
            <w:rPr>
              <w:rStyle w:val="473"/>
            </w:rPr>
          </w:pPr>
          <w:r>
            <w:fldChar w:fldCharType="begin"/>
          </w:r>
          <w:r>
            <w:instrText xml:space="preserve"> HYPERLINK \l "_Toc182904028" </w:instrText>
          </w:r>
          <w:r>
            <w:fldChar w:fldCharType="separate"/>
          </w:r>
          <w:r>
            <w:rPr>
              <w:rStyle w:val="473"/>
              <w:rFonts w:hint="eastAsia" w:ascii="仿宋" w:hAnsi="仿宋" w:eastAsia="仿宋"/>
              <w:sz w:val="24"/>
              <w:szCs w:val="24"/>
              <w:lang w:eastAsia="zh-CN"/>
            </w:rPr>
            <w:t>七、评价结论及绩效分析</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33</w:t>
          </w:r>
          <w:r>
            <w:rPr>
              <w:rStyle w:val="473"/>
              <w:rFonts w:hint="eastAsia"/>
              <w:lang w:eastAsia="zh-CN"/>
            </w:rPr>
            <w:fldChar w:fldCharType="end"/>
          </w:r>
          <w:r>
            <w:rPr>
              <w:rStyle w:val="473"/>
              <w:rFonts w:hint="eastAsia"/>
              <w:lang w:eastAsia="zh-CN"/>
            </w:rPr>
            <w:fldChar w:fldCharType="end"/>
          </w:r>
        </w:p>
        <w:p w14:paraId="10C45312">
          <w:pPr>
            <w:pStyle w:val="75"/>
            <w:tabs>
              <w:tab w:val="right" w:leader="dot" w:pos="9337"/>
            </w:tabs>
            <w:spacing w:line="360" w:lineRule="auto"/>
            <w:rPr>
              <w:rStyle w:val="473"/>
            </w:rPr>
          </w:pPr>
          <w:r>
            <w:fldChar w:fldCharType="begin"/>
          </w:r>
          <w:r>
            <w:instrText xml:space="preserve"> HYPERLINK \l "_Toc182904029" </w:instrText>
          </w:r>
          <w:r>
            <w:fldChar w:fldCharType="separate"/>
          </w:r>
          <w:r>
            <w:rPr>
              <w:rStyle w:val="473"/>
              <w:rFonts w:hint="eastAsia" w:ascii="仿宋" w:hAnsi="仿宋" w:eastAsia="仿宋"/>
              <w:sz w:val="24"/>
              <w:szCs w:val="24"/>
              <w:lang w:eastAsia="zh-CN"/>
            </w:rPr>
            <w:t>（一）绩效评价结论</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_Toc182904029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33</w:t>
          </w:r>
          <w:r>
            <w:rPr>
              <w:rStyle w:val="473"/>
              <w:rFonts w:hint="eastAsia"/>
              <w:lang w:eastAsia="zh-CN"/>
            </w:rPr>
            <w:fldChar w:fldCharType="end"/>
          </w:r>
          <w:r>
            <w:rPr>
              <w:rStyle w:val="473"/>
              <w:rFonts w:hint="eastAsia"/>
              <w:lang w:eastAsia="zh-CN"/>
            </w:rPr>
            <w:fldChar w:fldCharType="end"/>
          </w:r>
        </w:p>
        <w:p w14:paraId="56B3A524">
          <w:pPr>
            <w:pStyle w:val="75"/>
            <w:tabs>
              <w:tab w:val="right" w:leader="dot" w:pos="9337"/>
            </w:tabs>
            <w:spacing w:line="360" w:lineRule="auto"/>
            <w:rPr>
              <w:rStyle w:val="473"/>
            </w:rPr>
          </w:pPr>
          <w:r>
            <w:fldChar w:fldCharType="begin"/>
          </w:r>
          <w:r>
            <w:instrText xml:space="preserve"> HYPERLINK \l "_Toc182904030" </w:instrText>
          </w:r>
          <w:r>
            <w:fldChar w:fldCharType="separate"/>
          </w:r>
          <w:r>
            <w:rPr>
              <w:rStyle w:val="473"/>
              <w:rFonts w:hint="eastAsia" w:ascii="仿宋" w:hAnsi="仿宋" w:eastAsia="仿宋"/>
              <w:sz w:val="24"/>
              <w:szCs w:val="24"/>
              <w:lang w:eastAsia="zh-CN"/>
            </w:rPr>
            <w:t>（二）扣分项目</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33</w:t>
          </w:r>
          <w:r>
            <w:rPr>
              <w:rStyle w:val="473"/>
              <w:rFonts w:hint="eastAsia"/>
              <w:lang w:eastAsia="zh-CN"/>
            </w:rPr>
            <w:fldChar w:fldCharType="end"/>
          </w:r>
          <w:r>
            <w:rPr>
              <w:rStyle w:val="473"/>
              <w:rFonts w:hint="eastAsia"/>
              <w:lang w:eastAsia="zh-CN"/>
            </w:rPr>
            <w:fldChar w:fldCharType="end"/>
          </w:r>
        </w:p>
        <w:p w14:paraId="44D33A7B">
          <w:pPr>
            <w:pStyle w:val="60"/>
            <w:tabs>
              <w:tab w:val="right" w:leader="dot" w:pos="9337"/>
            </w:tabs>
            <w:spacing w:line="360" w:lineRule="auto"/>
            <w:rPr>
              <w:rStyle w:val="473"/>
            </w:rPr>
          </w:pPr>
          <w:r>
            <w:fldChar w:fldCharType="begin"/>
          </w:r>
          <w:r>
            <w:instrText xml:space="preserve"> HYPERLINK \l "_Toc182904031" </w:instrText>
          </w:r>
          <w:r>
            <w:fldChar w:fldCharType="separate"/>
          </w:r>
          <w:r>
            <w:rPr>
              <w:rStyle w:val="473"/>
              <w:rFonts w:hint="eastAsia" w:ascii="仿宋" w:hAnsi="仿宋" w:eastAsia="仿宋"/>
              <w:sz w:val="24"/>
              <w:szCs w:val="24"/>
              <w:lang w:eastAsia="zh-CN"/>
            </w:rPr>
            <w:t>八、主要成效</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34</w:t>
          </w:r>
          <w:r>
            <w:rPr>
              <w:rStyle w:val="473"/>
              <w:rFonts w:hint="eastAsia"/>
              <w:lang w:eastAsia="zh-CN"/>
            </w:rPr>
            <w:fldChar w:fldCharType="end"/>
          </w:r>
          <w:r>
            <w:rPr>
              <w:rStyle w:val="473"/>
              <w:rFonts w:hint="eastAsia"/>
              <w:lang w:eastAsia="zh-CN"/>
            </w:rPr>
            <w:fldChar w:fldCharType="end"/>
          </w:r>
        </w:p>
        <w:p w14:paraId="767769CE">
          <w:pPr>
            <w:pStyle w:val="60"/>
            <w:tabs>
              <w:tab w:val="right" w:leader="dot" w:pos="9337"/>
            </w:tabs>
            <w:spacing w:line="360" w:lineRule="auto"/>
            <w:rPr>
              <w:rStyle w:val="473"/>
            </w:rPr>
          </w:pPr>
          <w:r>
            <w:fldChar w:fldCharType="begin"/>
          </w:r>
          <w:r>
            <w:instrText xml:space="preserve"> HYPERLINK \l "_Toc182904032" </w:instrText>
          </w:r>
          <w:r>
            <w:fldChar w:fldCharType="separate"/>
          </w:r>
          <w:r>
            <w:rPr>
              <w:rStyle w:val="473"/>
              <w:rFonts w:hint="eastAsia" w:ascii="仿宋" w:hAnsi="仿宋" w:eastAsia="仿宋"/>
              <w:sz w:val="24"/>
              <w:szCs w:val="24"/>
              <w:lang w:eastAsia="zh-CN"/>
            </w:rPr>
            <w:t>九、存在问题</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35</w:t>
          </w:r>
          <w:r>
            <w:rPr>
              <w:rStyle w:val="473"/>
              <w:rFonts w:hint="eastAsia"/>
              <w:lang w:eastAsia="zh-CN"/>
            </w:rPr>
            <w:fldChar w:fldCharType="end"/>
          </w:r>
          <w:r>
            <w:rPr>
              <w:rStyle w:val="473"/>
              <w:rFonts w:hint="eastAsia"/>
              <w:lang w:eastAsia="zh-CN"/>
            </w:rPr>
            <w:fldChar w:fldCharType="end"/>
          </w:r>
        </w:p>
        <w:p w14:paraId="5E22FDF8">
          <w:pPr>
            <w:pStyle w:val="75"/>
            <w:tabs>
              <w:tab w:val="right" w:leader="dot" w:pos="9337"/>
            </w:tabs>
            <w:spacing w:line="360" w:lineRule="auto"/>
            <w:rPr>
              <w:rStyle w:val="473"/>
            </w:rPr>
          </w:pPr>
          <w:r>
            <w:fldChar w:fldCharType="begin"/>
          </w:r>
          <w:r>
            <w:instrText xml:space="preserve"> HYPERLINK \l "_Toc182904033" </w:instrText>
          </w:r>
          <w:r>
            <w:fldChar w:fldCharType="separate"/>
          </w:r>
          <w:r>
            <w:rPr>
              <w:rStyle w:val="473"/>
              <w:rFonts w:hint="eastAsia" w:ascii="仿宋" w:hAnsi="仿宋" w:eastAsia="仿宋"/>
              <w:sz w:val="24"/>
              <w:szCs w:val="24"/>
              <w:lang w:eastAsia="zh-CN"/>
            </w:rPr>
            <w:t>（一）绩效目标不明确，自评工作不够规范</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35</w:t>
          </w:r>
          <w:r>
            <w:rPr>
              <w:rStyle w:val="473"/>
              <w:rFonts w:hint="eastAsia"/>
              <w:lang w:eastAsia="zh-CN"/>
            </w:rPr>
            <w:fldChar w:fldCharType="end"/>
          </w:r>
          <w:r>
            <w:rPr>
              <w:rStyle w:val="473"/>
              <w:rFonts w:hint="eastAsia"/>
              <w:lang w:eastAsia="zh-CN"/>
            </w:rPr>
            <w:fldChar w:fldCharType="end"/>
          </w:r>
        </w:p>
        <w:p w14:paraId="7F75EFED">
          <w:pPr>
            <w:pStyle w:val="75"/>
            <w:tabs>
              <w:tab w:val="right" w:leader="dot" w:pos="9337"/>
            </w:tabs>
            <w:spacing w:line="360" w:lineRule="auto"/>
            <w:rPr>
              <w:rStyle w:val="473"/>
            </w:rPr>
          </w:pPr>
          <w:r>
            <w:fldChar w:fldCharType="begin"/>
          </w:r>
          <w:r>
            <w:instrText xml:space="preserve"> HYPERLINK \l "_Toc182904034" </w:instrText>
          </w:r>
          <w:r>
            <w:fldChar w:fldCharType="separate"/>
          </w:r>
          <w:r>
            <w:rPr>
              <w:rStyle w:val="473"/>
              <w:rFonts w:hint="eastAsia" w:ascii="仿宋" w:hAnsi="仿宋" w:eastAsia="仿宋"/>
              <w:sz w:val="24"/>
              <w:szCs w:val="24"/>
              <w:lang w:eastAsia="zh-CN"/>
            </w:rPr>
            <w:t>（二）预算调整率偏高，预算编制不够精准</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35</w:t>
          </w:r>
          <w:r>
            <w:rPr>
              <w:rStyle w:val="473"/>
              <w:rFonts w:hint="eastAsia"/>
              <w:lang w:eastAsia="zh-CN"/>
            </w:rPr>
            <w:fldChar w:fldCharType="end"/>
          </w:r>
          <w:r>
            <w:rPr>
              <w:rStyle w:val="473"/>
              <w:rFonts w:hint="eastAsia"/>
              <w:lang w:eastAsia="zh-CN"/>
            </w:rPr>
            <w:fldChar w:fldCharType="end"/>
          </w:r>
        </w:p>
        <w:p w14:paraId="6A825952">
          <w:pPr>
            <w:pStyle w:val="75"/>
            <w:tabs>
              <w:tab w:val="right" w:leader="dot" w:pos="9337"/>
            </w:tabs>
            <w:spacing w:line="360" w:lineRule="auto"/>
            <w:rPr>
              <w:rStyle w:val="473"/>
            </w:rPr>
          </w:pPr>
          <w:r>
            <w:fldChar w:fldCharType="begin"/>
          </w:r>
          <w:r>
            <w:instrText xml:space="preserve"> HYPERLINK \l "_Toc182904035" </w:instrText>
          </w:r>
          <w:r>
            <w:fldChar w:fldCharType="separate"/>
          </w:r>
          <w:r>
            <w:rPr>
              <w:rStyle w:val="473"/>
              <w:rFonts w:hint="eastAsia" w:ascii="仿宋" w:hAnsi="仿宋" w:eastAsia="仿宋"/>
              <w:sz w:val="24"/>
              <w:szCs w:val="24"/>
              <w:lang w:eastAsia="zh-CN"/>
            </w:rPr>
            <w:t>（三）财务核算规范性存在不足</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35</w:t>
          </w:r>
          <w:r>
            <w:rPr>
              <w:rStyle w:val="473"/>
              <w:rFonts w:hint="eastAsia"/>
              <w:lang w:eastAsia="zh-CN"/>
            </w:rPr>
            <w:fldChar w:fldCharType="end"/>
          </w:r>
          <w:r>
            <w:rPr>
              <w:rStyle w:val="473"/>
              <w:rFonts w:hint="eastAsia"/>
              <w:lang w:eastAsia="zh-CN"/>
            </w:rPr>
            <w:fldChar w:fldCharType="end"/>
          </w:r>
        </w:p>
        <w:p w14:paraId="25A9934E">
          <w:pPr>
            <w:pStyle w:val="75"/>
            <w:tabs>
              <w:tab w:val="right" w:leader="dot" w:pos="9337"/>
            </w:tabs>
            <w:spacing w:line="360" w:lineRule="auto"/>
            <w:rPr>
              <w:rStyle w:val="473"/>
            </w:rPr>
          </w:pPr>
          <w:r>
            <w:fldChar w:fldCharType="begin"/>
          </w:r>
          <w:r>
            <w:instrText xml:space="preserve"> HYPERLINK \l "_Toc182904036" </w:instrText>
          </w:r>
          <w:r>
            <w:fldChar w:fldCharType="separate"/>
          </w:r>
          <w:r>
            <w:rPr>
              <w:rStyle w:val="473"/>
              <w:rFonts w:hint="eastAsia" w:ascii="仿宋" w:hAnsi="仿宋" w:eastAsia="仿宋"/>
              <w:sz w:val="24"/>
              <w:szCs w:val="24"/>
              <w:lang w:eastAsia="zh-CN"/>
            </w:rPr>
            <w:t>（四）对乡镇一线人员的监督力度不足</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37</w:t>
          </w:r>
          <w:r>
            <w:rPr>
              <w:rStyle w:val="473"/>
              <w:rFonts w:hint="eastAsia"/>
              <w:lang w:eastAsia="zh-CN"/>
            </w:rPr>
            <w:fldChar w:fldCharType="end"/>
          </w:r>
          <w:r>
            <w:rPr>
              <w:rStyle w:val="473"/>
              <w:rFonts w:hint="eastAsia"/>
              <w:lang w:eastAsia="zh-CN"/>
            </w:rPr>
            <w:fldChar w:fldCharType="end"/>
          </w:r>
        </w:p>
        <w:p w14:paraId="7584DC1E">
          <w:pPr>
            <w:pStyle w:val="75"/>
            <w:tabs>
              <w:tab w:val="right" w:leader="dot" w:pos="9337"/>
            </w:tabs>
            <w:spacing w:line="360" w:lineRule="auto"/>
            <w:rPr>
              <w:rStyle w:val="473"/>
            </w:rPr>
          </w:pPr>
          <w:r>
            <w:fldChar w:fldCharType="begin"/>
          </w:r>
          <w:r>
            <w:instrText xml:space="preserve"> HYPERLINK \l "_Toc182904037" </w:instrText>
          </w:r>
          <w:r>
            <w:fldChar w:fldCharType="separate"/>
          </w:r>
          <w:r>
            <w:rPr>
              <w:rStyle w:val="473"/>
              <w:rFonts w:hint="eastAsia" w:ascii="仿宋" w:hAnsi="仿宋" w:eastAsia="仿宋"/>
              <w:sz w:val="24"/>
              <w:szCs w:val="24"/>
              <w:lang w:eastAsia="zh-CN"/>
            </w:rPr>
            <w:t>（五）执法人员内部培训不足</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38</w:t>
          </w:r>
          <w:r>
            <w:rPr>
              <w:rStyle w:val="473"/>
              <w:rFonts w:hint="eastAsia"/>
              <w:lang w:eastAsia="zh-CN"/>
            </w:rPr>
            <w:fldChar w:fldCharType="end"/>
          </w:r>
          <w:r>
            <w:rPr>
              <w:rStyle w:val="473"/>
              <w:rFonts w:hint="eastAsia"/>
              <w:lang w:eastAsia="zh-CN"/>
            </w:rPr>
            <w:fldChar w:fldCharType="end"/>
          </w:r>
        </w:p>
        <w:p w14:paraId="04FD615D">
          <w:pPr>
            <w:pStyle w:val="60"/>
            <w:tabs>
              <w:tab w:val="right" w:leader="dot" w:pos="9337"/>
            </w:tabs>
            <w:spacing w:line="360" w:lineRule="auto"/>
            <w:rPr>
              <w:rStyle w:val="473"/>
            </w:rPr>
          </w:pPr>
          <w:r>
            <w:fldChar w:fldCharType="begin"/>
          </w:r>
          <w:r>
            <w:instrText xml:space="preserve"> HYPERLINK \l "_Toc182904038" </w:instrText>
          </w:r>
          <w:r>
            <w:fldChar w:fldCharType="separate"/>
          </w:r>
          <w:r>
            <w:rPr>
              <w:rStyle w:val="473"/>
              <w:rFonts w:hint="eastAsia" w:ascii="仿宋" w:hAnsi="仿宋" w:eastAsia="仿宋"/>
              <w:sz w:val="24"/>
              <w:szCs w:val="24"/>
              <w:lang w:eastAsia="zh-CN"/>
            </w:rPr>
            <w:t>十、提出建议</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_Toc182904038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38</w:t>
          </w:r>
          <w:r>
            <w:rPr>
              <w:rStyle w:val="473"/>
              <w:rFonts w:hint="eastAsia"/>
              <w:lang w:eastAsia="zh-CN"/>
            </w:rPr>
            <w:fldChar w:fldCharType="end"/>
          </w:r>
          <w:r>
            <w:rPr>
              <w:rStyle w:val="473"/>
              <w:rFonts w:hint="eastAsia"/>
              <w:lang w:eastAsia="zh-CN"/>
            </w:rPr>
            <w:fldChar w:fldCharType="end"/>
          </w:r>
        </w:p>
        <w:p w14:paraId="078CE702">
          <w:pPr>
            <w:pStyle w:val="75"/>
            <w:tabs>
              <w:tab w:val="right" w:leader="dot" w:pos="9337"/>
            </w:tabs>
            <w:spacing w:line="360" w:lineRule="auto"/>
            <w:rPr>
              <w:rStyle w:val="473"/>
            </w:rPr>
          </w:pPr>
          <w:r>
            <w:fldChar w:fldCharType="begin"/>
          </w:r>
          <w:r>
            <w:instrText xml:space="preserve"> HYPERLINK \l "_Toc182904039" </w:instrText>
          </w:r>
          <w:r>
            <w:fldChar w:fldCharType="separate"/>
          </w:r>
          <w:r>
            <w:rPr>
              <w:rStyle w:val="473"/>
              <w:rFonts w:hint="eastAsia" w:ascii="仿宋" w:hAnsi="仿宋" w:eastAsia="仿宋"/>
              <w:sz w:val="24"/>
              <w:szCs w:val="24"/>
              <w:lang w:eastAsia="zh-CN"/>
            </w:rPr>
            <w:t>（一）加强绩效指标设置水平，提高绩效自评效益</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_Toc182904039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38</w:t>
          </w:r>
          <w:r>
            <w:rPr>
              <w:rStyle w:val="473"/>
              <w:rFonts w:hint="eastAsia"/>
              <w:lang w:eastAsia="zh-CN"/>
            </w:rPr>
            <w:fldChar w:fldCharType="end"/>
          </w:r>
          <w:r>
            <w:rPr>
              <w:rStyle w:val="473"/>
              <w:rFonts w:hint="eastAsia"/>
              <w:lang w:eastAsia="zh-CN"/>
            </w:rPr>
            <w:fldChar w:fldCharType="end"/>
          </w:r>
        </w:p>
        <w:p w14:paraId="4386F05F">
          <w:pPr>
            <w:pStyle w:val="75"/>
            <w:tabs>
              <w:tab w:val="right" w:leader="dot" w:pos="9337"/>
            </w:tabs>
            <w:spacing w:line="360" w:lineRule="auto"/>
            <w:rPr>
              <w:rStyle w:val="473"/>
            </w:rPr>
          </w:pPr>
          <w:r>
            <w:fldChar w:fldCharType="begin"/>
          </w:r>
          <w:r>
            <w:instrText xml:space="preserve"> HYPERLINK \l "_Toc182904040" </w:instrText>
          </w:r>
          <w:r>
            <w:fldChar w:fldCharType="separate"/>
          </w:r>
          <w:r>
            <w:rPr>
              <w:rStyle w:val="473"/>
              <w:rFonts w:hint="eastAsia" w:ascii="仿宋" w:hAnsi="仿宋" w:eastAsia="仿宋"/>
              <w:sz w:val="24"/>
              <w:szCs w:val="24"/>
              <w:lang w:eastAsia="zh-CN"/>
            </w:rPr>
            <w:t>（二）加强预算的科学性,降低预算调整率</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_Toc182904040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38</w:t>
          </w:r>
          <w:r>
            <w:rPr>
              <w:rStyle w:val="473"/>
              <w:rFonts w:hint="eastAsia"/>
              <w:lang w:eastAsia="zh-CN"/>
            </w:rPr>
            <w:fldChar w:fldCharType="end"/>
          </w:r>
          <w:r>
            <w:rPr>
              <w:rStyle w:val="473"/>
              <w:rFonts w:hint="eastAsia"/>
              <w:lang w:eastAsia="zh-CN"/>
            </w:rPr>
            <w:fldChar w:fldCharType="end"/>
          </w:r>
        </w:p>
        <w:p w14:paraId="2AC052A4">
          <w:pPr>
            <w:pStyle w:val="75"/>
            <w:tabs>
              <w:tab w:val="right" w:leader="dot" w:pos="9337"/>
            </w:tabs>
            <w:spacing w:line="360" w:lineRule="auto"/>
            <w:rPr>
              <w:rStyle w:val="473"/>
            </w:rPr>
          </w:pPr>
          <w:r>
            <w:fldChar w:fldCharType="begin"/>
          </w:r>
          <w:r>
            <w:instrText xml:space="preserve"> HYPERLINK \l "_Toc182904041" </w:instrText>
          </w:r>
          <w:r>
            <w:fldChar w:fldCharType="separate"/>
          </w:r>
          <w:r>
            <w:rPr>
              <w:rStyle w:val="473"/>
              <w:rFonts w:hint="eastAsia" w:ascii="仿宋" w:hAnsi="仿宋" w:eastAsia="仿宋"/>
              <w:sz w:val="24"/>
              <w:szCs w:val="24"/>
              <w:lang w:eastAsia="zh-CN"/>
            </w:rPr>
            <w:t>（三）加强财务核算规范性</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_Toc182904041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39</w:t>
          </w:r>
          <w:r>
            <w:rPr>
              <w:rStyle w:val="473"/>
              <w:rFonts w:hint="eastAsia"/>
              <w:lang w:eastAsia="zh-CN"/>
            </w:rPr>
            <w:fldChar w:fldCharType="end"/>
          </w:r>
          <w:r>
            <w:rPr>
              <w:rStyle w:val="473"/>
              <w:rFonts w:hint="eastAsia"/>
              <w:lang w:eastAsia="zh-CN"/>
            </w:rPr>
            <w:fldChar w:fldCharType="end"/>
          </w:r>
        </w:p>
        <w:p w14:paraId="2F2F2729">
          <w:pPr>
            <w:pStyle w:val="75"/>
            <w:tabs>
              <w:tab w:val="right" w:leader="dot" w:pos="9337"/>
            </w:tabs>
            <w:spacing w:line="360" w:lineRule="auto"/>
            <w:rPr>
              <w:rStyle w:val="473"/>
            </w:rPr>
          </w:pPr>
          <w:r>
            <w:fldChar w:fldCharType="begin"/>
          </w:r>
          <w:r>
            <w:instrText xml:space="preserve"> HYPERLINK \l "_Toc182904042" </w:instrText>
          </w:r>
          <w:r>
            <w:fldChar w:fldCharType="separate"/>
          </w:r>
          <w:r>
            <w:rPr>
              <w:rStyle w:val="473"/>
              <w:rFonts w:hint="eastAsia" w:ascii="仿宋" w:hAnsi="仿宋" w:eastAsia="仿宋"/>
              <w:sz w:val="24"/>
              <w:szCs w:val="24"/>
              <w:lang w:eastAsia="zh-CN"/>
            </w:rPr>
            <w:t>（四）加强对一线人员的监督，提高一线人员工作落实度</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_Toc182904042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39</w:t>
          </w:r>
          <w:r>
            <w:rPr>
              <w:rStyle w:val="473"/>
              <w:rFonts w:hint="eastAsia"/>
              <w:lang w:eastAsia="zh-CN"/>
            </w:rPr>
            <w:fldChar w:fldCharType="end"/>
          </w:r>
          <w:r>
            <w:rPr>
              <w:rStyle w:val="473"/>
              <w:rFonts w:hint="eastAsia"/>
              <w:lang w:eastAsia="zh-CN"/>
            </w:rPr>
            <w:fldChar w:fldCharType="end"/>
          </w:r>
        </w:p>
        <w:p w14:paraId="3EFE119B">
          <w:pPr>
            <w:pStyle w:val="75"/>
            <w:tabs>
              <w:tab w:val="right" w:leader="dot" w:pos="9337"/>
            </w:tabs>
            <w:spacing w:line="360" w:lineRule="auto"/>
            <w:rPr>
              <w:rStyle w:val="473"/>
            </w:rPr>
          </w:pPr>
          <w:r>
            <w:fldChar w:fldCharType="begin"/>
          </w:r>
          <w:r>
            <w:instrText xml:space="preserve"> HYPERLINK \l "_Toc182904043" </w:instrText>
          </w:r>
          <w:r>
            <w:fldChar w:fldCharType="separate"/>
          </w:r>
          <w:r>
            <w:rPr>
              <w:rStyle w:val="473"/>
              <w:rFonts w:hint="eastAsia" w:ascii="仿宋" w:hAnsi="仿宋" w:eastAsia="仿宋"/>
              <w:sz w:val="24"/>
              <w:szCs w:val="24"/>
              <w:lang w:eastAsia="zh-CN"/>
            </w:rPr>
            <w:t>（五）加强内部执法人员专业培训</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_Toc182904043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39</w:t>
          </w:r>
          <w:r>
            <w:rPr>
              <w:rStyle w:val="473"/>
              <w:rFonts w:hint="eastAsia"/>
              <w:lang w:eastAsia="zh-CN"/>
            </w:rPr>
            <w:fldChar w:fldCharType="end"/>
          </w:r>
          <w:r>
            <w:rPr>
              <w:rStyle w:val="473"/>
              <w:rFonts w:hint="eastAsia"/>
              <w:lang w:eastAsia="zh-CN"/>
            </w:rPr>
            <w:fldChar w:fldCharType="end"/>
          </w:r>
        </w:p>
        <w:p w14:paraId="33F64C9D">
          <w:pPr>
            <w:pStyle w:val="60"/>
            <w:tabs>
              <w:tab w:val="right" w:leader="dot" w:pos="9337"/>
            </w:tabs>
            <w:spacing w:line="360" w:lineRule="auto"/>
            <w:rPr>
              <w:rStyle w:val="473"/>
            </w:rPr>
          </w:pPr>
          <w:r>
            <w:fldChar w:fldCharType="begin"/>
          </w:r>
          <w:r>
            <w:instrText xml:space="preserve"> HYPERLINK \l "_Toc182904044" </w:instrText>
          </w:r>
          <w:r>
            <w:fldChar w:fldCharType="separate"/>
          </w:r>
          <w:r>
            <w:rPr>
              <w:rStyle w:val="473"/>
              <w:rFonts w:hint="eastAsia" w:ascii="仿宋" w:hAnsi="仿宋" w:eastAsia="仿宋"/>
              <w:sz w:val="24"/>
              <w:szCs w:val="24"/>
              <w:lang w:eastAsia="zh-CN"/>
            </w:rPr>
            <w:t>十一、其他需说明事项</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_Toc182904044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39</w:t>
          </w:r>
          <w:r>
            <w:rPr>
              <w:rStyle w:val="473"/>
              <w:rFonts w:hint="eastAsia"/>
              <w:lang w:eastAsia="zh-CN"/>
            </w:rPr>
            <w:fldChar w:fldCharType="end"/>
          </w:r>
          <w:r>
            <w:rPr>
              <w:rStyle w:val="473"/>
              <w:rFonts w:hint="eastAsia"/>
              <w:lang w:eastAsia="zh-CN"/>
            </w:rPr>
            <w:fldChar w:fldCharType="end"/>
          </w:r>
        </w:p>
        <w:p w14:paraId="0AE5ECB1">
          <w:pPr>
            <w:pStyle w:val="60"/>
            <w:tabs>
              <w:tab w:val="right" w:leader="dot" w:pos="9337"/>
            </w:tabs>
            <w:spacing w:line="360" w:lineRule="auto"/>
            <w:rPr>
              <w:rStyle w:val="473"/>
            </w:rPr>
          </w:pPr>
          <w:r>
            <w:fldChar w:fldCharType="begin"/>
          </w:r>
          <w:r>
            <w:instrText xml:space="preserve"> HYPERLINK \l "_Toc182904045" </w:instrText>
          </w:r>
          <w:r>
            <w:fldChar w:fldCharType="separate"/>
          </w:r>
          <w:r>
            <w:rPr>
              <w:rStyle w:val="473"/>
              <w:rFonts w:hint="eastAsia" w:ascii="仿宋" w:hAnsi="仿宋" w:eastAsia="仿宋"/>
              <w:sz w:val="24"/>
              <w:szCs w:val="24"/>
              <w:lang w:eastAsia="zh-CN"/>
            </w:rPr>
            <w:t>附件一：调查问卷</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_Toc182904045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41</w:t>
          </w:r>
          <w:r>
            <w:rPr>
              <w:rStyle w:val="473"/>
              <w:rFonts w:hint="eastAsia"/>
              <w:lang w:eastAsia="zh-CN"/>
            </w:rPr>
            <w:fldChar w:fldCharType="end"/>
          </w:r>
          <w:r>
            <w:rPr>
              <w:rStyle w:val="473"/>
              <w:rFonts w:hint="eastAsia"/>
              <w:lang w:eastAsia="zh-CN"/>
            </w:rPr>
            <w:fldChar w:fldCharType="end"/>
          </w:r>
        </w:p>
        <w:p w14:paraId="31B60AFC">
          <w:pPr>
            <w:pStyle w:val="60"/>
            <w:tabs>
              <w:tab w:val="right" w:leader="dot" w:pos="9337"/>
            </w:tabs>
            <w:spacing w:line="360" w:lineRule="auto"/>
            <w:rPr>
              <w:rStyle w:val="473"/>
            </w:rPr>
          </w:pPr>
          <w:r>
            <w:fldChar w:fldCharType="begin"/>
          </w:r>
          <w:r>
            <w:instrText xml:space="preserve"> HYPERLINK \l "_Toc182904046" </w:instrText>
          </w:r>
          <w:r>
            <w:fldChar w:fldCharType="separate"/>
          </w:r>
          <w:r>
            <w:rPr>
              <w:rStyle w:val="473"/>
              <w:rFonts w:hint="eastAsia" w:ascii="仿宋" w:hAnsi="仿宋" w:eastAsia="仿宋"/>
              <w:sz w:val="24"/>
              <w:szCs w:val="24"/>
              <w:lang w:eastAsia="zh-CN"/>
            </w:rPr>
            <w:t>附件二：访谈相关照片</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_Toc182904046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42</w:t>
          </w:r>
          <w:r>
            <w:rPr>
              <w:rStyle w:val="473"/>
              <w:rFonts w:hint="eastAsia"/>
              <w:lang w:eastAsia="zh-CN"/>
            </w:rPr>
            <w:fldChar w:fldCharType="end"/>
          </w:r>
          <w:r>
            <w:rPr>
              <w:rStyle w:val="473"/>
              <w:rFonts w:hint="eastAsia"/>
              <w:lang w:eastAsia="zh-CN"/>
            </w:rPr>
            <w:fldChar w:fldCharType="end"/>
          </w:r>
        </w:p>
        <w:p w14:paraId="2FD0205E">
          <w:pPr>
            <w:pStyle w:val="60"/>
            <w:tabs>
              <w:tab w:val="right" w:leader="dot" w:pos="9337"/>
            </w:tabs>
            <w:spacing w:line="360" w:lineRule="auto"/>
            <w:rPr>
              <w:rStyle w:val="473"/>
            </w:rPr>
          </w:pPr>
          <w:r>
            <w:fldChar w:fldCharType="begin"/>
          </w:r>
          <w:r>
            <w:instrText xml:space="preserve"> HYPERLINK \l "_Toc182904047" </w:instrText>
          </w:r>
          <w:r>
            <w:fldChar w:fldCharType="separate"/>
          </w:r>
          <w:r>
            <w:rPr>
              <w:rStyle w:val="473"/>
              <w:rFonts w:hint="eastAsia" w:ascii="仿宋" w:hAnsi="仿宋" w:eastAsia="仿宋"/>
              <w:sz w:val="24"/>
              <w:szCs w:val="24"/>
              <w:lang w:eastAsia="zh-CN"/>
            </w:rPr>
            <w:t>附件三：绩效评价指标体系及得分情况表</w:t>
          </w:r>
          <w:r>
            <w:rPr>
              <w:rStyle w:val="473"/>
              <w:rFonts w:hint="eastAsia"/>
              <w:lang w:eastAsia="zh-CN"/>
            </w:rPr>
            <w:tab/>
          </w:r>
          <w:r>
            <w:rPr>
              <w:rStyle w:val="473"/>
              <w:rFonts w:hint="eastAsia"/>
              <w:lang w:eastAsia="zh-CN"/>
            </w:rPr>
            <w:fldChar w:fldCharType="begin"/>
          </w:r>
          <w:r>
            <w:rPr>
              <w:rStyle w:val="473"/>
              <w:rFonts w:hint="eastAsia"/>
              <w:lang w:eastAsia="zh-CN"/>
            </w:rPr>
            <w:instrText xml:space="preserve"> </w:instrText>
          </w:r>
          <w:r>
            <w:rPr>
              <w:rStyle w:val="473"/>
              <w:lang w:eastAsia="zh-CN"/>
            </w:rPr>
            <w:instrText xml:space="preserve">PAGEREF _Toc182904047 \h</w:instrText>
          </w:r>
          <w:r>
            <w:rPr>
              <w:rStyle w:val="473"/>
              <w:rFonts w:hint="eastAsia"/>
              <w:lang w:eastAsia="zh-CN"/>
            </w:rPr>
            <w:instrText xml:space="preserve"> </w:instrText>
          </w:r>
          <w:r>
            <w:rPr>
              <w:rStyle w:val="473"/>
              <w:rFonts w:hint="eastAsia"/>
              <w:lang w:eastAsia="zh-CN"/>
            </w:rPr>
            <w:fldChar w:fldCharType="separate"/>
          </w:r>
          <w:r>
            <w:rPr>
              <w:rStyle w:val="473"/>
              <w:lang w:eastAsia="zh-CN"/>
            </w:rPr>
            <w:t>43</w:t>
          </w:r>
          <w:r>
            <w:rPr>
              <w:rStyle w:val="473"/>
              <w:rFonts w:hint="eastAsia"/>
              <w:lang w:eastAsia="zh-CN"/>
            </w:rPr>
            <w:fldChar w:fldCharType="end"/>
          </w:r>
          <w:r>
            <w:rPr>
              <w:rStyle w:val="473"/>
              <w:rFonts w:hint="eastAsia"/>
              <w:lang w:eastAsia="zh-CN"/>
            </w:rPr>
            <w:fldChar w:fldCharType="end"/>
          </w:r>
        </w:p>
        <w:p w14:paraId="4AB7C621">
          <w:pPr>
            <w:spacing w:line="360" w:lineRule="auto"/>
            <w:rPr>
              <w:rFonts w:eastAsiaTheme="minorEastAsia"/>
              <w:lang w:eastAsia="zh-CN"/>
            </w:rPr>
          </w:pPr>
          <w:r>
            <w:rPr>
              <w:rStyle w:val="473"/>
              <w:rFonts w:ascii="仿宋" w:hAnsi="仿宋" w:eastAsia="仿宋" w:cs="仿宋"/>
              <w:spacing w:val="-2"/>
              <w:sz w:val="24"/>
              <w:szCs w:val="24"/>
              <w:lang w:eastAsia="zh-CN"/>
            </w:rPr>
            <w:fldChar w:fldCharType="end"/>
          </w:r>
        </w:p>
      </w:sdtContent>
    </w:sdt>
    <w:p w14:paraId="0738B303">
      <w:pPr>
        <w:kinsoku/>
        <w:autoSpaceDE/>
        <w:autoSpaceDN/>
        <w:adjustRightInd/>
        <w:snapToGrid/>
        <w:textAlignment w:val="auto"/>
        <w:rPr>
          <w:rFonts w:hint="eastAsia" w:ascii="仿宋" w:hAnsi="仿宋" w:eastAsia="仿宋" w:cs="仿宋"/>
          <w:b/>
          <w:bCs/>
          <w:color w:val="auto"/>
          <w:spacing w:val="-2"/>
          <w:sz w:val="30"/>
          <w:szCs w:val="30"/>
          <w:lang w:eastAsia="zh-CN"/>
        </w:rPr>
      </w:pPr>
      <w:bookmarkStart w:id="14" w:name="_Toc18658"/>
      <w:bookmarkStart w:id="15" w:name="_Toc477"/>
      <w:bookmarkStart w:id="16" w:name="_Toc10715"/>
      <w:r>
        <w:rPr>
          <w:rFonts w:hint="eastAsia" w:ascii="仿宋" w:hAnsi="仿宋" w:eastAsia="仿宋" w:cs="仿宋"/>
          <w:b/>
          <w:bCs/>
          <w:color w:val="auto"/>
          <w:spacing w:val="-2"/>
          <w:sz w:val="30"/>
          <w:szCs w:val="30"/>
          <w:lang w:eastAsia="zh-CN"/>
        </w:rPr>
        <w:br w:type="page"/>
      </w:r>
    </w:p>
    <w:p w14:paraId="25383775">
      <w:pPr>
        <w:kinsoku/>
        <w:autoSpaceDE/>
        <w:autoSpaceDN/>
        <w:adjustRightInd/>
        <w:snapToGrid/>
        <w:jc w:val="center"/>
        <w:textAlignment w:val="auto"/>
        <w:rPr>
          <w:rFonts w:hint="eastAsia" w:ascii="仿宋" w:hAnsi="仿宋" w:eastAsia="仿宋" w:cs="仿宋"/>
          <w:b/>
          <w:bCs/>
          <w:color w:val="auto"/>
          <w:spacing w:val="-2"/>
          <w:sz w:val="30"/>
          <w:szCs w:val="30"/>
          <w:lang w:eastAsia="zh-CN"/>
        </w:rPr>
      </w:pPr>
      <w:r>
        <w:rPr>
          <w:rFonts w:hint="eastAsia" w:ascii="仿宋" w:hAnsi="仿宋" w:eastAsia="仿宋" w:cs="仿宋"/>
          <w:b/>
          <w:bCs/>
          <w:color w:val="auto"/>
          <w:spacing w:val="-2"/>
          <w:sz w:val="30"/>
          <w:szCs w:val="30"/>
          <w:lang w:eastAsia="zh-CN"/>
        </w:rPr>
        <w:t>2023年度泉州市洛江区应急管理局部门整体支出绩效评价报告</w:t>
      </w:r>
      <w:bookmarkEnd w:id="14"/>
      <w:bookmarkEnd w:id="15"/>
      <w:bookmarkEnd w:id="16"/>
    </w:p>
    <w:p w14:paraId="78B45446">
      <w:pPr>
        <w:widowControl w:val="0"/>
        <w:overflowPunct w:val="0"/>
        <w:snapToGrid/>
        <w:spacing w:before="240" w:after="120" w:line="408" w:lineRule="auto"/>
        <w:ind w:firstLine="552" w:firstLineChars="200"/>
        <w:rPr>
          <w:rFonts w:hint="eastAsia" w:ascii="仿宋" w:hAnsi="仿宋" w:eastAsia="仿宋" w:cs="仿宋"/>
          <w:color w:val="auto"/>
          <w:sz w:val="28"/>
          <w:szCs w:val="28"/>
          <w:lang w:eastAsia="zh-CN"/>
        </w:rPr>
      </w:pPr>
      <w:bookmarkStart w:id="17" w:name="_Toc28630"/>
      <w:r>
        <w:rPr>
          <w:rFonts w:hint="eastAsia" w:ascii="仿宋" w:hAnsi="仿宋" w:eastAsia="仿宋" w:cs="仿宋"/>
          <w:color w:val="auto"/>
          <w:spacing w:val="-2"/>
          <w:sz w:val="28"/>
          <w:szCs w:val="28"/>
          <w:lang w:eastAsia="zh-CN"/>
        </w:rPr>
        <w:t>为深化部门预算绩效改革，提升财政资金支出绩效，提高预算绩效管理水平。泉州市启程财务咨询有限公司受泉州市洛江区财政局委托，</w:t>
      </w:r>
      <w:r>
        <w:rPr>
          <w:rFonts w:hint="eastAsia" w:ascii="仿宋" w:hAnsi="仿宋" w:eastAsia="仿宋" w:cs="仿宋"/>
          <w:color w:val="auto"/>
          <w:spacing w:val="-1"/>
          <w:sz w:val="28"/>
          <w:szCs w:val="28"/>
          <w:lang w:eastAsia="zh-CN"/>
        </w:rPr>
        <w:t>于2024年10月对泉州市洛江区应急管理局</w:t>
      </w:r>
      <w:r>
        <w:rPr>
          <w:rFonts w:hint="eastAsia" w:ascii="仿宋" w:hAnsi="仿宋" w:eastAsia="仿宋" w:cs="仿宋"/>
          <w:color w:val="auto"/>
          <w:spacing w:val="-2"/>
          <w:sz w:val="28"/>
          <w:szCs w:val="28"/>
          <w:lang w:eastAsia="zh-CN"/>
        </w:rPr>
        <w:t>2023年度</w:t>
      </w:r>
      <w:r>
        <w:rPr>
          <w:rFonts w:hint="eastAsia" w:ascii="仿宋" w:hAnsi="仿宋" w:eastAsia="仿宋" w:cs="仿宋"/>
          <w:color w:val="auto"/>
          <w:sz w:val="28"/>
          <w:szCs w:val="28"/>
          <w:lang w:eastAsia="zh-CN"/>
        </w:rPr>
        <w:t>部门整体支出2,232.85</w:t>
      </w:r>
      <w:r>
        <w:rPr>
          <w:rFonts w:hint="eastAsia" w:ascii="仿宋" w:hAnsi="仿宋" w:eastAsia="仿宋" w:cs="仿宋"/>
          <w:color w:val="auto"/>
          <w:spacing w:val="-2"/>
          <w:sz w:val="28"/>
          <w:szCs w:val="28"/>
          <w:lang w:eastAsia="zh-CN"/>
        </w:rPr>
        <w:t>万元</w:t>
      </w:r>
      <w:r>
        <w:rPr>
          <w:rFonts w:hint="eastAsia" w:ascii="仿宋" w:hAnsi="仿宋" w:eastAsia="仿宋" w:cs="仿宋"/>
          <w:color w:val="auto"/>
          <w:sz w:val="28"/>
          <w:szCs w:val="28"/>
          <w:lang w:eastAsia="zh-CN"/>
        </w:rPr>
        <w:t>实施绩效评价工作，评价小组通过收集、查账、实地调研等方式对照评价指标和标准进行评议与打分，</w:t>
      </w:r>
      <w:r>
        <w:rPr>
          <w:rFonts w:hint="eastAsia" w:ascii="仿宋" w:hAnsi="仿宋" w:eastAsia="仿宋" w:cs="仿宋"/>
          <w:color w:val="auto"/>
          <w:spacing w:val="-2"/>
          <w:sz w:val="28"/>
          <w:szCs w:val="28"/>
          <w:lang w:eastAsia="zh-CN"/>
        </w:rPr>
        <w:t>衡量部门和单位整体成效与核心业务实施效果，分析其存在的问题，并提出相应对策建议。从而</w:t>
      </w:r>
      <w:r>
        <w:rPr>
          <w:rFonts w:hint="eastAsia" w:ascii="仿宋" w:hAnsi="仿宋" w:eastAsia="仿宋" w:cs="仿宋"/>
          <w:color w:val="auto"/>
          <w:sz w:val="28"/>
          <w:szCs w:val="28"/>
          <w:lang w:eastAsia="zh-CN"/>
        </w:rPr>
        <w:t>形成《2023年度泉州市洛江区应急管理局部门整体支出绩效评价报告》。</w:t>
      </w:r>
      <w:bookmarkEnd w:id="17"/>
    </w:p>
    <w:p w14:paraId="3911FA4A">
      <w:pPr>
        <w:widowControl w:val="0"/>
        <w:overflowPunct w:val="0"/>
        <w:snapToGrid/>
        <w:spacing w:line="408" w:lineRule="auto"/>
        <w:ind w:firstLine="554" w:firstLineChars="200"/>
        <w:outlineLvl w:val="0"/>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pPr>
      <w:bookmarkStart w:id="18" w:name="_Toc182903987"/>
      <w:bookmarkStart w:id="19" w:name="_Toc181557991"/>
      <w:r>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t>一、部门概况</w:t>
      </w:r>
      <w:bookmarkEnd w:id="18"/>
      <w:bookmarkEnd w:id="19"/>
    </w:p>
    <w:p w14:paraId="01BBC247">
      <w:pPr>
        <w:widowControl w:val="0"/>
        <w:overflowPunct w:val="0"/>
        <w:snapToGrid/>
        <w:spacing w:line="408" w:lineRule="auto"/>
        <w:ind w:firstLine="554" w:firstLineChars="200"/>
        <w:jc w:val="both"/>
        <w:outlineLvl w:val="1"/>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pPr>
      <w:bookmarkStart w:id="20" w:name="_Toc181557992"/>
      <w:bookmarkStart w:id="21" w:name="_Toc182903988"/>
      <w:r>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t>（一）</w:t>
      </w:r>
      <w:bookmarkStart w:id="22" w:name="bookmark5"/>
      <w:bookmarkEnd w:id="22"/>
      <w:r>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t>主要职责</w:t>
      </w:r>
      <w:bookmarkEnd w:id="20"/>
      <w:bookmarkEnd w:id="21"/>
    </w:p>
    <w:p w14:paraId="1B18C5A8">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泉州市洛江区应急管理局为区政府工作部门，正科级单位。为认真贯彻习近平总书记关于安全生产的重要论述，树牢安全发展理念，聚焦重点专项、重点项目、重点工作，全方位提升安全生产工作质效，为全面维护好人民群众生命财产安全和经济高质量发展、社会和谐稳定提供有力的安全生产保障。主要职责是：</w:t>
      </w:r>
    </w:p>
    <w:p w14:paraId="206389CA">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负责应急管理工作，指导各地各部门应对安全生产类、自然灾害类等突发事件和综合防灾减灾救灾工作。牵头组织编制全区应急体系建设、安全生产和综合防灾减灾规划，组织起草相关规范性文件，并指导监督实施。</w:t>
      </w:r>
    </w:p>
    <w:p w14:paraId="25A9C700">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（2）负责安全生产综合监督管理工作，负责工矿（不含煤矿）、商贸、烟花爆竹行业安全生产监督管理，负责危险化学品安全监督管理综合工作。</w:t>
      </w:r>
    </w:p>
    <w:p w14:paraId="7D4422D0">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3）指导应急预案体系建设，组织实施事故灾难和自然灾害分级应对制度，组织编制区级总体应急预案和安全生产类、自然灾害类专项预案，综合协调应急预案衔接工作，组织开展预案演练，推动应急避难设施建设。</w:t>
      </w:r>
    </w:p>
    <w:p w14:paraId="39F88145">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（4）按要求建立统一的应急管理信息系统，负责信息传输渠道的规划和布局，指导落实监测预警和灾情报告制度，健全自然灾害信息资源获取和共享机制，依法统一发布灾情。</w:t>
      </w:r>
    </w:p>
    <w:p w14:paraId="0D8409B6">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（5）组织指导协调安全生产类、自然灾害类等突发事件应急救援，承担区级应对灾害指挥部工作，综合研判突发事件发展态势并提出应对建议，协助区委、区政府指定的负责同志协调组织灾害应急处置工作。</w:t>
      </w:r>
    </w:p>
    <w:p w14:paraId="1D755633">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（6）统一协调指挥各类应急专业队伍，建立应急协调联动机制，推进指挥平台对接，衔接解放军、武警部队和民兵预备役参与应急救援工作。</w:t>
      </w:r>
    </w:p>
    <w:p w14:paraId="39789627">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7）统筹应急救援力量建设，负责组织抗洪抢险、地质灾害救援、生产安全事故救援等专业应急救援力量建设，协调推进消防、森林和草地火灾扑救、地震救援等专业应急救援力量建设，指导全区各地及社会应急救援力量建设。</w:t>
      </w:r>
    </w:p>
    <w:p w14:paraId="622535C6">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（8）指导协调消防工作，指导各地各部门落实消防监督、火灾预防、火灾扑救等工作。</w:t>
      </w:r>
    </w:p>
    <w:p w14:paraId="488CE471">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（9）指导协调森林和草地火灾、水旱灾害、地震和地质灾害等防治工作，负责自然灾害综合监测预警工作，指导开展自然灾害综合风险评估工作。</w:t>
      </w:r>
    </w:p>
    <w:p w14:paraId="60249206">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（10）组织协调灾害救助工作，组织指导灾情核查、损失评估、救灾捐赠工作，管理、分配上级下达和区级救灾款物并监督使用。</w:t>
      </w:r>
    </w:p>
    <w:p w14:paraId="7602DB40">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（11）指导协调、监督检查区直有关部门和各乡镇（街道）及开发区安全生产工作，组织开展安全生产专项督查、督促检查和年度考核等工作。</w:t>
      </w:r>
    </w:p>
    <w:p w14:paraId="66A215BE">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（12）依法组织生产安全事故调查处理工作。组织指导开展自然灾害类突发事件的调查评估工作。</w:t>
      </w:r>
    </w:p>
    <w:p w14:paraId="7328FEA6">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（13）开展应急管理方面的交流与合作，组织参与安全生产类、自然灾害类等突发事件的对外救援工作。</w:t>
      </w:r>
    </w:p>
    <w:p w14:paraId="06BE2457">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（14）制定应急物资储备和应急救援装备规划并组织实施，会同区发展和改革局等部门建立健全应急物资信息平台和调拨制度，在救灾时统一调度。</w:t>
      </w:r>
    </w:p>
    <w:p w14:paraId="4784BECC">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（15）负责应急管理、安全生产方面的宣传教育和培训工作，组织指导应急管理、安全生产的科学技术研究、推广应用和信息化建设工作。负责加强本系统、本领域的人才队伍建设。</w:t>
      </w:r>
    </w:p>
    <w:p w14:paraId="4A9883DB">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（16）承担区安全生产委员会、区减灾委员会的日常工作。</w:t>
      </w:r>
    </w:p>
    <w:p w14:paraId="58074A0A">
      <w:pPr>
        <w:widowControl w:val="0"/>
        <w:overflowPunct w:val="0"/>
        <w:snapToGrid/>
        <w:spacing w:line="408" w:lineRule="auto"/>
        <w:ind w:firstLine="560" w:firstLineChars="200"/>
        <w:jc w:val="both"/>
        <w:rPr>
          <w:rFonts w:hint="eastAsia" w:ascii="仿宋" w:hAnsi="仿宋" w:eastAsia="仿宋" w:cs="仿宋"/>
          <w:color w:val="auto"/>
          <w:sz w:val="28"/>
          <w:szCs w:val="28"/>
          <w:highlight w:val="yellow"/>
          <w:lang w:eastAsia="zh-CN"/>
        </w:rPr>
      </w:pPr>
      <w:r>
        <w:rPr>
          <w:rFonts w:hint="eastAsia" w:ascii="仿宋" w:hAnsi="仿宋" w:eastAsia="仿宋" w:cs="仿宋"/>
          <w:color w:val="auto"/>
          <w:sz w:val="28"/>
          <w:szCs w:val="28"/>
          <w:lang w:eastAsia="zh-CN"/>
        </w:rPr>
        <w:t>（17）完成区委、区政府及上级相关部门交办的其他工作任务。</w:t>
      </w:r>
    </w:p>
    <w:p w14:paraId="2AB04789">
      <w:pPr>
        <w:widowControl w:val="0"/>
        <w:overflowPunct w:val="0"/>
        <w:snapToGrid/>
        <w:spacing w:line="408" w:lineRule="auto"/>
        <w:ind w:firstLine="562" w:firstLineChars="200"/>
        <w:jc w:val="both"/>
        <w:outlineLvl w:val="1"/>
        <w:rPr>
          <w:rFonts w:hint="eastAsia" w:ascii="仿宋" w:hAnsi="仿宋" w:eastAsia="仿宋" w:cs="仿宋"/>
          <w:b/>
          <w:bCs/>
          <w:color w:val="auto"/>
          <w:sz w:val="28"/>
          <w:szCs w:val="28"/>
          <w:lang w:eastAsia="zh-CN"/>
        </w:rPr>
      </w:pPr>
      <w:bookmarkStart w:id="23" w:name="_Toc182903989"/>
      <w:bookmarkStart w:id="24" w:name="_Toc181557993"/>
      <w:r>
        <w:rPr>
          <w:rFonts w:hint="eastAsia" w:ascii="仿宋" w:hAnsi="仿宋" w:eastAsia="仿宋" w:cs="仿宋"/>
          <w:b/>
          <w:bCs/>
          <w:color w:val="auto"/>
          <w:sz w:val="28"/>
          <w:szCs w:val="28"/>
          <w:lang w:eastAsia="zh-CN"/>
        </w:rPr>
        <w:t>（二）单位构成及人员结构：</w:t>
      </w:r>
      <w:bookmarkEnd w:id="23"/>
      <w:bookmarkEnd w:id="24"/>
    </w:p>
    <w:p w14:paraId="47B52DCF">
      <w:pPr>
        <w:snapToGrid/>
        <w:spacing w:line="408" w:lineRule="auto"/>
        <w:ind w:firstLine="556" w:firstLineChars="200"/>
        <w:jc w:val="both"/>
        <w:rPr>
          <w:rFonts w:hint="eastAsia" w:ascii="仿宋" w:hAnsi="仿宋" w:eastAsia="仿宋" w:cs="仿宋"/>
          <w:color w:val="auto"/>
          <w:spacing w:val="-1"/>
          <w:sz w:val="28"/>
          <w:szCs w:val="28"/>
          <w:lang w:eastAsia="zh-CN"/>
        </w:rPr>
      </w:pPr>
      <w:r>
        <w:rPr>
          <w:rFonts w:hint="eastAsia" w:ascii="仿宋" w:hAnsi="仿宋" w:eastAsia="仿宋" w:cs="仿宋"/>
          <w:color w:val="auto"/>
          <w:spacing w:val="-1"/>
          <w:sz w:val="28"/>
          <w:szCs w:val="28"/>
          <w:lang w:eastAsia="zh-CN"/>
        </w:rPr>
        <w:t>泉州市洛江区应急管理局内设</w:t>
      </w:r>
      <w:r>
        <w:rPr>
          <w:rFonts w:ascii="仿宋" w:hAnsi="仿宋" w:eastAsia="仿宋" w:cs="仿宋"/>
          <w:color w:val="auto"/>
          <w:spacing w:val="-1"/>
          <w:sz w:val="28"/>
          <w:szCs w:val="28"/>
          <w:lang w:eastAsia="zh-CN"/>
        </w:rPr>
        <w:t>8</w:t>
      </w:r>
      <w:r>
        <w:rPr>
          <w:rFonts w:hint="eastAsia" w:ascii="仿宋" w:hAnsi="仿宋" w:eastAsia="仿宋" w:cs="仿宋"/>
          <w:color w:val="auto"/>
          <w:spacing w:val="-1"/>
          <w:sz w:val="28"/>
          <w:szCs w:val="28"/>
          <w:lang w:eastAsia="zh-CN"/>
        </w:rPr>
        <w:t>个股室，有5个</w:t>
      </w:r>
      <w:bookmarkStart w:id="25" w:name="_Hlk181436271"/>
      <w:r>
        <w:rPr>
          <w:rFonts w:hint="eastAsia" w:ascii="仿宋" w:hAnsi="仿宋" w:eastAsia="仿宋" w:cs="仿宋"/>
          <w:color w:val="auto"/>
          <w:spacing w:val="-1"/>
          <w:sz w:val="28"/>
          <w:szCs w:val="28"/>
          <w:lang w:eastAsia="zh-CN"/>
        </w:rPr>
        <w:t>下辖</w:t>
      </w:r>
      <w:r>
        <w:rPr>
          <w:rFonts w:ascii="仿宋" w:hAnsi="仿宋" w:eastAsia="仿宋" w:cs="仿宋"/>
          <w:color w:val="auto"/>
          <w:spacing w:val="-1"/>
          <w:sz w:val="28"/>
          <w:szCs w:val="28"/>
          <w:lang w:eastAsia="zh-CN"/>
        </w:rPr>
        <w:t>(</w:t>
      </w:r>
      <w:r>
        <w:rPr>
          <w:rFonts w:hint="eastAsia" w:ascii="仿宋" w:hAnsi="仿宋" w:eastAsia="仿宋" w:cs="仿宋"/>
          <w:color w:val="auto"/>
          <w:spacing w:val="-1"/>
          <w:sz w:val="28"/>
          <w:szCs w:val="28"/>
          <w:lang w:eastAsia="zh-CN"/>
        </w:rPr>
        <w:t>归口管理</w:t>
      </w:r>
      <w:r>
        <w:rPr>
          <w:rFonts w:ascii="仿宋" w:hAnsi="仿宋" w:eastAsia="仿宋" w:cs="仿宋"/>
          <w:color w:val="auto"/>
          <w:spacing w:val="-1"/>
          <w:sz w:val="28"/>
          <w:szCs w:val="28"/>
          <w:lang w:eastAsia="zh-CN"/>
        </w:rPr>
        <w:t>)</w:t>
      </w:r>
      <w:r>
        <w:rPr>
          <w:rFonts w:hint="eastAsia" w:ascii="仿宋" w:hAnsi="仿宋" w:eastAsia="仿宋" w:cs="仿宋"/>
          <w:color w:val="auto"/>
          <w:spacing w:val="-1"/>
          <w:sz w:val="28"/>
          <w:szCs w:val="28"/>
          <w:lang w:eastAsia="zh-CN"/>
        </w:rPr>
        <w:t>事业单位</w:t>
      </w:r>
      <w:bookmarkEnd w:id="25"/>
      <w:r>
        <w:rPr>
          <w:rFonts w:hint="eastAsia" w:ascii="仿宋" w:hAnsi="仿宋" w:eastAsia="仿宋" w:cs="仿宋"/>
          <w:color w:val="auto"/>
          <w:spacing w:val="-1"/>
          <w:sz w:val="28"/>
          <w:szCs w:val="28"/>
          <w:lang w:eastAsia="zh-CN"/>
        </w:rPr>
        <w:t>。截至2023年12月泉州市洛江区应急管理局在编人员</w:t>
      </w:r>
      <w:r>
        <w:rPr>
          <w:rFonts w:ascii="仿宋" w:hAnsi="仿宋" w:eastAsia="仿宋" w:cs="仿宋"/>
          <w:color w:val="auto"/>
          <w:spacing w:val="-1"/>
          <w:sz w:val="28"/>
          <w:szCs w:val="28"/>
          <w:lang w:eastAsia="zh-CN"/>
        </w:rPr>
        <w:t>28</w:t>
      </w:r>
      <w:r>
        <w:rPr>
          <w:rFonts w:hint="eastAsia" w:ascii="仿宋" w:hAnsi="仿宋" w:eastAsia="仿宋" w:cs="仿宋"/>
          <w:color w:val="auto"/>
          <w:spacing w:val="-1"/>
          <w:sz w:val="28"/>
          <w:szCs w:val="28"/>
          <w:lang w:eastAsia="zh-CN"/>
        </w:rPr>
        <w:t>人，编外人员</w:t>
      </w:r>
      <w:r>
        <w:rPr>
          <w:rFonts w:ascii="仿宋" w:hAnsi="仿宋" w:eastAsia="仿宋" w:cs="仿宋"/>
          <w:color w:val="auto"/>
          <w:spacing w:val="-1"/>
          <w:sz w:val="28"/>
          <w:szCs w:val="28"/>
          <w:lang w:eastAsia="zh-CN"/>
        </w:rPr>
        <w:t>11</w:t>
      </w:r>
      <w:r>
        <w:rPr>
          <w:rFonts w:hint="eastAsia" w:ascii="仿宋" w:hAnsi="仿宋" w:eastAsia="仿宋" w:cs="仿宋"/>
          <w:color w:val="auto"/>
          <w:spacing w:val="-1"/>
          <w:sz w:val="28"/>
          <w:szCs w:val="28"/>
          <w:lang w:eastAsia="zh-CN"/>
        </w:rPr>
        <w:t>人，总计39人。如下表1及表2所示：</w:t>
      </w:r>
    </w:p>
    <w:p w14:paraId="0CAB2C47">
      <w:pPr>
        <w:snapToGrid/>
        <w:spacing w:line="408" w:lineRule="auto"/>
        <w:jc w:val="center"/>
        <w:rPr>
          <w:rFonts w:hint="eastAsia" w:ascii="仿宋" w:hAnsi="仿宋" w:eastAsia="仿宋" w:cs="仿宋"/>
          <w:bCs/>
          <w:color w:val="auto"/>
          <w:spacing w:val="-1"/>
          <w:sz w:val="28"/>
          <w:szCs w:val="28"/>
          <w:lang w:eastAsia="zh-CN"/>
        </w:rPr>
      </w:pP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表</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1   2023</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年度</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泉州市洛江区应急管理局内设股室情况表</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3066"/>
        <w:gridCol w:w="5803"/>
      </w:tblGrid>
      <w:tr w14:paraId="4144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D8D8D8" w:themeFill="background1" w:themeFillShade="D9"/>
            <w:noWrap/>
            <w:vAlign w:val="center"/>
          </w:tcPr>
          <w:p w14:paraId="1DCE5D9C">
            <w:pPr>
              <w:widowControl w:val="0"/>
              <w:overflowPunct w:val="0"/>
              <w:spacing w:line="408" w:lineRule="auto"/>
              <w:jc w:val="center"/>
              <w:rPr>
                <w:rFonts w:hint="eastAsia" w:ascii="仿宋" w:hAnsi="仿宋" w:eastAsia="仿宋" w:cs="仿宋"/>
                <w:b/>
                <w:bCs/>
                <w:sz w:val="18"/>
                <w:lang w:eastAsia="zh-CN"/>
              </w:rPr>
            </w:pPr>
            <w:r>
              <w:rPr>
                <w:rFonts w:hint="eastAsia" w:ascii="仿宋" w:hAnsi="仿宋" w:eastAsia="仿宋" w:cs="仿宋"/>
                <w:b/>
                <w:bCs/>
                <w:sz w:val="18"/>
                <w:lang w:eastAsia="zh-CN"/>
              </w:rPr>
              <w:t>序号</w:t>
            </w:r>
          </w:p>
        </w:tc>
        <w:tc>
          <w:tcPr>
            <w:tcW w:w="1603" w:type="pct"/>
            <w:shd w:val="clear" w:color="auto" w:fill="D8D8D8" w:themeFill="background1" w:themeFillShade="D9"/>
            <w:noWrap/>
            <w:vAlign w:val="center"/>
          </w:tcPr>
          <w:p w14:paraId="10E9FDE5">
            <w:pPr>
              <w:widowControl w:val="0"/>
              <w:overflowPunct w:val="0"/>
              <w:spacing w:line="408" w:lineRule="auto"/>
              <w:jc w:val="center"/>
              <w:rPr>
                <w:rFonts w:hint="eastAsia" w:ascii="仿宋" w:hAnsi="仿宋" w:eastAsia="仿宋" w:cs="仿宋"/>
                <w:b/>
                <w:bCs/>
                <w:sz w:val="18"/>
                <w:lang w:eastAsia="zh-CN"/>
              </w:rPr>
            </w:pPr>
            <w:r>
              <w:rPr>
                <w:rFonts w:hint="eastAsia" w:ascii="仿宋" w:hAnsi="仿宋" w:eastAsia="仿宋" w:cs="仿宋"/>
                <w:b/>
                <w:bCs/>
                <w:sz w:val="18"/>
                <w:lang w:eastAsia="zh-CN"/>
              </w:rPr>
              <w:t>单位名称</w:t>
            </w:r>
          </w:p>
        </w:tc>
        <w:tc>
          <w:tcPr>
            <w:tcW w:w="3034" w:type="pct"/>
            <w:shd w:val="clear" w:color="auto" w:fill="D8D8D8" w:themeFill="background1" w:themeFillShade="D9"/>
            <w:noWrap/>
            <w:vAlign w:val="center"/>
          </w:tcPr>
          <w:p w14:paraId="7BBDF3F5">
            <w:pPr>
              <w:widowControl w:val="0"/>
              <w:overflowPunct w:val="0"/>
              <w:spacing w:line="408" w:lineRule="auto"/>
              <w:jc w:val="center"/>
              <w:rPr>
                <w:rFonts w:hint="eastAsia" w:ascii="仿宋" w:hAnsi="仿宋" w:eastAsia="仿宋" w:cs="仿宋"/>
                <w:b/>
                <w:bCs/>
                <w:sz w:val="18"/>
                <w:lang w:eastAsia="zh-CN"/>
              </w:rPr>
            </w:pPr>
            <w:r>
              <w:rPr>
                <w:rFonts w:hint="eastAsia" w:ascii="仿宋" w:hAnsi="仿宋" w:eastAsia="仿宋" w:cs="仿宋"/>
                <w:b/>
                <w:bCs/>
                <w:sz w:val="18"/>
                <w:lang w:eastAsia="zh-CN"/>
              </w:rPr>
              <w:t>主要职责</w:t>
            </w:r>
          </w:p>
        </w:tc>
      </w:tr>
      <w:tr w14:paraId="241B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0F1B261B">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1</w:t>
            </w:r>
          </w:p>
        </w:tc>
        <w:tc>
          <w:tcPr>
            <w:tcW w:w="1603" w:type="pct"/>
            <w:shd w:val="clear" w:color="auto" w:fill="auto"/>
            <w:noWrap/>
            <w:vAlign w:val="center"/>
          </w:tcPr>
          <w:p w14:paraId="1F9188B7">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办公室（政策法规股）</w:t>
            </w:r>
          </w:p>
        </w:tc>
        <w:tc>
          <w:tcPr>
            <w:tcW w:w="3034" w:type="pct"/>
            <w:shd w:val="clear" w:color="auto" w:fill="auto"/>
            <w:noWrap/>
            <w:vAlign w:val="center"/>
          </w:tcPr>
          <w:p w14:paraId="2D36A315">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负责监督、指导依法行政和行政执法工作，确保各项法律法规的贯彻执行。承担规范性文件的合法性审核工作，确保文件的合法性和合规性。</w:t>
            </w:r>
            <w:r>
              <w:rPr>
                <w:rFonts w:ascii="仿宋" w:hAnsi="仿宋" w:eastAsia="仿宋" w:cs="仿宋"/>
                <w:sz w:val="18"/>
                <w:lang w:eastAsia="zh-CN"/>
              </w:rPr>
              <w:t>负责应急管理系统思想政治建设、干部队伍建设及应急救援队伍教育培训等工作。</w:t>
            </w:r>
          </w:p>
        </w:tc>
      </w:tr>
      <w:tr w14:paraId="42D0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4061E9A8">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2</w:t>
            </w:r>
          </w:p>
        </w:tc>
        <w:tc>
          <w:tcPr>
            <w:tcW w:w="1603" w:type="pct"/>
            <w:shd w:val="clear" w:color="auto" w:fill="auto"/>
            <w:noWrap/>
            <w:vAlign w:val="center"/>
          </w:tcPr>
          <w:p w14:paraId="074DB4CA">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应急指挥中心（宣传教育培训股）</w:t>
            </w:r>
          </w:p>
        </w:tc>
        <w:tc>
          <w:tcPr>
            <w:tcW w:w="3034" w:type="pct"/>
            <w:shd w:val="clear" w:color="auto" w:fill="auto"/>
            <w:noWrap/>
            <w:vAlign w:val="center"/>
          </w:tcPr>
          <w:p w14:paraId="4B1D6C4B">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负责应急管理、安全生产方面的宣传教育和培训工作，组织指导应急管理、安全生产的科学技术研究、推广应用和信息化建设工作。负责加强本系统、本领域的人才队伍建设。</w:t>
            </w:r>
          </w:p>
        </w:tc>
      </w:tr>
      <w:tr w14:paraId="338E5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4E3E1716">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3</w:t>
            </w:r>
          </w:p>
        </w:tc>
        <w:tc>
          <w:tcPr>
            <w:tcW w:w="1603" w:type="pct"/>
            <w:shd w:val="clear" w:color="auto" w:fill="auto"/>
            <w:noWrap/>
            <w:vAlign w:val="center"/>
          </w:tcPr>
          <w:p w14:paraId="3F0875AB">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火灾防治管理股</w:t>
            </w:r>
          </w:p>
        </w:tc>
        <w:tc>
          <w:tcPr>
            <w:tcW w:w="3034" w:type="pct"/>
            <w:shd w:val="clear" w:color="auto" w:fill="auto"/>
            <w:noWrap/>
            <w:vAlign w:val="center"/>
          </w:tcPr>
          <w:p w14:paraId="4296F052">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负责森林火情监测预警工作。承担指导协调和开展城乡、森林草原火灾防治工作，承担森林草原防灭火指挥协调具体工作。</w:t>
            </w:r>
          </w:p>
        </w:tc>
      </w:tr>
      <w:tr w14:paraId="43EF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7622798C">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4</w:t>
            </w:r>
          </w:p>
        </w:tc>
        <w:tc>
          <w:tcPr>
            <w:tcW w:w="1603" w:type="pct"/>
            <w:shd w:val="clear" w:color="auto" w:fill="auto"/>
            <w:noWrap/>
            <w:vAlign w:val="center"/>
          </w:tcPr>
          <w:p w14:paraId="239DD59D">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防汛抗旱股</w:t>
            </w:r>
          </w:p>
        </w:tc>
        <w:tc>
          <w:tcPr>
            <w:tcW w:w="3034" w:type="pct"/>
            <w:shd w:val="clear" w:color="auto" w:fill="auto"/>
            <w:noWrap/>
            <w:vAlign w:val="center"/>
          </w:tcPr>
          <w:p w14:paraId="7918B548">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组织协调水旱灾害应急救援工作，协调指导重要江河湖泊和重要水工程实施防御洪水抗御旱灾调度和应急水量调度工作，组织协调台风防御工作。</w:t>
            </w:r>
          </w:p>
        </w:tc>
      </w:tr>
      <w:tr w14:paraId="5164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5951A844">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5</w:t>
            </w:r>
          </w:p>
        </w:tc>
        <w:tc>
          <w:tcPr>
            <w:tcW w:w="1603" w:type="pct"/>
            <w:shd w:val="clear" w:color="auto" w:fill="auto"/>
            <w:noWrap/>
            <w:vAlign w:val="center"/>
          </w:tcPr>
          <w:p w14:paraId="2CB122A7">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地震和地质灾害救援股</w:t>
            </w:r>
          </w:p>
        </w:tc>
        <w:tc>
          <w:tcPr>
            <w:tcW w:w="3034" w:type="pct"/>
            <w:shd w:val="clear" w:color="auto" w:fill="auto"/>
            <w:noWrap/>
            <w:vAlign w:val="center"/>
          </w:tcPr>
          <w:p w14:paraId="228B345D">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指导协调地震和地质灾害等防治工作，负责自然灾害综合监测预警工作，指导开展自然灾害综合风险评估工作。</w:t>
            </w:r>
          </w:p>
        </w:tc>
      </w:tr>
      <w:tr w14:paraId="2CD3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1DC78BEA">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6</w:t>
            </w:r>
          </w:p>
        </w:tc>
        <w:tc>
          <w:tcPr>
            <w:tcW w:w="1603" w:type="pct"/>
            <w:shd w:val="clear" w:color="auto" w:fill="auto"/>
            <w:noWrap/>
            <w:vAlign w:val="center"/>
          </w:tcPr>
          <w:p w14:paraId="0B4F3F84">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危险化学品安全监督管理股</w:t>
            </w:r>
          </w:p>
        </w:tc>
        <w:tc>
          <w:tcPr>
            <w:tcW w:w="3034" w:type="pct"/>
            <w:shd w:val="clear" w:color="auto" w:fill="auto"/>
            <w:noWrap/>
            <w:vAlign w:val="center"/>
          </w:tcPr>
          <w:p w14:paraId="7A446492">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负责化工（含石油化工）、医药、危险化学品和烟花爆竹安全生产监督管理工作，依法监督检查相关行业生产经营单位贯彻落实安全生产法律法规和标准情况，承担危险化学品安全监督管理综合工作，指导非药品类易制毒化学品生产经营监督管理工作。</w:t>
            </w:r>
          </w:p>
        </w:tc>
      </w:tr>
      <w:tr w14:paraId="1185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3BD9D247">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7</w:t>
            </w:r>
          </w:p>
        </w:tc>
        <w:tc>
          <w:tcPr>
            <w:tcW w:w="1603" w:type="pct"/>
            <w:shd w:val="clear" w:color="auto" w:fill="auto"/>
            <w:noWrap/>
            <w:vAlign w:val="center"/>
          </w:tcPr>
          <w:p w14:paraId="2E64B460">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安全生产基础股</w:t>
            </w:r>
          </w:p>
        </w:tc>
        <w:tc>
          <w:tcPr>
            <w:tcW w:w="3034" w:type="pct"/>
            <w:shd w:val="clear" w:color="auto" w:fill="auto"/>
            <w:noWrap/>
            <w:vAlign w:val="center"/>
          </w:tcPr>
          <w:p w14:paraId="6868A4C2">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指导协调、监督检查区直有关部门和各乡镇（街道）及开发区安全生产工作，组织开展安全生产专项督查、督促检查和年度考核等工作。</w:t>
            </w:r>
          </w:p>
        </w:tc>
      </w:tr>
      <w:tr w14:paraId="5533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trPr>
        <w:tc>
          <w:tcPr>
            <w:tcW w:w="363" w:type="pct"/>
            <w:shd w:val="clear" w:color="auto" w:fill="auto"/>
            <w:noWrap/>
            <w:vAlign w:val="center"/>
          </w:tcPr>
          <w:p w14:paraId="4D052DA7">
            <w:pPr>
              <w:widowControl w:val="0"/>
              <w:overflowPunct w:val="0"/>
              <w:spacing w:line="408" w:lineRule="auto"/>
              <w:jc w:val="center"/>
              <w:rPr>
                <w:rFonts w:hint="eastAsia" w:ascii="仿宋" w:hAnsi="仿宋" w:eastAsia="仿宋" w:cs="仿宋"/>
                <w:sz w:val="18"/>
                <w:lang w:eastAsia="zh-CN"/>
              </w:rPr>
            </w:pPr>
            <w:r>
              <w:rPr>
                <w:rFonts w:hint="eastAsia" w:ascii="仿宋" w:hAnsi="仿宋" w:eastAsia="仿宋" w:cs="仿宋"/>
                <w:sz w:val="18"/>
                <w:lang w:eastAsia="zh-CN"/>
              </w:rPr>
              <w:t>8</w:t>
            </w:r>
          </w:p>
        </w:tc>
        <w:tc>
          <w:tcPr>
            <w:tcW w:w="1603" w:type="pct"/>
            <w:shd w:val="clear" w:color="auto" w:fill="auto"/>
            <w:noWrap/>
            <w:vAlign w:val="center"/>
          </w:tcPr>
          <w:p w14:paraId="5AB5421F">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安全生产协调股</w:t>
            </w:r>
          </w:p>
        </w:tc>
        <w:tc>
          <w:tcPr>
            <w:tcW w:w="3034" w:type="pct"/>
            <w:shd w:val="clear" w:color="auto" w:fill="auto"/>
            <w:noWrap/>
            <w:vAlign w:val="center"/>
          </w:tcPr>
          <w:p w14:paraId="76B69306">
            <w:pPr>
              <w:widowControl w:val="0"/>
              <w:overflowPunct w:val="0"/>
              <w:spacing w:line="408" w:lineRule="auto"/>
              <w:rPr>
                <w:rFonts w:hint="eastAsia" w:ascii="仿宋" w:hAnsi="仿宋" w:eastAsia="仿宋" w:cs="仿宋"/>
                <w:sz w:val="18"/>
                <w:lang w:eastAsia="zh-CN"/>
              </w:rPr>
            </w:pPr>
            <w:r>
              <w:rPr>
                <w:rFonts w:hint="eastAsia" w:ascii="仿宋" w:hAnsi="仿宋" w:eastAsia="仿宋" w:cs="仿宋"/>
                <w:sz w:val="18"/>
                <w:lang w:eastAsia="zh-CN"/>
              </w:rPr>
              <w:t>依法依规指导协调和监督有专门安全生产主管部门的行业和领域安全生产监督管理工作，组织协调全国性安全生产检查以及专项督查、专项整治等工作，组织实施安全生产巡查、考核工作。</w:t>
            </w:r>
          </w:p>
        </w:tc>
      </w:tr>
    </w:tbl>
    <w:p w14:paraId="2A12F276">
      <w:pPr>
        <w:widowControl w:val="0"/>
        <w:overflowPunct w:val="0"/>
        <w:spacing w:line="408" w:lineRule="auto"/>
        <w:ind w:firstLine="552" w:firstLineChars="200"/>
        <w:jc w:val="both"/>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pPr>
    </w:p>
    <w:p w14:paraId="33EC4F44">
      <w:pPr>
        <w:widowControl w:val="0"/>
        <w:overflowPunct w:val="0"/>
        <w:spacing w:line="408" w:lineRule="auto"/>
        <w:jc w:val="cente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pP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表</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2  2023</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年度</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泉州市洛江区应急管理局下辖</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归口管理</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事业单位情况表</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2626"/>
        <w:gridCol w:w="6143"/>
      </w:tblGrid>
      <w:tr w14:paraId="1076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15" w:type="pct"/>
            <w:shd w:val="clear" w:color="auto" w:fill="D8D8D8" w:themeFill="background1" w:themeFillShade="D9"/>
            <w:vAlign w:val="center"/>
          </w:tcPr>
          <w:p w14:paraId="0BA9B89A">
            <w:pPr>
              <w:spacing w:line="408" w:lineRule="auto"/>
              <w:jc w:val="center"/>
              <w:textAlignment w:val="center"/>
              <w:rPr>
                <w:rFonts w:hint="eastAsia" w:ascii="仿宋" w:hAnsi="仿宋" w:eastAsia="仿宋" w:cs="仿宋"/>
                <w:b/>
                <w:bCs/>
                <w:color w:val="08090C"/>
                <w:sz w:val="18"/>
                <w:szCs w:val="22"/>
              </w:rPr>
            </w:pPr>
            <w:r>
              <w:rPr>
                <w:rFonts w:hint="eastAsia" w:ascii="仿宋" w:hAnsi="仿宋" w:eastAsia="仿宋" w:cs="仿宋"/>
                <w:b/>
                <w:bCs/>
                <w:color w:val="08090C"/>
                <w:sz w:val="18"/>
                <w:szCs w:val="22"/>
                <w:lang w:eastAsia="zh-CN" w:bidi="ar"/>
              </w:rPr>
              <w:t>序号</w:t>
            </w:r>
          </w:p>
        </w:tc>
        <w:tc>
          <w:tcPr>
            <w:tcW w:w="1373" w:type="pct"/>
            <w:shd w:val="clear" w:color="auto" w:fill="D8D8D8" w:themeFill="background1" w:themeFillShade="D9"/>
            <w:vAlign w:val="center"/>
          </w:tcPr>
          <w:p w14:paraId="091B97B5">
            <w:pPr>
              <w:spacing w:line="408" w:lineRule="auto"/>
              <w:jc w:val="center"/>
              <w:textAlignment w:val="center"/>
              <w:rPr>
                <w:rFonts w:hint="eastAsia" w:ascii="仿宋" w:hAnsi="仿宋" w:eastAsia="仿宋" w:cs="仿宋"/>
                <w:b/>
                <w:bCs/>
                <w:color w:val="08090C"/>
                <w:sz w:val="18"/>
                <w:szCs w:val="22"/>
              </w:rPr>
            </w:pPr>
            <w:r>
              <w:rPr>
                <w:rFonts w:hint="eastAsia" w:ascii="仿宋" w:hAnsi="仿宋" w:eastAsia="仿宋" w:cs="仿宋"/>
                <w:b/>
                <w:bCs/>
                <w:color w:val="08090C"/>
                <w:sz w:val="18"/>
                <w:szCs w:val="22"/>
                <w:lang w:eastAsia="zh-CN" w:bidi="ar"/>
              </w:rPr>
              <w:t>内设科室</w:t>
            </w:r>
          </w:p>
        </w:tc>
        <w:tc>
          <w:tcPr>
            <w:tcW w:w="3212" w:type="pct"/>
            <w:shd w:val="clear" w:color="auto" w:fill="D8D8D8" w:themeFill="background1" w:themeFillShade="D9"/>
            <w:vAlign w:val="center"/>
          </w:tcPr>
          <w:p w14:paraId="0297B13B">
            <w:pPr>
              <w:spacing w:line="408" w:lineRule="auto"/>
              <w:jc w:val="center"/>
              <w:textAlignment w:val="center"/>
              <w:rPr>
                <w:rFonts w:hint="eastAsia" w:ascii="仿宋" w:hAnsi="仿宋" w:eastAsia="仿宋" w:cs="仿宋"/>
                <w:b/>
                <w:bCs/>
                <w:color w:val="08090C"/>
                <w:sz w:val="18"/>
                <w:szCs w:val="22"/>
              </w:rPr>
            </w:pPr>
            <w:r>
              <w:rPr>
                <w:rFonts w:hint="eastAsia" w:ascii="仿宋" w:hAnsi="仿宋" w:eastAsia="仿宋" w:cs="仿宋"/>
                <w:b/>
                <w:bCs/>
                <w:color w:val="08090C"/>
                <w:sz w:val="18"/>
                <w:szCs w:val="22"/>
                <w:lang w:eastAsia="zh-CN" w:bidi="ar"/>
              </w:rPr>
              <w:t>主要职责</w:t>
            </w:r>
          </w:p>
        </w:tc>
      </w:tr>
      <w:tr w14:paraId="1D41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15" w:type="pct"/>
            <w:shd w:val="clear" w:color="auto" w:fill="auto"/>
            <w:vAlign w:val="center"/>
          </w:tcPr>
          <w:p w14:paraId="3A9373D4">
            <w:pPr>
              <w:spacing w:line="408" w:lineRule="auto"/>
              <w:jc w:val="center"/>
              <w:textAlignment w:val="center"/>
              <w:rPr>
                <w:rFonts w:hint="eastAsia" w:ascii="仿宋" w:hAnsi="仿宋" w:eastAsia="仿宋" w:cs="仿宋"/>
                <w:sz w:val="18"/>
                <w:szCs w:val="20"/>
              </w:rPr>
            </w:pPr>
            <w:r>
              <w:rPr>
                <w:rFonts w:hint="eastAsia" w:ascii="仿宋" w:hAnsi="仿宋" w:eastAsia="仿宋" w:cs="仿宋"/>
                <w:sz w:val="18"/>
                <w:szCs w:val="20"/>
                <w:lang w:eastAsia="zh-CN" w:bidi="ar"/>
              </w:rPr>
              <w:t>1</w:t>
            </w:r>
          </w:p>
        </w:tc>
        <w:tc>
          <w:tcPr>
            <w:tcW w:w="1373" w:type="pct"/>
            <w:shd w:val="clear" w:color="auto" w:fill="auto"/>
            <w:vAlign w:val="center"/>
          </w:tcPr>
          <w:p w14:paraId="45CF59DE">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泉州市应急管理综合执法支队洛江区大队</w:t>
            </w:r>
          </w:p>
        </w:tc>
        <w:tc>
          <w:tcPr>
            <w:tcW w:w="3212" w:type="pct"/>
            <w:shd w:val="clear" w:color="auto" w:fill="auto"/>
            <w:vAlign w:val="center"/>
          </w:tcPr>
          <w:p w14:paraId="3EB768EC">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负责本区内监管的危险化学品、烟花爆竹、非煤矿山、工贸等行业领域以及地质灾害、水旱灾害、森林草原火灾等有关应急抢险和灾害救助、防震减灾等方面的行政处罚、行政强制职能。</w:t>
            </w:r>
          </w:p>
        </w:tc>
      </w:tr>
      <w:tr w14:paraId="01A4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15" w:type="pct"/>
            <w:shd w:val="clear" w:color="auto" w:fill="auto"/>
            <w:vAlign w:val="center"/>
          </w:tcPr>
          <w:p w14:paraId="629C306F">
            <w:pPr>
              <w:spacing w:line="408" w:lineRule="auto"/>
              <w:jc w:val="center"/>
              <w:textAlignment w:val="center"/>
              <w:rPr>
                <w:rFonts w:hint="eastAsia" w:ascii="仿宋" w:hAnsi="仿宋" w:eastAsia="仿宋" w:cs="仿宋"/>
                <w:sz w:val="18"/>
                <w:szCs w:val="20"/>
              </w:rPr>
            </w:pPr>
            <w:r>
              <w:rPr>
                <w:rFonts w:hint="eastAsia" w:ascii="仿宋" w:hAnsi="仿宋" w:eastAsia="仿宋" w:cs="仿宋"/>
                <w:sz w:val="18"/>
                <w:szCs w:val="20"/>
                <w:lang w:eastAsia="zh-CN" w:bidi="ar"/>
              </w:rPr>
              <w:t>2</w:t>
            </w:r>
          </w:p>
        </w:tc>
        <w:tc>
          <w:tcPr>
            <w:tcW w:w="1373" w:type="pct"/>
            <w:shd w:val="clear" w:color="auto" w:fill="auto"/>
            <w:vAlign w:val="center"/>
          </w:tcPr>
          <w:p w14:paraId="1CFAF874">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洛江区森林防火指挥部办公室</w:t>
            </w:r>
          </w:p>
        </w:tc>
        <w:tc>
          <w:tcPr>
            <w:tcW w:w="3212" w:type="pct"/>
            <w:shd w:val="clear" w:color="auto" w:fill="auto"/>
            <w:vAlign w:val="center"/>
          </w:tcPr>
          <w:p w14:paraId="631A43B8">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 xml:space="preserve">负责组织本区内开展森林火灾隐患排查整治工作。 </w:t>
            </w:r>
          </w:p>
        </w:tc>
      </w:tr>
      <w:tr w14:paraId="650C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15" w:type="pct"/>
            <w:shd w:val="clear" w:color="auto" w:fill="auto"/>
            <w:vAlign w:val="center"/>
          </w:tcPr>
          <w:p w14:paraId="2B1609AD">
            <w:pPr>
              <w:spacing w:line="408" w:lineRule="auto"/>
              <w:jc w:val="center"/>
              <w:textAlignment w:val="center"/>
              <w:rPr>
                <w:rFonts w:hint="eastAsia" w:ascii="仿宋" w:hAnsi="仿宋" w:eastAsia="仿宋" w:cs="仿宋"/>
                <w:sz w:val="18"/>
                <w:szCs w:val="20"/>
              </w:rPr>
            </w:pPr>
            <w:r>
              <w:rPr>
                <w:rFonts w:hint="eastAsia" w:ascii="仿宋" w:hAnsi="仿宋" w:eastAsia="仿宋" w:cs="仿宋"/>
                <w:sz w:val="18"/>
                <w:szCs w:val="20"/>
                <w:lang w:eastAsia="zh-CN" w:bidi="ar"/>
              </w:rPr>
              <w:t>3</w:t>
            </w:r>
          </w:p>
        </w:tc>
        <w:tc>
          <w:tcPr>
            <w:tcW w:w="1373" w:type="pct"/>
            <w:shd w:val="clear" w:color="auto" w:fill="auto"/>
            <w:vAlign w:val="center"/>
          </w:tcPr>
          <w:p w14:paraId="077DFB82">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洛江区防汛抗旱和防灭火调度中心</w:t>
            </w:r>
          </w:p>
        </w:tc>
        <w:tc>
          <w:tcPr>
            <w:tcW w:w="3212" w:type="pct"/>
            <w:shd w:val="clear" w:color="auto" w:fill="auto"/>
            <w:vAlign w:val="center"/>
          </w:tcPr>
          <w:p w14:paraId="0726580D">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负责组织本区内水旱灾害应急救援工作，承担重要江河湖泊和重要水工程实施防御洪水抗御旱灾调度和应急水量调度工作，组织台风防御工作。</w:t>
            </w:r>
          </w:p>
        </w:tc>
      </w:tr>
      <w:tr w14:paraId="7BBC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15" w:type="pct"/>
            <w:shd w:val="clear" w:color="auto" w:fill="auto"/>
            <w:vAlign w:val="center"/>
          </w:tcPr>
          <w:p w14:paraId="2DA9C875">
            <w:pPr>
              <w:spacing w:line="408" w:lineRule="auto"/>
              <w:jc w:val="center"/>
              <w:textAlignment w:val="center"/>
              <w:rPr>
                <w:rFonts w:hint="eastAsia" w:ascii="仿宋" w:hAnsi="仿宋" w:eastAsia="仿宋" w:cs="仿宋"/>
                <w:sz w:val="18"/>
                <w:szCs w:val="20"/>
              </w:rPr>
            </w:pPr>
            <w:r>
              <w:rPr>
                <w:rFonts w:hint="eastAsia" w:ascii="仿宋" w:hAnsi="仿宋" w:eastAsia="仿宋" w:cs="仿宋"/>
                <w:sz w:val="18"/>
                <w:szCs w:val="20"/>
                <w:lang w:eastAsia="zh-CN" w:bidi="ar"/>
              </w:rPr>
              <w:t>4</w:t>
            </w:r>
          </w:p>
        </w:tc>
        <w:tc>
          <w:tcPr>
            <w:tcW w:w="1373" w:type="pct"/>
            <w:shd w:val="clear" w:color="auto" w:fill="auto"/>
            <w:vAlign w:val="center"/>
          </w:tcPr>
          <w:p w14:paraId="657C08C4">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洛江区安全生产应急救援中心</w:t>
            </w:r>
          </w:p>
        </w:tc>
        <w:tc>
          <w:tcPr>
            <w:tcW w:w="3212" w:type="pct"/>
            <w:shd w:val="clear" w:color="auto" w:fill="auto"/>
            <w:vAlign w:val="center"/>
          </w:tcPr>
          <w:p w14:paraId="6269465B">
            <w:pPr>
              <w:spacing w:line="408" w:lineRule="auto"/>
              <w:textAlignment w:val="center"/>
              <w:rPr>
                <w:rFonts w:hint="eastAsia" w:ascii="仿宋" w:hAnsi="仿宋" w:cs="仿宋" w:eastAsiaTheme="minorEastAsia"/>
                <w:sz w:val="18"/>
                <w:szCs w:val="20"/>
                <w:lang w:eastAsia="zh-CN"/>
              </w:rPr>
            </w:pPr>
            <w:r>
              <w:rPr>
                <w:rFonts w:hint="eastAsia" w:ascii="仿宋" w:hAnsi="仿宋" w:eastAsia="仿宋" w:cs="仿宋"/>
                <w:sz w:val="18"/>
                <w:szCs w:val="20"/>
                <w:lang w:eastAsia="zh-CN"/>
              </w:rPr>
              <w:t>负责在本区内组织指导协调安全生产类、自然灾害类等突发事件应急救援，承担区级应对灾害指挥部工作，综合研判突发事件发展态势并提出应对建议，协调组织灾害应急处置工作。</w:t>
            </w:r>
          </w:p>
        </w:tc>
      </w:tr>
      <w:tr w14:paraId="32A2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15" w:type="pct"/>
            <w:shd w:val="clear" w:color="auto" w:fill="auto"/>
            <w:vAlign w:val="center"/>
          </w:tcPr>
          <w:p w14:paraId="1AF39B10">
            <w:pPr>
              <w:spacing w:line="408" w:lineRule="auto"/>
              <w:jc w:val="center"/>
              <w:textAlignment w:val="center"/>
              <w:rPr>
                <w:rFonts w:hint="eastAsia" w:ascii="仿宋" w:hAnsi="仿宋" w:eastAsia="仿宋" w:cs="仿宋"/>
                <w:sz w:val="18"/>
                <w:szCs w:val="20"/>
              </w:rPr>
            </w:pPr>
            <w:r>
              <w:rPr>
                <w:rFonts w:hint="eastAsia" w:ascii="仿宋" w:hAnsi="仿宋" w:eastAsia="仿宋" w:cs="仿宋"/>
                <w:sz w:val="18"/>
                <w:szCs w:val="20"/>
                <w:lang w:eastAsia="zh-CN" w:bidi="ar"/>
              </w:rPr>
              <w:t>5</w:t>
            </w:r>
          </w:p>
        </w:tc>
        <w:tc>
          <w:tcPr>
            <w:tcW w:w="1373" w:type="pct"/>
            <w:shd w:val="clear" w:color="auto" w:fill="auto"/>
            <w:vAlign w:val="center"/>
          </w:tcPr>
          <w:p w14:paraId="0E907DDF">
            <w:pPr>
              <w:spacing w:line="408" w:lineRule="auto"/>
              <w:textAlignment w:val="center"/>
              <w:rPr>
                <w:rFonts w:hint="eastAsia" w:ascii="仿宋" w:hAnsi="仿宋" w:eastAsia="仿宋" w:cs="仿宋"/>
                <w:sz w:val="18"/>
                <w:szCs w:val="20"/>
              </w:rPr>
            </w:pPr>
            <w:r>
              <w:rPr>
                <w:rFonts w:hint="eastAsia" w:ascii="仿宋" w:hAnsi="仿宋" w:eastAsia="仿宋" w:cs="仿宋"/>
                <w:sz w:val="18"/>
                <w:szCs w:val="20"/>
              </w:rPr>
              <w:t>洛江区地震办公室</w:t>
            </w:r>
          </w:p>
        </w:tc>
        <w:tc>
          <w:tcPr>
            <w:tcW w:w="3212" w:type="pct"/>
            <w:shd w:val="clear" w:color="auto" w:fill="auto"/>
            <w:vAlign w:val="center"/>
          </w:tcPr>
          <w:p w14:paraId="58398B4F">
            <w:pPr>
              <w:spacing w:line="408" w:lineRule="auto"/>
              <w:textAlignment w:val="center"/>
              <w:rPr>
                <w:rFonts w:hint="eastAsia" w:ascii="仿宋" w:hAnsi="仿宋" w:eastAsia="仿宋" w:cs="仿宋"/>
                <w:sz w:val="18"/>
                <w:szCs w:val="20"/>
                <w:lang w:eastAsia="zh-CN"/>
              </w:rPr>
            </w:pPr>
            <w:r>
              <w:rPr>
                <w:rFonts w:hint="eastAsia" w:ascii="仿宋" w:hAnsi="仿宋" w:eastAsia="仿宋" w:cs="仿宋"/>
                <w:sz w:val="18"/>
                <w:szCs w:val="20"/>
                <w:lang w:eastAsia="zh-CN"/>
              </w:rPr>
              <w:t xml:space="preserve">负责关于地震灾害的监测预警，做好群测群防工作，做到关于地震灾害的宣传教育力度，加强群众的防范意识和自救互救能力。 </w:t>
            </w:r>
          </w:p>
        </w:tc>
      </w:tr>
    </w:tbl>
    <w:p w14:paraId="13514F72">
      <w:pPr>
        <w:snapToGrid/>
        <w:spacing w:line="408" w:lineRule="auto"/>
        <w:ind w:firstLine="558" w:firstLineChars="200"/>
        <w:jc w:val="both"/>
        <w:outlineLvl w:val="1"/>
        <w:rPr>
          <w:rFonts w:hint="eastAsia" w:ascii="仿宋" w:hAnsi="仿宋" w:eastAsia="仿宋" w:cs="仿宋"/>
          <w:b/>
          <w:bCs/>
          <w:color w:val="auto"/>
          <w:spacing w:val="-1"/>
          <w:sz w:val="28"/>
          <w:szCs w:val="28"/>
          <w:lang w:eastAsia="zh-CN"/>
        </w:rPr>
      </w:pPr>
      <w:bookmarkStart w:id="26" w:name="_Toc181557994"/>
      <w:bookmarkStart w:id="27" w:name="_Toc182903990"/>
      <w:r>
        <w:rPr>
          <w:rFonts w:hint="eastAsia" w:ascii="仿宋" w:hAnsi="仿宋" w:eastAsia="仿宋" w:cs="仿宋"/>
          <w:b/>
          <w:bCs/>
          <w:color w:val="auto"/>
          <w:spacing w:val="-1"/>
          <w:sz w:val="28"/>
          <w:szCs w:val="28"/>
          <w:lang w:eastAsia="zh-CN"/>
        </w:rPr>
        <w:t>（三）部门管理制度</w:t>
      </w:r>
      <w:bookmarkEnd w:id="26"/>
      <w:bookmarkEnd w:id="27"/>
    </w:p>
    <w:p w14:paraId="31618362">
      <w:pPr>
        <w:widowControl w:val="0"/>
        <w:overflowPunct w:val="0"/>
        <w:snapToGrid/>
        <w:spacing w:line="408" w:lineRule="auto"/>
        <w:ind w:firstLine="544" w:firstLineChars="200"/>
        <w:jc w:val="both"/>
        <w:rPr>
          <w:rFonts w:hint="eastAsia" w:ascii="仿宋" w:hAnsi="仿宋" w:eastAsia="仿宋" w:cs="仿宋"/>
          <w:color w:val="auto"/>
          <w:sz w:val="28"/>
          <w:highlight w:val="yellow"/>
          <w:lang w:eastAsia="zh-CN"/>
        </w:rPr>
      </w:pPr>
      <w:bookmarkStart w:id="28" w:name="bookmark7"/>
      <w:bookmarkEnd w:id="28"/>
      <w:r>
        <w:rPr>
          <w:rFonts w:hint="eastAsia" w:ascii="仿宋" w:hAnsi="仿宋" w:eastAsia="仿宋" w:cs="仿宋"/>
          <w:color w:val="auto"/>
          <w:spacing w:val="-4"/>
          <w:sz w:val="28"/>
          <w:szCs w:val="28"/>
          <w:lang w:eastAsia="zh-CN"/>
        </w:rPr>
        <w:t>为加强泉州市洛江区应急管理局财务管理和会计核算，规范财务行为，</w:t>
      </w:r>
      <w:r>
        <w:rPr>
          <w:rFonts w:hint="eastAsia" w:ascii="仿宋" w:hAnsi="仿宋" w:eastAsia="仿宋" w:cs="仿宋"/>
          <w:color w:val="auto"/>
          <w:spacing w:val="-3"/>
          <w:sz w:val="28"/>
          <w:szCs w:val="28"/>
          <w:lang w:eastAsia="zh-CN"/>
        </w:rPr>
        <w:t>降低行政成本，提高资金使用效益、强化财务监</w:t>
      </w:r>
      <w:r>
        <w:rPr>
          <w:rFonts w:hint="eastAsia" w:ascii="仿宋" w:hAnsi="仿宋" w:eastAsia="仿宋" w:cs="仿宋"/>
          <w:color w:val="auto"/>
          <w:spacing w:val="-4"/>
          <w:sz w:val="28"/>
          <w:szCs w:val="28"/>
          <w:lang w:eastAsia="zh-CN"/>
        </w:rPr>
        <w:t>督，加强单位内部控制，</w:t>
      </w:r>
      <w:r>
        <w:rPr>
          <w:rFonts w:hint="eastAsia" w:ascii="仿宋" w:hAnsi="仿宋" w:eastAsia="仿宋" w:cs="仿宋"/>
          <w:color w:val="auto"/>
          <w:spacing w:val="-6"/>
          <w:sz w:val="28"/>
          <w:szCs w:val="28"/>
          <w:lang w:eastAsia="zh-CN"/>
        </w:rPr>
        <w:t>泉州市洛江区应急管理局出台了《区应急局财务内控制度暂行规定》</w:t>
      </w:r>
      <w:r>
        <w:rPr>
          <w:rFonts w:hint="eastAsia" w:ascii="仿宋" w:hAnsi="仿宋" w:eastAsia="仿宋" w:cs="仿宋"/>
          <w:color w:val="auto"/>
          <w:spacing w:val="3"/>
          <w:sz w:val="28"/>
          <w:szCs w:val="28"/>
          <w:lang w:eastAsia="zh-CN"/>
        </w:rPr>
        <w:t>该制度对泉州市洛江区应急管理局的财务管理、预算管理、收支管理、</w:t>
      </w:r>
      <w:r>
        <w:rPr>
          <w:rFonts w:hint="eastAsia" w:ascii="仿宋" w:hAnsi="仿宋" w:eastAsia="仿宋" w:cs="仿宋"/>
          <w:color w:val="auto"/>
          <w:spacing w:val="-1"/>
          <w:sz w:val="28"/>
          <w:szCs w:val="28"/>
          <w:lang w:eastAsia="zh-CN"/>
        </w:rPr>
        <w:t>资金管理、审批管理等进行了严格</w:t>
      </w:r>
      <w:r>
        <w:rPr>
          <w:rFonts w:hint="eastAsia" w:ascii="仿宋" w:hAnsi="仿宋" w:eastAsia="仿宋" w:cs="仿宋"/>
          <w:color w:val="auto"/>
          <w:spacing w:val="-2"/>
          <w:sz w:val="28"/>
          <w:szCs w:val="28"/>
          <w:lang w:eastAsia="zh-CN"/>
        </w:rPr>
        <w:t>规定。</w:t>
      </w:r>
      <w:r>
        <w:rPr>
          <w:rFonts w:hint="eastAsia" w:ascii="仿宋" w:hAnsi="仿宋" w:eastAsia="仿宋" w:cs="仿宋"/>
          <w:color w:val="auto"/>
          <w:spacing w:val="3"/>
          <w:sz w:val="28"/>
          <w:szCs w:val="28"/>
          <w:lang w:eastAsia="zh-CN"/>
        </w:rPr>
        <w:t>为加强泉州市洛江区应急管理局采购活动内部控制的管理，规范采购行为，提高资金使用效益。</w:t>
      </w:r>
    </w:p>
    <w:p w14:paraId="04FA1E92">
      <w:pPr>
        <w:widowControl w:val="0"/>
        <w:overflowPunct w:val="0"/>
        <w:snapToGrid/>
        <w:spacing w:line="408" w:lineRule="auto"/>
        <w:ind w:firstLine="554" w:firstLineChars="200"/>
        <w:jc w:val="both"/>
        <w:outlineLvl w:val="1"/>
        <w:rPr>
          <w:rFonts w:hint="eastAsia" w:ascii="仿宋" w:hAnsi="仿宋" w:eastAsia="仿宋" w:cs="仿宋"/>
          <w:b/>
          <w:bCs/>
          <w:color w:val="auto"/>
          <w:spacing w:val="-2"/>
          <w:sz w:val="28"/>
          <w:szCs w:val="28"/>
          <w:lang w:eastAsia="zh-CN"/>
        </w:rPr>
      </w:pPr>
      <w:bookmarkStart w:id="29" w:name="bookmark8"/>
      <w:bookmarkEnd w:id="29"/>
      <w:bookmarkStart w:id="30" w:name="bookmark9"/>
      <w:bookmarkEnd w:id="30"/>
      <w:bookmarkStart w:id="31" w:name="_Toc182903991"/>
      <w:bookmarkStart w:id="32" w:name="_Toc181557995"/>
      <w:r>
        <w:rPr>
          <w:rFonts w:hint="eastAsia" w:ascii="仿宋" w:hAnsi="仿宋" w:eastAsia="仿宋" w:cs="仿宋"/>
          <w:b/>
          <w:bCs/>
          <w:color w:val="auto"/>
          <w:spacing w:val="-2"/>
          <w:sz w:val="28"/>
          <w:szCs w:val="28"/>
          <w:lang w:eastAsia="zh-CN"/>
        </w:rPr>
        <w:t>（四）部门整体收支情况</w:t>
      </w:r>
      <w:bookmarkEnd w:id="31"/>
      <w:bookmarkEnd w:id="32"/>
      <w:bookmarkStart w:id="33" w:name="bookmark10"/>
      <w:bookmarkEnd w:id="33"/>
    </w:p>
    <w:p w14:paraId="0A7383F6">
      <w:pPr>
        <w:widowControl w:val="0"/>
        <w:overflowPunct w:val="0"/>
        <w:snapToGrid/>
        <w:spacing w:line="408" w:lineRule="auto"/>
        <w:ind w:firstLine="552" w:firstLineChars="200"/>
        <w:jc w:val="both"/>
        <w:outlineLvl w:val="2"/>
        <w:rPr>
          <w:rFonts w:hint="eastAsia" w:ascii="仿宋" w:hAnsi="仿宋" w:eastAsia="仿宋" w:cs="仿宋"/>
          <w:color w:val="auto"/>
          <w:spacing w:val="-2"/>
          <w:sz w:val="28"/>
          <w:szCs w:val="28"/>
          <w:lang w:eastAsia="zh-CN"/>
        </w:rPr>
      </w:pPr>
      <w:bookmarkStart w:id="34" w:name="_Toc23750"/>
      <w:bookmarkStart w:id="35" w:name="_Toc182903992"/>
      <w:bookmarkStart w:id="36" w:name="_Toc181557996"/>
      <w:r>
        <w:rPr>
          <w:rFonts w:hint="eastAsia" w:ascii="仿宋" w:hAnsi="仿宋" w:eastAsia="仿宋" w:cs="仿宋"/>
          <w:color w:val="auto"/>
          <w:spacing w:val="-2"/>
          <w:sz w:val="28"/>
          <w:szCs w:val="28"/>
          <w:lang w:eastAsia="zh-CN"/>
        </w:rPr>
        <w:t>1.</w:t>
      </w:r>
      <w:bookmarkEnd w:id="34"/>
      <w:r>
        <w:rPr>
          <w:rFonts w:hint="eastAsia" w:ascii="仿宋" w:hAnsi="仿宋" w:eastAsia="仿宋" w:cs="仿宋"/>
          <w:color w:val="auto"/>
          <w:spacing w:val="-2"/>
          <w:sz w:val="28"/>
          <w:szCs w:val="28"/>
          <w:lang w:eastAsia="zh-CN"/>
        </w:rPr>
        <w:t>资金预算和执行情况</w:t>
      </w:r>
      <w:bookmarkEnd w:id="35"/>
      <w:bookmarkEnd w:id="36"/>
    </w:p>
    <w:p w14:paraId="0C9A1B55">
      <w:pPr>
        <w:widowControl w:val="0"/>
        <w:overflowPunct w:val="0"/>
        <w:snapToGrid/>
        <w:spacing w:line="408" w:lineRule="auto"/>
        <w:ind w:firstLine="552" w:firstLineChars="200"/>
        <w:jc w:val="both"/>
        <w:rPr>
          <w:rFonts w:hint="eastAsia" w:ascii="仿宋" w:hAnsi="仿宋" w:eastAsia="仿宋" w:cs="仿宋"/>
          <w:color w:val="auto"/>
          <w:spacing w:val="-2"/>
          <w:sz w:val="28"/>
          <w:szCs w:val="28"/>
          <w:lang w:eastAsia="zh-CN"/>
        </w:rPr>
      </w:pPr>
      <w:r>
        <w:rPr>
          <w:rFonts w:hint="eastAsia" w:ascii="仿宋" w:hAnsi="仿宋" w:eastAsia="仿宋" w:cs="仿宋"/>
          <w:color w:val="auto"/>
          <w:spacing w:val="-2"/>
          <w:sz w:val="28"/>
          <w:szCs w:val="28"/>
          <w:lang w:eastAsia="zh-CN"/>
        </w:rPr>
        <w:t>泉州市洛江区应急管理局2023年部门年初收入预算为1,518.76万元，其中，一般公共预算财政拨款收入1,518.76万元，政府性基金预算拨款收入0.00万元，国有资本经营预算拨款收入0.00万元，其他收入预算拨款0.00万元。部门年初预算总支出1,518.76万元，基本支出754.36万元，项目支出764.40万元。具体部门收入情况和部门预算安排情况如下表3：</w:t>
      </w:r>
    </w:p>
    <w:p w14:paraId="0F1750BE">
      <w:pPr>
        <w:widowControl w:val="0"/>
        <w:overflowPunct w:val="0"/>
        <w:snapToGrid/>
        <w:spacing w:line="408" w:lineRule="auto"/>
        <w:ind w:firstLine="552" w:firstLineChars="200"/>
        <w:jc w:val="both"/>
        <w:rPr>
          <w:rFonts w:hint="eastAsia" w:ascii="仿宋" w:hAnsi="仿宋" w:eastAsia="仿宋" w:cs="仿宋"/>
          <w:color w:val="auto"/>
          <w:spacing w:val="-2"/>
          <w:sz w:val="28"/>
          <w:szCs w:val="28"/>
          <w:highlight w:val="yellow"/>
          <w:lang w:eastAsia="zh-CN"/>
        </w:rPr>
      </w:pPr>
    </w:p>
    <w:p w14:paraId="0C8139BB">
      <w:pPr>
        <w:widowControl w:val="0"/>
        <w:overflowPunct w:val="0"/>
        <w:spacing w:line="408" w:lineRule="auto"/>
        <w:jc w:val="center"/>
        <w:rPr>
          <w:rFonts w:hint="eastAsia" w:ascii="仿宋" w:hAnsi="仿宋" w:eastAsia="仿宋" w:cs="仿宋"/>
          <w:sz w:val="28"/>
          <w:szCs w:val="24"/>
          <w:lang w:eastAsia="zh-CN"/>
        </w:rPr>
      </w:pPr>
      <w:r>
        <w:rPr>
          <w:rFonts w:ascii="仿宋" w:hAnsi="仿宋" w:eastAsia="仿宋" w:cs="仿宋"/>
          <w:spacing w:val="-2"/>
          <w:sz w:val="28"/>
          <w:szCs w:val="24"/>
          <w:lang w:eastAsia="zh-CN"/>
          <w14:textOutline w14:w="5105" w14:cap="sq" w14:cmpd="sng" w14:algn="ctr">
            <w14:solidFill>
              <w14:srgbClr w14:val="000000"/>
            </w14:solidFill>
            <w14:prstDash w14:val="solid"/>
            <w14:bevel/>
          </w14:textOutline>
        </w:rPr>
        <w:t>表</w:t>
      </w:r>
      <w:r>
        <w:rPr>
          <w:rFonts w:hint="eastAsia" w:ascii="仿宋" w:hAnsi="仿宋" w:eastAsia="仿宋" w:cs="仿宋"/>
          <w:spacing w:val="-2"/>
          <w:sz w:val="28"/>
          <w:szCs w:val="24"/>
          <w:lang w:eastAsia="zh-CN"/>
          <w14:textOutline w14:w="5105" w14:cap="sq" w14:cmpd="sng" w14:algn="ctr">
            <w14:solidFill>
              <w14:srgbClr w14:val="000000"/>
            </w14:solidFill>
            <w14:prstDash w14:val="solid"/>
            <w14:bevel/>
          </w14:textOutline>
        </w:rPr>
        <w:t>3  泉州市洛江区应急管理局2023</w:t>
      </w:r>
      <w:r>
        <w:rPr>
          <w:rFonts w:ascii="仿宋" w:hAnsi="仿宋" w:eastAsia="仿宋" w:cs="仿宋"/>
          <w:spacing w:val="-2"/>
          <w:sz w:val="28"/>
          <w:szCs w:val="24"/>
          <w:lang w:eastAsia="zh-CN"/>
          <w14:textOutline w14:w="5105" w14:cap="sq" w14:cmpd="sng" w14:algn="ctr">
            <w14:solidFill>
              <w14:srgbClr w14:val="000000"/>
            </w14:solidFill>
            <w14:prstDash w14:val="solid"/>
            <w14:bevel/>
          </w14:textOutline>
        </w:rPr>
        <w:t>年</w:t>
      </w:r>
      <w:r>
        <w:rPr>
          <w:rFonts w:hint="eastAsia" w:ascii="仿宋" w:hAnsi="仿宋" w:eastAsia="仿宋" w:cs="仿宋"/>
          <w:spacing w:val="-2"/>
          <w:sz w:val="28"/>
          <w:szCs w:val="24"/>
          <w:lang w:eastAsia="zh-CN"/>
          <w14:textOutline w14:w="5105" w14:cap="sq" w14:cmpd="sng" w14:algn="ctr">
            <w14:solidFill>
              <w14:srgbClr w14:val="000000"/>
            </w14:solidFill>
            <w14:prstDash w14:val="solid"/>
            <w14:bevel/>
          </w14:textOutline>
        </w:rPr>
        <w:t>年初</w:t>
      </w:r>
      <w:r>
        <w:rPr>
          <w:rFonts w:ascii="仿宋" w:hAnsi="仿宋" w:eastAsia="仿宋" w:cs="仿宋"/>
          <w:spacing w:val="-2"/>
          <w:sz w:val="28"/>
          <w:szCs w:val="24"/>
          <w:lang w:eastAsia="zh-CN"/>
          <w14:textOutline w14:w="5105" w14:cap="sq" w14:cmpd="sng" w14:algn="ctr">
            <w14:solidFill>
              <w14:srgbClr w14:val="000000"/>
            </w14:solidFill>
            <w14:prstDash w14:val="solid"/>
            <w14:bevel/>
          </w14:textOutline>
        </w:rPr>
        <w:t>预算安排情况</w:t>
      </w:r>
    </w:p>
    <w:p w14:paraId="549070F5">
      <w:pPr>
        <w:widowControl w:val="0"/>
        <w:overflowPunct w:val="0"/>
        <w:ind w:firstLine="556"/>
        <w:jc w:val="right"/>
        <w:rPr>
          <w:rFonts w:hint="eastAsia" w:ascii="仿宋" w:hAnsi="仿宋" w:eastAsia="仿宋"/>
          <w:color w:val="auto"/>
          <w:sz w:val="24"/>
        </w:rPr>
      </w:pPr>
      <w:r>
        <w:rPr>
          <w:rFonts w:hint="eastAsia" w:ascii="仿宋" w:hAnsi="仿宋" w:eastAsia="仿宋" w:cs="仿宋"/>
          <w:spacing w:val="-2"/>
          <w:sz w:val="24"/>
          <w:lang w:eastAsia="zh-CN"/>
          <w14:textOutline w14:w="5105" w14:cap="sq" w14:cmpd="sng" w14:algn="ctr">
            <w14:solidFill>
              <w14:srgbClr w14:val="000000"/>
            </w14:solidFill>
            <w14:prstDash w14:val="solid"/>
            <w14:bevel/>
          </w14:textOutline>
        </w:rPr>
        <w:t>单位：万元</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8"/>
        <w:gridCol w:w="1920"/>
        <w:gridCol w:w="1878"/>
        <w:gridCol w:w="1877"/>
      </w:tblGrid>
      <w:tr w14:paraId="01A7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033" w:type="pct"/>
            <w:vMerge w:val="restart"/>
            <w:shd w:val="clear" w:color="auto" w:fill="D8D8D8" w:themeFill="background1" w:themeFillShade="D9"/>
            <w:vAlign w:val="center"/>
          </w:tcPr>
          <w:p w14:paraId="444A3F6B">
            <w:pPr>
              <w:pStyle w:val="485"/>
              <w:widowControl w:val="0"/>
              <w:overflowPunct w:val="0"/>
              <w:spacing w:line="408" w:lineRule="auto"/>
              <w:jc w:val="center"/>
              <w:rPr>
                <w:rFonts w:hint="eastAsia"/>
                <w:b/>
                <w:sz w:val="18"/>
              </w:rPr>
            </w:pPr>
            <w:r>
              <w:rPr>
                <w:b/>
                <w:spacing w:val="-6"/>
                <w:sz w:val="18"/>
                <w14:textOutline w14:w="4013" w14:cap="sq" w14:cmpd="sng" w14:algn="ctr">
                  <w14:solidFill>
                    <w14:srgbClr w14:val="000000"/>
                  </w14:solidFill>
                  <w14:prstDash w14:val="solid"/>
                  <w14:bevel/>
                </w14:textOutline>
              </w:rPr>
              <w:t>资金来源</w:t>
            </w:r>
          </w:p>
        </w:tc>
        <w:tc>
          <w:tcPr>
            <w:tcW w:w="1004" w:type="pct"/>
            <w:vMerge w:val="restart"/>
            <w:shd w:val="clear" w:color="auto" w:fill="D8D8D8" w:themeFill="background1" w:themeFillShade="D9"/>
            <w:vAlign w:val="center"/>
          </w:tcPr>
          <w:p w14:paraId="6F6FD298">
            <w:pPr>
              <w:pStyle w:val="485"/>
              <w:widowControl w:val="0"/>
              <w:overflowPunct w:val="0"/>
              <w:spacing w:line="408" w:lineRule="auto"/>
              <w:jc w:val="center"/>
              <w:rPr>
                <w:rFonts w:hint="eastAsia"/>
                <w:b/>
                <w:sz w:val="18"/>
              </w:rPr>
            </w:pPr>
            <w:r>
              <w:rPr>
                <w:rFonts w:hint="eastAsia"/>
                <w:b/>
                <w:spacing w:val="-3"/>
                <w:sz w:val="18"/>
                <w:lang w:eastAsia="zh-CN"/>
                <w14:textOutline w14:w="4013" w14:cap="sq" w14:cmpd="sng" w14:algn="ctr">
                  <w14:solidFill>
                    <w14:srgbClr w14:val="000000"/>
                  </w14:solidFill>
                  <w14:prstDash w14:val="solid"/>
                  <w14:bevel/>
                </w14:textOutline>
              </w:rPr>
              <w:t>年初</w:t>
            </w:r>
            <w:r>
              <w:rPr>
                <w:b/>
                <w:spacing w:val="-3"/>
                <w:sz w:val="18"/>
                <w14:textOutline w14:w="4013" w14:cap="sq" w14:cmpd="sng" w14:algn="ctr">
                  <w14:solidFill>
                    <w14:srgbClr w14:val="000000"/>
                  </w14:solidFill>
                  <w14:prstDash w14:val="solid"/>
                  <w14:bevel/>
                </w14:textOutline>
              </w:rPr>
              <w:t>预算收入</w:t>
            </w:r>
          </w:p>
        </w:tc>
        <w:tc>
          <w:tcPr>
            <w:tcW w:w="1963" w:type="pct"/>
            <w:gridSpan w:val="2"/>
            <w:shd w:val="clear" w:color="auto" w:fill="D8D8D8" w:themeFill="background1" w:themeFillShade="D9"/>
            <w:vAlign w:val="center"/>
          </w:tcPr>
          <w:p w14:paraId="2FEF128C">
            <w:pPr>
              <w:pStyle w:val="485"/>
              <w:widowControl w:val="0"/>
              <w:overflowPunct w:val="0"/>
              <w:spacing w:line="408" w:lineRule="auto"/>
              <w:jc w:val="center"/>
              <w:rPr>
                <w:rFonts w:hint="eastAsia"/>
                <w:b/>
                <w:sz w:val="18"/>
              </w:rPr>
            </w:pPr>
            <w:r>
              <w:rPr>
                <w:rFonts w:hint="eastAsia"/>
                <w:b/>
                <w:spacing w:val="-4"/>
                <w:sz w:val="18"/>
                <w:lang w:eastAsia="zh-CN"/>
                <w14:textOutline w14:w="4013" w14:cap="sq" w14:cmpd="sng" w14:algn="ctr">
                  <w14:solidFill>
                    <w14:srgbClr w14:val="000000"/>
                  </w14:solidFill>
                  <w14:prstDash w14:val="solid"/>
                  <w14:bevel/>
                </w14:textOutline>
              </w:rPr>
              <w:t>年初</w:t>
            </w:r>
            <w:r>
              <w:rPr>
                <w:b/>
                <w:spacing w:val="-4"/>
                <w:sz w:val="18"/>
                <w14:textOutline w14:w="4013" w14:cap="sq" w14:cmpd="sng" w14:algn="ctr">
                  <w14:solidFill>
                    <w14:srgbClr w14:val="000000"/>
                  </w14:solidFill>
                  <w14:prstDash w14:val="solid"/>
                  <w14:bevel/>
                </w14:textOutline>
              </w:rPr>
              <w:t>收入预算安排</w:t>
            </w:r>
          </w:p>
        </w:tc>
      </w:tr>
      <w:tr w14:paraId="1BAB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033" w:type="pct"/>
            <w:vMerge w:val="continue"/>
            <w:shd w:val="clear" w:color="auto" w:fill="D8D8D8" w:themeFill="background1" w:themeFillShade="D9"/>
            <w:vAlign w:val="center"/>
          </w:tcPr>
          <w:p w14:paraId="0A1FEAC7">
            <w:pPr>
              <w:widowControl w:val="0"/>
              <w:overflowPunct w:val="0"/>
              <w:spacing w:line="408" w:lineRule="auto"/>
              <w:jc w:val="center"/>
              <w:rPr>
                <w:rFonts w:hint="eastAsia" w:ascii="仿宋" w:hAnsi="仿宋" w:eastAsia="仿宋"/>
                <w:b/>
                <w:sz w:val="18"/>
              </w:rPr>
            </w:pPr>
          </w:p>
        </w:tc>
        <w:tc>
          <w:tcPr>
            <w:tcW w:w="1004" w:type="pct"/>
            <w:vMerge w:val="continue"/>
            <w:shd w:val="clear" w:color="auto" w:fill="D8D8D8" w:themeFill="background1" w:themeFillShade="D9"/>
            <w:vAlign w:val="center"/>
          </w:tcPr>
          <w:p w14:paraId="057E798A">
            <w:pPr>
              <w:widowControl w:val="0"/>
              <w:overflowPunct w:val="0"/>
              <w:spacing w:line="408" w:lineRule="auto"/>
              <w:jc w:val="center"/>
              <w:rPr>
                <w:rFonts w:hint="eastAsia" w:ascii="仿宋" w:hAnsi="仿宋" w:eastAsia="仿宋"/>
                <w:b/>
                <w:sz w:val="18"/>
              </w:rPr>
            </w:pPr>
          </w:p>
        </w:tc>
        <w:tc>
          <w:tcPr>
            <w:tcW w:w="982" w:type="pct"/>
            <w:shd w:val="clear" w:color="auto" w:fill="D8D8D8" w:themeFill="background1" w:themeFillShade="D9"/>
            <w:vAlign w:val="center"/>
          </w:tcPr>
          <w:p w14:paraId="6009464F">
            <w:pPr>
              <w:pStyle w:val="485"/>
              <w:widowControl w:val="0"/>
              <w:overflowPunct w:val="0"/>
              <w:spacing w:line="408" w:lineRule="auto"/>
              <w:jc w:val="center"/>
              <w:rPr>
                <w:rFonts w:hint="eastAsia"/>
                <w:b/>
                <w:sz w:val="18"/>
              </w:rPr>
            </w:pPr>
            <w:r>
              <w:rPr>
                <w:b/>
                <w:spacing w:val="-3"/>
                <w:sz w:val="18"/>
                <w14:textOutline w14:w="4013" w14:cap="sq" w14:cmpd="sng" w14:algn="ctr">
                  <w14:solidFill>
                    <w14:srgbClr w14:val="000000"/>
                  </w14:solidFill>
                  <w14:prstDash w14:val="solid"/>
                  <w14:bevel/>
                </w14:textOutline>
              </w:rPr>
              <w:t>基本支出</w:t>
            </w:r>
          </w:p>
        </w:tc>
        <w:tc>
          <w:tcPr>
            <w:tcW w:w="981" w:type="pct"/>
            <w:shd w:val="clear" w:color="auto" w:fill="D8D8D8" w:themeFill="background1" w:themeFillShade="D9"/>
            <w:vAlign w:val="center"/>
          </w:tcPr>
          <w:p w14:paraId="5EDB3C78">
            <w:pPr>
              <w:pStyle w:val="485"/>
              <w:widowControl w:val="0"/>
              <w:overflowPunct w:val="0"/>
              <w:spacing w:line="408" w:lineRule="auto"/>
              <w:jc w:val="center"/>
              <w:rPr>
                <w:rFonts w:hint="eastAsia"/>
                <w:b/>
                <w:sz w:val="18"/>
              </w:rPr>
            </w:pPr>
            <w:r>
              <w:rPr>
                <w:b/>
                <w:spacing w:val="-4"/>
                <w:sz w:val="18"/>
                <w14:textOutline w14:w="4013" w14:cap="sq" w14:cmpd="sng" w14:algn="ctr">
                  <w14:solidFill>
                    <w14:srgbClr w14:val="000000"/>
                  </w14:solidFill>
                  <w14:prstDash w14:val="solid"/>
                  <w14:bevel/>
                </w14:textOutline>
              </w:rPr>
              <w:t>项目支出</w:t>
            </w:r>
          </w:p>
        </w:tc>
      </w:tr>
      <w:tr w14:paraId="04D0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3" w:type="pct"/>
            <w:shd w:val="clear" w:color="auto" w:fill="auto"/>
            <w:vAlign w:val="center"/>
          </w:tcPr>
          <w:p w14:paraId="2745187C">
            <w:pPr>
              <w:pStyle w:val="485"/>
              <w:widowControl w:val="0"/>
              <w:overflowPunct w:val="0"/>
              <w:spacing w:line="408" w:lineRule="auto"/>
              <w:ind w:left="125"/>
              <w:rPr>
                <w:rFonts w:hint="eastAsia"/>
                <w:spacing w:val="-2"/>
                <w:sz w:val="18"/>
                <w:lang w:eastAsia="zh-CN"/>
              </w:rPr>
            </w:pPr>
            <w:r>
              <w:rPr>
                <w:spacing w:val="-2"/>
                <w:sz w:val="18"/>
                <w:lang w:eastAsia="zh-CN"/>
              </w:rPr>
              <w:t>一般公共预算财政拨款收入</w:t>
            </w:r>
          </w:p>
        </w:tc>
        <w:tc>
          <w:tcPr>
            <w:tcW w:w="1004" w:type="pct"/>
            <w:shd w:val="clear" w:color="auto" w:fill="auto"/>
            <w:vAlign w:val="center"/>
          </w:tcPr>
          <w:p w14:paraId="20C90240">
            <w:pPr>
              <w:pStyle w:val="485"/>
              <w:widowControl w:val="0"/>
              <w:overflowPunct w:val="0"/>
              <w:spacing w:line="408" w:lineRule="auto"/>
              <w:ind w:left="125"/>
              <w:jc w:val="right"/>
              <w:rPr>
                <w:rFonts w:hint="eastAsia"/>
                <w:spacing w:val="-2"/>
                <w:sz w:val="18"/>
              </w:rPr>
            </w:pPr>
            <w:r>
              <w:rPr>
                <w:spacing w:val="-2"/>
                <w:sz w:val="18"/>
                <w:lang w:eastAsia="zh-CN"/>
              </w:rPr>
              <w:t>1,518.76</w:t>
            </w:r>
          </w:p>
        </w:tc>
        <w:tc>
          <w:tcPr>
            <w:tcW w:w="982" w:type="pct"/>
            <w:shd w:val="clear" w:color="auto" w:fill="auto"/>
            <w:vAlign w:val="center"/>
          </w:tcPr>
          <w:p w14:paraId="5A680360">
            <w:pPr>
              <w:pStyle w:val="485"/>
              <w:widowControl w:val="0"/>
              <w:overflowPunct w:val="0"/>
              <w:spacing w:line="408" w:lineRule="auto"/>
              <w:ind w:left="125"/>
              <w:jc w:val="right"/>
              <w:rPr>
                <w:rFonts w:hint="eastAsia"/>
                <w:spacing w:val="-2"/>
                <w:sz w:val="18"/>
                <w:lang w:eastAsia="zh-CN"/>
              </w:rPr>
            </w:pPr>
            <w:r>
              <w:rPr>
                <w:spacing w:val="-2"/>
                <w:sz w:val="18"/>
                <w:lang w:eastAsia="zh-CN"/>
              </w:rPr>
              <w:t>754.36</w:t>
            </w:r>
          </w:p>
        </w:tc>
        <w:tc>
          <w:tcPr>
            <w:tcW w:w="981" w:type="pct"/>
            <w:shd w:val="clear" w:color="auto" w:fill="auto"/>
            <w:vAlign w:val="center"/>
          </w:tcPr>
          <w:p w14:paraId="63566791">
            <w:pPr>
              <w:pStyle w:val="485"/>
              <w:widowControl w:val="0"/>
              <w:overflowPunct w:val="0"/>
              <w:spacing w:line="408" w:lineRule="auto"/>
              <w:ind w:left="125"/>
              <w:jc w:val="right"/>
              <w:rPr>
                <w:rFonts w:hint="eastAsia"/>
                <w:spacing w:val="-2"/>
                <w:sz w:val="18"/>
                <w:lang w:eastAsia="zh-CN"/>
              </w:rPr>
            </w:pPr>
            <w:r>
              <w:rPr>
                <w:spacing w:val="-2"/>
                <w:sz w:val="18"/>
                <w:lang w:eastAsia="zh-CN"/>
              </w:rPr>
              <w:t>764.40</w:t>
            </w:r>
          </w:p>
        </w:tc>
      </w:tr>
      <w:tr w14:paraId="3DD3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3" w:type="pct"/>
            <w:shd w:val="clear" w:color="auto" w:fill="auto"/>
            <w:vAlign w:val="center"/>
          </w:tcPr>
          <w:p w14:paraId="3FD6FF95">
            <w:pPr>
              <w:pStyle w:val="485"/>
              <w:widowControl w:val="0"/>
              <w:overflowPunct w:val="0"/>
              <w:spacing w:line="408" w:lineRule="auto"/>
              <w:ind w:left="125"/>
              <w:rPr>
                <w:rFonts w:hint="eastAsia"/>
                <w:spacing w:val="-2"/>
                <w:sz w:val="18"/>
                <w:lang w:eastAsia="zh-CN"/>
              </w:rPr>
            </w:pPr>
            <w:r>
              <w:rPr>
                <w:spacing w:val="-2"/>
                <w:sz w:val="18"/>
                <w:lang w:eastAsia="zh-CN"/>
              </w:rPr>
              <w:t>政府性基金预算财政拨款收入</w:t>
            </w:r>
          </w:p>
        </w:tc>
        <w:tc>
          <w:tcPr>
            <w:tcW w:w="1004" w:type="pct"/>
            <w:shd w:val="clear" w:color="auto" w:fill="auto"/>
            <w:vAlign w:val="center"/>
          </w:tcPr>
          <w:p w14:paraId="3617DBE9">
            <w:pPr>
              <w:pStyle w:val="485"/>
              <w:widowControl w:val="0"/>
              <w:overflowPunct w:val="0"/>
              <w:spacing w:line="408" w:lineRule="auto"/>
              <w:ind w:left="125"/>
              <w:jc w:val="right"/>
              <w:rPr>
                <w:rFonts w:hint="eastAsia"/>
                <w:spacing w:val="-2"/>
                <w:sz w:val="18"/>
                <w:lang w:eastAsia="zh-CN"/>
              </w:rPr>
            </w:pPr>
            <w:r>
              <w:rPr>
                <w:rFonts w:hint="eastAsia"/>
                <w:spacing w:val="-2"/>
                <w:sz w:val="18"/>
                <w:lang w:eastAsia="zh-CN"/>
              </w:rPr>
              <w:t>0.00</w:t>
            </w:r>
          </w:p>
        </w:tc>
        <w:tc>
          <w:tcPr>
            <w:tcW w:w="982" w:type="pct"/>
            <w:shd w:val="clear" w:color="auto" w:fill="auto"/>
            <w:vAlign w:val="center"/>
          </w:tcPr>
          <w:p w14:paraId="4C5C38E2">
            <w:pPr>
              <w:pStyle w:val="485"/>
              <w:widowControl w:val="0"/>
              <w:overflowPunct w:val="0"/>
              <w:spacing w:line="408" w:lineRule="auto"/>
              <w:ind w:left="125"/>
              <w:jc w:val="right"/>
              <w:rPr>
                <w:rFonts w:hint="eastAsia"/>
                <w:spacing w:val="-2"/>
                <w:sz w:val="18"/>
              </w:rPr>
            </w:pPr>
            <w:r>
              <w:rPr>
                <w:rFonts w:hint="eastAsia"/>
                <w:spacing w:val="-2"/>
                <w:sz w:val="18"/>
              </w:rPr>
              <w:t>0.00</w:t>
            </w:r>
          </w:p>
        </w:tc>
        <w:tc>
          <w:tcPr>
            <w:tcW w:w="981" w:type="pct"/>
            <w:shd w:val="clear" w:color="auto" w:fill="auto"/>
            <w:vAlign w:val="center"/>
          </w:tcPr>
          <w:p w14:paraId="08FF1BA2">
            <w:pPr>
              <w:pStyle w:val="485"/>
              <w:widowControl w:val="0"/>
              <w:overflowPunct w:val="0"/>
              <w:spacing w:line="408" w:lineRule="auto"/>
              <w:ind w:left="125"/>
              <w:jc w:val="right"/>
              <w:rPr>
                <w:rFonts w:hint="eastAsia"/>
                <w:spacing w:val="-2"/>
                <w:sz w:val="18"/>
              </w:rPr>
            </w:pPr>
            <w:r>
              <w:rPr>
                <w:rFonts w:hint="eastAsia"/>
                <w:spacing w:val="-2"/>
                <w:sz w:val="18"/>
                <w:lang w:eastAsia="zh-CN"/>
              </w:rPr>
              <w:t>0</w:t>
            </w:r>
            <w:r>
              <w:rPr>
                <w:rFonts w:hint="eastAsia"/>
                <w:spacing w:val="-2"/>
                <w:sz w:val="18"/>
              </w:rPr>
              <w:t>.00</w:t>
            </w:r>
          </w:p>
        </w:tc>
      </w:tr>
      <w:tr w14:paraId="2041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3" w:type="pct"/>
            <w:shd w:val="clear" w:color="auto" w:fill="auto"/>
            <w:vAlign w:val="center"/>
          </w:tcPr>
          <w:p w14:paraId="0194850B">
            <w:pPr>
              <w:pStyle w:val="485"/>
              <w:widowControl w:val="0"/>
              <w:overflowPunct w:val="0"/>
              <w:spacing w:line="408" w:lineRule="auto"/>
              <w:ind w:left="125"/>
              <w:rPr>
                <w:rFonts w:hint="eastAsia"/>
                <w:spacing w:val="-2"/>
                <w:sz w:val="18"/>
                <w:lang w:eastAsia="zh-CN"/>
              </w:rPr>
            </w:pPr>
            <w:r>
              <w:rPr>
                <w:spacing w:val="-2"/>
                <w:sz w:val="18"/>
                <w:lang w:eastAsia="zh-CN"/>
              </w:rPr>
              <w:t>国有资本经营预算财政拨款收入</w:t>
            </w:r>
          </w:p>
        </w:tc>
        <w:tc>
          <w:tcPr>
            <w:tcW w:w="1004" w:type="pct"/>
            <w:shd w:val="clear" w:color="auto" w:fill="auto"/>
            <w:vAlign w:val="center"/>
          </w:tcPr>
          <w:p w14:paraId="39C0B2F0">
            <w:pPr>
              <w:pStyle w:val="485"/>
              <w:widowControl w:val="0"/>
              <w:overflowPunct w:val="0"/>
              <w:spacing w:line="408" w:lineRule="auto"/>
              <w:ind w:left="125"/>
              <w:jc w:val="right"/>
              <w:rPr>
                <w:rFonts w:hint="eastAsia"/>
                <w:spacing w:val="-2"/>
                <w:sz w:val="18"/>
              </w:rPr>
            </w:pPr>
            <w:r>
              <w:rPr>
                <w:rFonts w:hint="eastAsia"/>
                <w:spacing w:val="-2"/>
                <w:sz w:val="18"/>
              </w:rPr>
              <w:t>0.00</w:t>
            </w:r>
          </w:p>
        </w:tc>
        <w:tc>
          <w:tcPr>
            <w:tcW w:w="982" w:type="pct"/>
            <w:shd w:val="clear" w:color="auto" w:fill="auto"/>
            <w:vAlign w:val="center"/>
          </w:tcPr>
          <w:p w14:paraId="309D8704">
            <w:pPr>
              <w:pStyle w:val="485"/>
              <w:widowControl w:val="0"/>
              <w:overflowPunct w:val="0"/>
              <w:spacing w:line="408" w:lineRule="auto"/>
              <w:ind w:left="125"/>
              <w:jc w:val="right"/>
              <w:rPr>
                <w:rFonts w:hint="eastAsia"/>
                <w:spacing w:val="-2"/>
                <w:sz w:val="18"/>
              </w:rPr>
            </w:pPr>
            <w:r>
              <w:rPr>
                <w:rFonts w:hint="eastAsia"/>
                <w:spacing w:val="-2"/>
                <w:sz w:val="18"/>
              </w:rPr>
              <w:t>0.00</w:t>
            </w:r>
          </w:p>
        </w:tc>
        <w:tc>
          <w:tcPr>
            <w:tcW w:w="981" w:type="pct"/>
            <w:shd w:val="clear" w:color="auto" w:fill="auto"/>
            <w:vAlign w:val="center"/>
          </w:tcPr>
          <w:p w14:paraId="265183FD">
            <w:pPr>
              <w:pStyle w:val="485"/>
              <w:widowControl w:val="0"/>
              <w:overflowPunct w:val="0"/>
              <w:spacing w:line="408" w:lineRule="auto"/>
              <w:ind w:left="125"/>
              <w:jc w:val="right"/>
              <w:rPr>
                <w:rFonts w:hint="eastAsia"/>
                <w:spacing w:val="-2"/>
                <w:sz w:val="18"/>
              </w:rPr>
            </w:pPr>
            <w:r>
              <w:rPr>
                <w:rFonts w:hint="eastAsia"/>
                <w:spacing w:val="-2"/>
                <w:sz w:val="18"/>
              </w:rPr>
              <w:t>0.00</w:t>
            </w:r>
          </w:p>
        </w:tc>
      </w:tr>
      <w:tr w14:paraId="0B85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3" w:type="pct"/>
            <w:shd w:val="clear" w:color="auto" w:fill="auto"/>
            <w:vAlign w:val="center"/>
          </w:tcPr>
          <w:p w14:paraId="03EA8474">
            <w:pPr>
              <w:pStyle w:val="485"/>
              <w:widowControl w:val="0"/>
              <w:overflowPunct w:val="0"/>
              <w:spacing w:line="408" w:lineRule="auto"/>
              <w:ind w:left="125"/>
              <w:rPr>
                <w:rFonts w:hint="eastAsia"/>
                <w:spacing w:val="-2"/>
                <w:sz w:val="18"/>
              </w:rPr>
            </w:pPr>
            <w:r>
              <w:rPr>
                <w:spacing w:val="-2"/>
                <w:sz w:val="18"/>
              </w:rPr>
              <w:t>其他收入</w:t>
            </w:r>
          </w:p>
        </w:tc>
        <w:tc>
          <w:tcPr>
            <w:tcW w:w="1004" w:type="pct"/>
            <w:shd w:val="clear" w:color="auto" w:fill="auto"/>
            <w:vAlign w:val="center"/>
          </w:tcPr>
          <w:p w14:paraId="56E81A79">
            <w:pPr>
              <w:pStyle w:val="485"/>
              <w:widowControl w:val="0"/>
              <w:overflowPunct w:val="0"/>
              <w:spacing w:line="408" w:lineRule="auto"/>
              <w:ind w:left="125"/>
              <w:jc w:val="right"/>
              <w:rPr>
                <w:rFonts w:hint="eastAsia"/>
                <w:spacing w:val="-2"/>
                <w:sz w:val="18"/>
              </w:rPr>
            </w:pPr>
            <w:r>
              <w:rPr>
                <w:rFonts w:hint="eastAsia"/>
                <w:spacing w:val="-2"/>
                <w:sz w:val="18"/>
              </w:rPr>
              <w:t>0.00</w:t>
            </w:r>
          </w:p>
        </w:tc>
        <w:tc>
          <w:tcPr>
            <w:tcW w:w="982" w:type="pct"/>
            <w:shd w:val="clear" w:color="auto" w:fill="auto"/>
            <w:vAlign w:val="center"/>
          </w:tcPr>
          <w:p w14:paraId="214C86F9">
            <w:pPr>
              <w:pStyle w:val="485"/>
              <w:widowControl w:val="0"/>
              <w:overflowPunct w:val="0"/>
              <w:spacing w:line="408" w:lineRule="auto"/>
              <w:ind w:left="125"/>
              <w:jc w:val="right"/>
              <w:rPr>
                <w:rFonts w:hint="eastAsia"/>
                <w:spacing w:val="-2"/>
                <w:sz w:val="18"/>
              </w:rPr>
            </w:pPr>
            <w:r>
              <w:rPr>
                <w:rFonts w:hint="eastAsia"/>
                <w:spacing w:val="-2"/>
                <w:sz w:val="18"/>
              </w:rPr>
              <w:t>0.00</w:t>
            </w:r>
          </w:p>
        </w:tc>
        <w:tc>
          <w:tcPr>
            <w:tcW w:w="981" w:type="pct"/>
            <w:shd w:val="clear" w:color="auto" w:fill="auto"/>
            <w:vAlign w:val="center"/>
          </w:tcPr>
          <w:p w14:paraId="0FE2D155">
            <w:pPr>
              <w:pStyle w:val="485"/>
              <w:widowControl w:val="0"/>
              <w:overflowPunct w:val="0"/>
              <w:spacing w:line="408" w:lineRule="auto"/>
              <w:ind w:left="125"/>
              <w:jc w:val="right"/>
              <w:rPr>
                <w:rFonts w:hint="eastAsia"/>
                <w:spacing w:val="-2"/>
                <w:sz w:val="18"/>
              </w:rPr>
            </w:pPr>
            <w:r>
              <w:rPr>
                <w:rFonts w:hint="eastAsia"/>
                <w:spacing w:val="-2"/>
                <w:sz w:val="18"/>
              </w:rPr>
              <w:t>0.00</w:t>
            </w:r>
          </w:p>
        </w:tc>
      </w:tr>
      <w:tr w14:paraId="41AA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033" w:type="pct"/>
            <w:shd w:val="clear" w:color="auto" w:fill="auto"/>
            <w:vAlign w:val="center"/>
          </w:tcPr>
          <w:p w14:paraId="15C004B8">
            <w:pPr>
              <w:pStyle w:val="485"/>
              <w:widowControl w:val="0"/>
              <w:overflowPunct w:val="0"/>
              <w:spacing w:line="408" w:lineRule="auto"/>
              <w:ind w:left="125"/>
              <w:rPr>
                <w:rFonts w:hint="eastAsia"/>
                <w:spacing w:val="-2"/>
                <w:sz w:val="18"/>
              </w:rPr>
            </w:pPr>
            <w:r>
              <w:rPr>
                <w:spacing w:val="-2"/>
                <w:sz w:val="18"/>
              </w:rPr>
              <w:t>收入合计</w:t>
            </w:r>
          </w:p>
        </w:tc>
        <w:tc>
          <w:tcPr>
            <w:tcW w:w="1004" w:type="pct"/>
            <w:shd w:val="clear" w:color="auto" w:fill="auto"/>
            <w:vAlign w:val="center"/>
          </w:tcPr>
          <w:p w14:paraId="0281B23B">
            <w:pPr>
              <w:pStyle w:val="485"/>
              <w:widowControl w:val="0"/>
              <w:overflowPunct w:val="0"/>
              <w:spacing w:line="408" w:lineRule="auto"/>
              <w:ind w:left="125"/>
              <w:jc w:val="right"/>
              <w:rPr>
                <w:rFonts w:hint="eastAsia"/>
                <w:spacing w:val="-2"/>
                <w:sz w:val="18"/>
              </w:rPr>
            </w:pPr>
            <w:r>
              <w:rPr>
                <w:spacing w:val="-2"/>
                <w:sz w:val="18"/>
                <w:lang w:eastAsia="zh-CN"/>
              </w:rPr>
              <w:t>1,518.76</w:t>
            </w:r>
          </w:p>
        </w:tc>
        <w:tc>
          <w:tcPr>
            <w:tcW w:w="982" w:type="pct"/>
            <w:shd w:val="clear" w:color="auto" w:fill="auto"/>
            <w:vAlign w:val="center"/>
          </w:tcPr>
          <w:p w14:paraId="449F3B6E">
            <w:pPr>
              <w:pStyle w:val="485"/>
              <w:widowControl w:val="0"/>
              <w:overflowPunct w:val="0"/>
              <w:spacing w:line="408" w:lineRule="auto"/>
              <w:ind w:left="125"/>
              <w:jc w:val="right"/>
              <w:rPr>
                <w:rFonts w:hint="eastAsia"/>
                <w:spacing w:val="-2"/>
                <w:sz w:val="18"/>
                <w:lang w:eastAsia="zh-CN"/>
              </w:rPr>
            </w:pPr>
            <w:r>
              <w:rPr>
                <w:spacing w:val="-2"/>
                <w:sz w:val="18"/>
                <w:lang w:eastAsia="zh-CN"/>
              </w:rPr>
              <w:t>754.36</w:t>
            </w:r>
          </w:p>
        </w:tc>
        <w:tc>
          <w:tcPr>
            <w:tcW w:w="981" w:type="pct"/>
            <w:shd w:val="clear" w:color="auto" w:fill="auto"/>
            <w:vAlign w:val="center"/>
          </w:tcPr>
          <w:p w14:paraId="2BB7B512">
            <w:pPr>
              <w:pStyle w:val="485"/>
              <w:widowControl w:val="0"/>
              <w:overflowPunct w:val="0"/>
              <w:spacing w:line="408" w:lineRule="auto"/>
              <w:ind w:left="125"/>
              <w:jc w:val="right"/>
              <w:rPr>
                <w:rFonts w:hint="eastAsia"/>
                <w:spacing w:val="-2"/>
                <w:sz w:val="18"/>
                <w:lang w:eastAsia="zh-CN"/>
              </w:rPr>
            </w:pPr>
            <w:r>
              <w:rPr>
                <w:spacing w:val="-2"/>
                <w:sz w:val="18"/>
                <w:lang w:eastAsia="zh-CN"/>
              </w:rPr>
              <w:t>764.40</w:t>
            </w:r>
          </w:p>
        </w:tc>
      </w:tr>
    </w:tbl>
    <w:p w14:paraId="390C0617">
      <w:pPr>
        <w:widowControl w:val="0"/>
        <w:overflowPunct w:val="0"/>
        <w:snapToGrid/>
        <w:spacing w:line="408" w:lineRule="auto"/>
        <w:ind w:firstLine="552" w:firstLineChars="200"/>
        <w:jc w:val="both"/>
        <w:outlineLvl w:val="2"/>
        <w:rPr>
          <w:rFonts w:hint="eastAsia" w:ascii="仿宋" w:hAnsi="仿宋" w:eastAsia="仿宋" w:cs="仿宋"/>
          <w:color w:val="auto"/>
          <w:spacing w:val="-2"/>
          <w:sz w:val="28"/>
          <w:szCs w:val="28"/>
          <w:lang w:eastAsia="zh-CN"/>
        </w:rPr>
      </w:pPr>
      <w:bookmarkStart w:id="37" w:name="_Toc8998"/>
      <w:bookmarkStart w:id="38" w:name="_Toc181557997"/>
      <w:bookmarkStart w:id="39" w:name="_Toc182903993"/>
      <w:r>
        <w:rPr>
          <w:rFonts w:hint="eastAsia" w:ascii="仿宋" w:hAnsi="仿宋" w:eastAsia="仿宋" w:cs="仿宋"/>
          <w:color w:val="auto"/>
          <w:spacing w:val="-2"/>
          <w:sz w:val="28"/>
          <w:szCs w:val="28"/>
          <w:lang w:eastAsia="zh-CN"/>
        </w:rPr>
        <w:t>2.资金年度调剂情况</w:t>
      </w:r>
      <w:bookmarkEnd w:id="37"/>
      <w:bookmarkEnd w:id="38"/>
      <w:bookmarkEnd w:id="39"/>
    </w:p>
    <w:p w14:paraId="1D526D76">
      <w:pPr>
        <w:widowControl w:val="0"/>
        <w:overflowPunct w:val="0"/>
        <w:snapToGrid/>
        <w:spacing w:line="408" w:lineRule="auto"/>
        <w:ind w:firstLine="552" w:firstLineChars="200"/>
        <w:jc w:val="both"/>
        <w:rPr>
          <w:rFonts w:hint="eastAsia" w:ascii="仿宋" w:hAnsi="仿宋" w:eastAsia="仿宋" w:cs="仿宋"/>
          <w:color w:val="auto"/>
          <w:spacing w:val="-2"/>
          <w:sz w:val="28"/>
          <w:szCs w:val="28"/>
          <w:highlight w:val="yellow"/>
          <w:lang w:eastAsia="zh-CN"/>
        </w:rPr>
      </w:pPr>
      <w:r>
        <w:rPr>
          <w:rFonts w:ascii="仿宋" w:hAnsi="仿宋" w:eastAsia="仿宋" w:cs="仿宋"/>
          <w:color w:val="auto"/>
          <w:spacing w:val="-2"/>
          <w:sz w:val="28"/>
          <w:szCs w:val="28"/>
          <w:lang w:eastAsia="zh-CN"/>
        </w:rPr>
        <w:t>2023</w:t>
      </w:r>
      <w:r>
        <w:rPr>
          <w:rFonts w:hint="eastAsia" w:ascii="仿宋" w:hAnsi="仿宋" w:eastAsia="仿宋" w:cs="仿宋"/>
          <w:color w:val="auto"/>
          <w:spacing w:val="-2"/>
          <w:sz w:val="28"/>
          <w:szCs w:val="28"/>
          <w:lang w:eastAsia="zh-CN"/>
        </w:rPr>
        <w:t>年部门全年收入预算2,323.37元。部门共追加804.61元，其中一般公共预算财政拨款追加729.27元，政府性基金预算财政拨款追加2.08元，上年度结余结转资金73.26元。经调剂后部门全年预算收入为</w:t>
      </w:r>
      <w:r>
        <w:rPr>
          <w:rFonts w:ascii="仿宋" w:hAnsi="仿宋" w:eastAsia="仿宋" w:cs="仿宋"/>
          <w:color w:val="auto"/>
          <w:spacing w:val="-2"/>
          <w:sz w:val="28"/>
          <w:szCs w:val="28"/>
          <w:lang w:eastAsia="zh-CN"/>
        </w:rPr>
        <w:t>2,323.37</w:t>
      </w:r>
      <w:r>
        <w:rPr>
          <w:rFonts w:hint="eastAsia" w:ascii="仿宋" w:hAnsi="仿宋" w:eastAsia="仿宋" w:cs="仿宋"/>
          <w:color w:val="auto"/>
          <w:spacing w:val="-2"/>
          <w:sz w:val="28"/>
          <w:szCs w:val="28"/>
          <w:lang w:eastAsia="zh-CN"/>
        </w:rPr>
        <w:t>万元。（其中，基本支出764.67万元，项目支出1,501.74万元）。部门收入预算安排情况如下表4所示：</w:t>
      </w:r>
    </w:p>
    <w:p w14:paraId="7E3DF7D1">
      <w:pPr>
        <w:widowControl w:val="0"/>
        <w:overflowPunct w:val="0"/>
        <w:spacing w:line="408" w:lineRule="auto"/>
        <w:jc w:val="center"/>
        <w:rPr>
          <w:rFonts w:hint="eastAsia" w:ascii="仿宋" w:hAnsi="仿宋" w:eastAsia="仿宋" w:cs="仿宋"/>
          <w:bCs/>
          <w:sz w:val="28"/>
          <w:szCs w:val="24"/>
          <w:lang w:eastAsia="zh-CN"/>
        </w:rPr>
      </w:pPr>
      <w:bookmarkStart w:id="40" w:name="_Toc19496"/>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表</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4   泉州市洛江区应急管理局2023</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年</w:t>
      </w:r>
      <w:r>
        <w:rPr>
          <w:rFonts w:hint="eastAsia" w:ascii="仿宋" w:hAnsi="仿宋" w:eastAsia="仿宋" w:cs="仿宋"/>
          <w:bCs/>
          <w:spacing w:val="-2"/>
          <w:sz w:val="28"/>
          <w:szCs w:val="24"/>
          <w:lang w:eastAsia="zh-CN"/>
          <w14:textOutline w14:w="5105" w14:cap="sq" w14:cmpd="sng" w14:algn="ctr">
            <w14:solidFill>
              <w14:srgbClr w14:val="000000"/>
            </w14:solidFill>
            <w14:prstDash w14:val="solid"/>
            <w14:bevel/>
          </w14:textOutline>
        </w:rPr>
        <w:t>全年</w:t>
      </w:r>
      <w:r>
        <w:rPr>
          <w:rFonts w:ascii="仿宋" w:hAnsi="仿宋" w:eastAsia="仿宋" w:cs="仿宋"/>
          <w:bCs/>
          <w:spacing w:val="-2"/>
          <w:sz w:val="28"/>
          <w:szCs w:val="24"/>
          <w:lang w:eastAsia="zh-CN"/>
          <w14:textOutline w14:w="5105" w14:cap="sq" w14:cmpd="sng" w14:algn="ctr">
            <w14:solidFill>
              <w14:srgbClr w14:val="000000"/>
            </w14:solidFill>
            <w14:prstDash w14:val="solid"/>
            <w14:bevel/>
          </w14:textOutline>
        </w:rPr>
        <w:t>预算情况</w:t>
      </w:r>
      <w:bookmarkEnd w:id="40"/>
    </w:p>
    <w:p w14:paraId="2A5916B8">
      <w:pPr>
        <w:widowControl w:val="0"/>
        <w:overflowPunct w:val="0"/>
        <w:jc w:val="right"/>
        <w:rPr>
          <w:rFonts w:hint="eastAsia" w:ascii="仿宋" w:hAnsi="仿宋" w:eastAsia="仿宋"/>
          <w:bCs/>
          <w:color w:val="auto"/>
          <w:sz w:val="24"/>
          <w:lang w:eastAsia="zh-CN"/>
        </w:rPr>
      </w:pPr>
      <w:r>
        <w:rPr>
          <w:rFonts w:hint="eastAsia" w:ascii="仿宋" w:hAnsi="仿宋" w:eastAsia="仿宋" w:cs="仿宋"/>
          <w:bCs/>
          <w:spacing w:val="-2"/>
          <w:sz w:val="24"/>
          <w:lang w:eastAsia="zh-CN"/>
          <w14:textOutline w14:w="5105" w14:cap="sq" w14:cmpd="sng" w14:algn="ctr">
            <w14:solidFill>
              <w14:srgbClr w14:val="000000"/>
            </w14:solidFill>
            <w14:prstDash w14:val="solid"/>
            <w14:bevel/>
          </w14:textOutline>
        </w:rPr>
        <w:t>单位：万元</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0"/>
        <w:gridCol w:w="1192"/>
        <w:gridCol w:w="1107"/>
        <w:gridCol w:w="1322"/>
        <w:gridCol w:w="1547"/>
        <w:gridCol w:w="1255"/>
      </w:tblGrid>
      <w:tr w14:paraId="1A1B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641" w:type="pct"/>
            <w:vMerge w:val="restart"/>
            <w:shd w:val="clear" w:color="auto" w:fill="D8D8D8" w:themeFill="background1" w:themeFillShade="D9"/>
            <w:vAlign w:val="center"/>
          </w:tcPr>
          <w:p w14:paraId="36C96C2F">
            <w:pPr>
              <w:pStyle w:val="485"/>
              <w:widowControl w:val="0"/>
              <w:overflowPunct w:val="0"/>
              <w:spacing w:line="408" w:lineRule="auto"/>
              <w:jc w:val="center"/>
              <w:rPr>
                <w:rFonts w:hint="eastAsia"/>
                <w:bCs/>
                <w:sz w:val="18"/>
              </w:rPr>
            </w:pPr>
            <w:r>
              <w:rPr>
                <w:bCs/>
                <w:spacing w:val="-6"/>
                <w:sz w:val="18"/>
                <w14:textOutline w14:w="4013" w14:cap="sq" w14:cmpd="sng" w14:algn="ctr">
                  <w14:solidFill>
                    <w14:srgbClr w14:val="000000"/>
                  </w14:solidFill>
                  <w14:prstDash w14:val="solid"/>
                  <w14:bevel/>
                </w14:textOutline>
              </w:rPr>
              <w:t>资金来源</w:t>
            </w:r>
          </w:p>
        </w:tc>
        <w:tc>
          <w:tcPr>
            <w:tcW w:w="623" w:type="pct"/>
            <w:vMerge w:val="restart"/>
            <w:shd w:val="clear" w:color="auto" w:fill="D8D8D8" w:themeFill="background1" w:themeFillShade="D9"/>
            <w:vAlign w:val="center"/>
          </w:tcPr>
          <w:p w14:paraId="68480AA8">
            <w:pPr>
              <w:pStyle w:val="485"/>
              <w:widowControl w:val="0"/>
              <w:overflowPunct w:val="0"/>
              <w:spacing w:line="408" w:lineRule="auto"/>
              <w:jc w:val="center"/>
              <w:rPr>
                <w:rFonts w:hint="eastAsia"/>
                <w:bCs/>
                <w:sz w:val="18"/>
                <w:lang w:eastAsia="zh-CN"/>
              </w:rPr>
            </w:pPr>
            <w:r>
              <w:rPr>
                <w:rFonts w:hint="eastAsia"/>
                <w:bCs/>
                <w:spacing w:val="-3"/>
                <w:sz w:val="18"/>
                <w:lang w:eastAsia="zh-CN"/>
                <w14:textOutline w14:w="4013" w14:cap="sq" w14:cmpd="sng" w14:algn="ctr">
                  <w14:solidFill>
                    <w14:srgbClr w14:val="000000"/>
                  </w14:solidFill>
                  <w14:prstDash w14:val="solid"/>
                  <w14:bevel/>
                </w14:textOutline>
              </w:rPr>
              <w:t>年初预算</w:t>
            </w:r>
            <w:r>
              <w:rPr>
                <w:bCs/>
                <w:spacing w:val="-3"/>
                <w:sz w:val="18"/>
                <w14:textOutline w14:w="4013" w14:cap="sq" w14:cmpd="sng" w14:algn="ctr">
                  <w14:solidFill>
                    <w14:srgbClr w14:val="000000"/>
                  </w14:solidFill>
                  <w14:prstDash w14:val="solid"/>
                  <w14:bevel/>
                </w14:textOutline>
              </w:rPr>
              <w:t>收入</w:t>
            </w:r>
          </w:p>
        </w:tc>
        <w:tc>
          <w:tcPr>
            <w:tcW w:w="579" w:type="pct"/>
            <w:vMerge w:val="restart"/>
            <w:shd w:val="clear" w:color="auto" w:fill="D8D8D8" w:themeFill="background1" w:themeFillShade="D9"/>
            <w:vAlign w:val="center"/>
          </w:tcPr>
          <w:p w14:paraId="2ECDC917">
            <w:pPr>
              <w:pStyle w:val="485"/>
              <w:widowControl w:val="0"/>
              <w:overflowPunct w:val="0"/>
              <w:spacing w:line="408" w:lineRule="auto"/>
              <w:jc w:val="center"/>
              <w:rPr>
                <w:rFonts w:hint="eastAsia"/>
                <w:bCs/>
                <w:sz w:val="18"/>
                <w:lang w:eastAsia="zh-CN"/>
              </w:rPr>
            </w:pPr>
            <w:r>
              <w:rPr>
                <w:rFonts w:hint="eastAsia"/>
                <w:bCs/>
                <w:spacing w:val="-3"/>
                <w:sz w:val="18"/>
                <w:lang w:eastAsia="zh-CN"/>
                <w14:textOutline w14:w="4013" w14:cap="sq" w14:cmpd="sng" w14:algn="ctr">
                  <w14:solidFill>
                    <w14:srgbClr w14:val="000000"/>
                  </w14:solidFill>
                  <w14:prstDash w14:val="solid"/>
                  <w14:bevel/>
                </w14:textOutline>
              </w:rPr>
              <w:t>调剂收入</w:t>
            </w:r>
          </w:p>
        </w:tc>
        <w:tc>
          <w:tcPr>
            <w:tcW w:w="691" w:type="pct"/>
            <w:vMerge w:val="restart"/>
            <w:shd w:val="clear" w:color="auto" w:fill="D8D8D8" w:themeFill="background1" w:themeFillShade="D9"/>
            <w:vAlign w:val="center"/>
          </w:tcPr>
          <w:p w14:paraId="27A84D13">
            <w:pPr>
              <w:pStyle w:val="485"/>
              <w:widowControl w:val="0"/>
              <w:overflowPunct w:val="0"/>
              <w:spacing w:line="408" w:lineRule="auto"/>
              <w:jc w:val="center"/>
              <w:rPr>
                <w:rFonts w:hint="eastAsia"/>
                <w:bCs/>
                <w:sz w:val="18"/>
              </w:rPr>
            </w:pPr>
            <w:r>
              <w:rPr>
                <w:rFonts w:hint="eastAsia"/>
                <w:bCs/>
                <w:spacing w:val="-3"/>
                <w:sz w:val="18"/>
                <w:lang w:eastAsia="zh-CN"/>
                <w14:textOutline w14:w="4013" w14:cap="sq" w14:cmpd="sng" w14:algn="ctr">
                  <w14:solidFill>
                    <w14:srgbClr w14:val="000000"/>
                  </w14:solidFill>
                  <w14:prstDash w14:val="solid"/>
                  <w14:bevel/>
                </w14:textOutline>
              </w:rPr>
              <w:t>全年</w:t>
            </w:r>
            <w:r>
              <w:rPr>
                <w:bCs/>
                <w:spacing w:val="-3"/>
                <w:sz w:val="18"/>
                <w14:textOutline w14:w="4013" w14:cap="sq" w14:cmpd="sng" w14:algn="ctr">
                  <w14:solidFill>
                    <w14:srgbClr w14:val="000000"/>
                  </w14:solidFill>
                  <w14:prstDash w14:val="solid"/>
                  <w14:bevel/>
                </w14:textOutline>
              </w:rPr>
              <w:t>预算收入</w:t>
            </w:r>
          </w:p>
        </w:tc>
        <w:tc>
          <w:tcPr>
            <w:tcW w:w="1465" w:type="pct"/>
            <w:gridSpan w:val="2"/>
            <w:shd w:val="clear" w:color="auto" w:fill="D8D8D8" w:themeFill="background1" w:themeFillShade="D9"/>
            <w:vAlign w:val="center"/>
          </w:tcPr>
          <w:p w14:paraId="7EA1A3F2">
            <w:pPr>
              <w:pStyle w:val="485"/>
              <w:widowControl w:val="0"/>
              <w:overflowPunct w:val="0"/>
              <w:spacing w:line="408" w:lineRule="auto"/>
              <w:jc w:val="center"/>
              <w:rPr>
                <w:rFonts w:hint="eastAsia"/>
                <w:bCs/>
                <w:sz w:val="18"/>
              </w:rPr>
            </w:pPr>
            <w:r>
              <w:rPr>
                <w:rFonts w:hint="eastAsia"/>
                <w:bCs/>
                <w:spacing w:val="-4"/>
                <w:sz w:val="18"/>
                <w:lang w:eastAsia="zh-CN"/>
                <w14:textOutline w14:w="4013" w14:cap="sq" w14:cmpd="sng" w14:algn="ctr">
                  <w14:solidFill>
                    <w14:srgbClr w14:val="000000"/>
                  </w14:solidFill>
                  <w14:prstDash w14:val="solid"/>
                  <w14:bevel/>
                </w14:textOutline>
              </w:rPr>
              <w:t>全年</w:t>
            </w:r>
            <w:r>
              <w:rPr>
                <w:bCs/>
                <w:spacing w:val="-4"/>
                <w:sz w:val="18"/>
                <w14:textOutline w14:w="4013" w14:cap="sq" w14:cmpd="sng" w14:algn="ctr">
                  <w14:solidFill>
                    <w14:srgbClr w14:val="000000"/>
                  </w14:solidFill>
                  <w14:prstDash w14:val="solid"/>
                  <w14:bevel/>
                </w14:textOutline>
              </w:rPr>
              <w:t>收入预算安排</w:t>
            </w:r>
          </w:p>
        </w:tc>
      </w:tr>
      <w:tr w14:paraId="421A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641" w:type="pct"/>
            <w:vMerge w:val="continue"/>
            <w:shd w:val="clear" w:color="auto" w:fill="D8D8D8" w:themeFill="background1" w:themeFillShade="D9"/>
            <w:vAlign w:val="center"/>
          </w:tcPr>
          <w:p w14:paraId="2AB6A693">
            <w:pPr>
              <w:widowControl w:val="0"/>
              <w:overflowPunct w:val="0"/>
              <w:spacing w:line="408" w:lineRule="auto"/>
              <w:jc w:val="center"/>
              <w:rPr>
                <w:rFonts w:hint="eastAsia" w:ascii="仿宋" w:hAnsi="仿宋" w:eastAsia="仿宋"/>
                <w:bCs/>
                <w:sz w:val="18"/>
              </w:rPr>
            </w:pPr>
          </w:p>
        </w:tc>
        <w:tc>
          <w:tcPr>
            <w:tcW w:w="623" w:type="pct"/>
            <w:vMerge w:val="continue"/>
            <w:shd w:val="clear" w:color="auto" w:fill="D8D8D8" w:themeFill="background1" w:themeFillShade="D9"/>
            <w:vAlign w:val="center"/>
          </w:tcPr>
          <w:p w14:paraId="3C2130F7">
            <w:pPr>
              <w:widowControl w:val="0"/>
              <w:overflowPunct w:val="0"/>
              <w:spacing w:line="408" w:lineRule="auto"/>
              <w:jc w:val="center"/>
              <w:rPr>
                <w:rFonts w:hint="eastAsia" w:ascii="仿宋" w:hAnsi="仿宋" w:eastAsia="仿宋"/>
                <w:bCs/>
                <w:sz w:val="18"/>
                <w:lang w:eastAsia="zh-CN"/>
              </w:rPr>
            </w:pPr>
          </w:p>
        </w:tc>
        <w:tc>
          <w:tcPr>
            <w:tcW w:w="579" w:type="pct"/>
            <w:vMerge w:val="continue"/>
            <w:shd w:val="clear" w:color="auto" w:fill="D8D8D8" w:themeFill="background1" w:themeFillShade="D9"/>
            <w:vAlign w:val="center"/>
          </w:tcPr>
          <w:p w14:paraId="60604C38">
            <w:pPr>
              <w:widowControl w:val="0"/>
              <w:overflowPunct w:val="0"/>
              <w:spacing w:line="408" w:lineRule="auto"/>
              <w:jc w:val="center"/>
              <w:rPr>
                <w:rFonts w:hint="eastAsia" w:ascii="仿宋" w:hAnsi="仿宋" w:eastAsia="仿宋"/>
                <w:bCs/>
                <w:sz w:val="18"/>
                <w:lang w:eastAsia="zh-CN"/>
              </w:rPr>
            </w:pPr>
          </w:p>
        </w:tc>
        <w:tc>
          <w:tcPr>
            <w:tcW w:w="691" w:type="pct"/>
            <w:vMerge w:val="continue"/>
            <w:shd w:val="clear" w:color="auto" w:fill="D8D8D8" w:themeFill="background1" w:themeFillShade="D9"/>
            <w:vAlign w:val="center"/>
          </w:tcPr>
          <w:p w14:paraId="6958EE09">
            <w:pPr>
              <w:widowControl w:val="0"/>
              <w:overflowPunct w:val="0"/>
              <w:spacing w:line="408" w:lineRule="auto"/>
              <w:jc w:val="center"/>
              <w:rPr>
                <w:rFonts w:hint="eastAsia" w:ascii="仿宋" w:hAnsi="仿宋" w:eastAsia="仿宋"/>
                <w:bCs/>
                <w:sz w:val="18"/>
              </w:rPr>
            </w:pPr>
          </w:p>
        </w:tc>
        <w:tc>
          <w:tcPr>
            <w:tcW w:w="809" w:type="pct"/>
            <w:shd w:val="clear" w:color="auto" w:fill="D8D8D8" w:themeFill="background1" w:themeFillShade="D9"/>
            <w:vAlign w:val="center"/>
          </w:tcPr>
          <w:p w14:paraId="13B0CC7A">
            <w:pPr>
              <w:pStyle w:val="485"/>
              <w:widowControl w:val="0"/>
              <w:overflowPunct w:val="0"/>
              <w:spacing w:line="408" w:lineRule="auto"/>
              <w:jc w:val="center"/>
              <w:rPr>
                <w:rFonts w:hint="eastAsia"/>
                <w:bCs/>
                <w:sz w:val="18"/>
              </w:rPr>
            </w:pPr>
            <w:r>
              <w:rPr>
                <w:bCs/>
                <w:spacing w:val="-3"/>
                <w:sz w:val="18"/>
                <w14:textOutline w14:w="4013" w14:cap="sq" w14:cmpd="sng" w14:algn="ctr">
                  <w14:solidFill>
                    <w14:srgbClr w14:val="000000"/>
                  </w14:solidFill>
                  <w14:prstDash w14:val="solid"/>
                  <w14:bevel/>
                </w14:textOutline>
              </w:rPr>
              <w:t>基本支出</w:t>
            </w:r>
          </w:p>
        </w:tc>
        <w:tc>
          <w:tcPr>
            <w:tcW w:w="656" w:type="pct"/>
            <w:shd w:val="clear" w:color="auto" w:fill="D8D8D8" w:themeFill="background1" w:themeFillShade="D9"/>
            <w:vAlign w:val="center"/>
          </w:tcPr>
          <w:p w14:paraId="00A12BCE">
            <w:pPr>
              <w:pStyle w:val="485"/>
              <w:widowControl w:val="0"/>
              <w:overflowPunct w:val="0"/>
              <w:spacing w:line="408" w:lineRule="auto"/>
              <w:jc w:val="center"/>
              <w:rPr>
                <w:rFonts w:hint="eastAsia"/>
                <w:bCs/>
                <w:sz w:val="18"/>
              </w:rPr>
            </w:pPr>
            <w:r>
              <w:rPr>
                <w:bCs/>
                <w:spacing w:val="-4"/>
                <w:sz w:val="18"/>
                <w14:textOutline w14:w="4013" w14:cap="sq" w14:cmpd="sng" w14:algn="ctr">
                  <w14:solidFill>
                    <w14:srgbClr w14:val="000000"/>
                  </w14:solidFill>
                  <w14:prstDash w14:val="solid"/>
                  <w14:bevel/>
                </w14:textOutline>
              </w:rPr>
              <w:t>项目支出</w:t>
            </w:r>
          </w:p>
        </w:tc>
      </w:tr>
      <w:tr w14:paraId="675C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41" w:type="pct"/>
            <w:shd w:val="clear" w:color="auto" w:fill="auto"/>
            <w:vAlign w:val="center"/>
          </w:tcPr>
          <w:p w14:paraId="038648DC">
            <w:pPr>
              <w:pStyle w:val="485"/>
              <w:widowControl w:val="0"/>
              <w:overflowPunct w:val="0"/>
              <w:spacing w:line="408" w:lineRule="auto"/>
              <w:ind w:left="125"/>
              <w:rPr>
                <w:rFonts w:hint="eastAsia"/>
                <w:sz w:val="18"/>
                <w:lang w:eastAsia="zh-CN"/>
              </w:rPr>
            </w:pPr>
            <w:r>
              <w:rPr>
                <w:spacing w:val="-2"/>
                <w:sz w:val="18"/>
                <w:lang w:eastAsia="zh-CN"/>
              </w:rPr>
              <w:t>一般公共预算财政拨款收入</w:t>
            </w:r>
          </w:p>
        </w:tc>
        <w:tc>
          <w:tcPr>
            <w:tcW w:w="623" w:type="pct"/>
            <w:shd w:val="clear" w:color="auto" w:fill="auto"/>
            <w:vAlign w:val="center"/>
          </w:tcPr>
          <w:p w14:paraId="51A5C430">
            <w:pPr>
              <w:pStyle w:val="485"/>
              <w:widowControl w:val="0"/>
              <w:overflowPunct w:val="0"/>
              <w:spacing w:line="408" w:lineRule="auto"/>
              <w:ind w:left="125"/>
              <w:jc w:val="right"/>
              <w:rPr>
                <w:rFonts w:hint="eastAsia"/>
                <w:color w:val="000000" w:themeColor="text1"/>
                <w:spacing w:val="-2"/>
                <w:sz w:val="18"/>
                <w14:textFill>
                  <w14:solidFill>
                    <w14:schemeClr w14:val="tx1"/>
                  </w14:solidFill>
                </w14:textFill>
              </w:rPr>
            </w:pPr>
            <w:r>
              <w:rPr>
                <w:spacing w:val="-2"/>
                <w:sz w:val="18"/>
                <w:lang w:eastAsia="zh-CN"/>
              </w:rPr>
              <w:t>1,518.76</w:t>
            </w:r>
          </w:p>
        </w:tc>
        <w:tc>
          <w:tcPr>
            <w:tcW w:w="579" w:type="pct"/>
            <w:shd w:val="clear" w:color="auto" w:fill="auto"/>
            <w:vAlign w:val="center"/>
          </w:tcPr>
          <w:p w14:paraId="5F643BFA">
            <w:pPr>
              <w:widowControl w:val="0"/>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ascii="仿宋" w:hAnsi="仿宋" w:eastAsia="仿宋" w:cs="仿宋"/>
                <w:color w:val="000000" w:themeColor="text1"/>
                <w:spacing w:val="-2"/>
                <w:sz w:val="18"/>
                <w:szCs w:val="22"/>
                <w:lang w:eastAsia="zh-CN"/>
                <w14:textFill>
                  <w14:solidFill>
                    <w14:schemeClr w14:val="tx1"/>
                  </w14:solidFill>
                </w14:textFill>
              </w:rPr>
              <w:t>729.27</w:t>
            </w:r>
          </w:p>
        </w:tc>
        <w:tc>
          <w:tcPr>
            <w:tcW w:w="691" w:type="pct"/>
            <w:shd w:val="clear" w:color="auto" w:fill="auto"/>
            <w:vAlign w:val="center"/>
          </w:tcPr>
          <w:p w14:paraId="235DDE28">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2,248.03</w:t>
            </w:r>
          </w:p>
        </w:tc>
        <w:tc>
          <w:tcPr>
            <w:tcW w:w="809" w:type="pct"/>
            <w:shd w:val="clear" w:color="auto" w:fill="auto"/>
            <w:vAlign w:val="center"/>
          </w:tcPr>
          <w:p w14:paraId="6320736E">
            <w:pPr>
              <w:pStyle w:val="485"/>
              <w:widowControl w:val="0"/>
              <w:overflowPunct w:val="0"/>
              <w:spacing w:line="408" w:lineRule="auto"/>
              <w:jc w:val="right"/>
              <w:rPr>
                <w:rFonts w:hint="eastAsia"/>
                <w:color w:val="000000" w:themeColor="text1"/>
                <w:sz w:val="18"/>
                <w:lang w:eastAsia="zh-CN"/>
                <w14:textFill>
                  <w14:solidFill>
                    <w14:schemeClr w14:val="tx1"/>
                  </w14:solidFill>
                </w14:textFill>
              </w:rPr>
            </w:pPr>
            <w:r>
              <w:rPr>
                <w:color w:val="000000" w:themeColor="text1"/>
                <w:sz w:val="18"/>
                <w:lang w:eastAsia="zh-CN"/>
                <w14:textFill>
                  <w14:solidFill>
                    <w14:schemeClr w14:val="tx1"/>
                  </w14:solidFill>
                </w14:textFill>
              </w:rPr>
              <w:t>764.67</w:t>
            </w:r>
          </w:p>
        </w:tc>
        <w:tc>
          <w:tcPr>
            <w:tcW w:w="656" w:type="pct"/>
            <w:shd w:val="clear" w:color="auto" w:fill="auto"/>
            <w:vAlign w:val="center"/>
          </w:tcPr>
          <w:p w14:paraId="6EF92710">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ascii="仿宋" w:hAnsi="仿宋" w:eastAsia="仿宋" w:cs="仿宋"/>
                <w:color w:val="000000" w:themeColor="text1"/>
                <w:spacing w:val="-2"/>
                <w:sz w:val="18"/>
                <w:szCs w:val="22"/>
                <w:lang w:eastAsia="zh-CN"/>
                <w14:textFill>
                  <w14:solidFill>
                    <w14:schemeClr w14:val="tx1"/>
                  </w14:solidFill>
                </w14:textFill>
              </w:rPr>
              <w:t>1,501.74</w:t>
            </w:r>
          </w:p>
        </w:tc>
      </w:tr>
      <w:tr w14:paraId="4416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41" w:type="pct"/>
            <w:shd w:val="clear" w:color="auto" w:fill="auto"/>
            <w:vAlign w:val="center"/>
          </w:tcPr>
          <w:p w14:paraId="63512DED">
            <w:pPr>
              <w:pStyle w:val="485"/>
              <w:widowControl w:val="0"/>
              <w:overflowPunct w:val="0"/>
              <w:spacing w:line="408" w:lineRule="auto"/>
              <w:ind w:left="122"/>
              <w:rPr>
                <w:rFonts w:hint="eastAsia"/>
                <w:sz w:val="18"/>
                <w:lang w:eastAsia="zh-CN"/>
              </w:rPr>
            </w:pPr>
            <w:r>
              <w:rPr>
                <w:spacing w:val="-2"/>
                <w:sz w:val="18"/>
                <w:lang w:eastAsia="zh-CN"/>
              </w:rPr>
              <w:t>政府性基金预算财政拨款收入</w:t>
            </w:r>
          </w:p>
        </w:tc>
        <w:tc>
          <w:tcPr>
            <w:tcW w:w="623" w:type="pct"/>
            <w:shd w:val="clear" w:color="auto" w:fill="auto"/>
            <w:vAlign w:val="center"/>
          </w:tcPr>
          <w:p w14:paraId="3C5BBF41">
            <w:pPr>
              <w:pStyle w:val="485"/>
              <w:widowControl w:val="0"/>
              <w:overflowPunct w:val="0"/>
              <w:spacing w:line="408" w:lineRule="auto"/>
              <w:ind w:left="125"/>
              <w:jc w:val="right"/>
              <w:rPr>
                <w:rFonts w:hint="eastAsia"/>
                <w:color w:val="000000" w:themeColor="text1"/>
                <w:spacing w:val="-2"/>
                <w:sz w:val="18"/>
                <w14:textFill>
                  <w14:solidFill>
                    <w14:schemeClr w14:val="tx1"/>
                  </w14:solidFill>
                </w14:textFill>
              </w:rPr>
            </w:pPr>
            <w:r>
              <w:rPr>
                <w:rFonts w:hint="eastAsia"/>
                <w:spacing w:val="-2"/>
                <w:sz w:val="18"/>
                <w:lang w:eastAsia="zh-CN"/>
              </w:rPr>
              <w:t>0.00</w:t>
            </w:r>
          </w:p>
        </w:tc>
        <w:tc>
          <w:tcPr>
            <w:tcW w:w="579" w:type="pct"/>
            <w:shd w:val="clear" w:color="auto" w:fill="auto"/>
            <w:vAlign w:val="center"/>
          </w:tcPr>
          <w:p w14:paraId="26C4F882">
            <w:pPr>
              <w:widowControl w:val="0"/>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ascii="仿宋" w:hAnsi="仿宋" w:eastAsia="仿宋" w:cs="仿宋"/>
                <w:color w:val="000000" w:themeColor="text1"/>
                <w:spacing w:val="-2"/>
                <w:sz w:val="18"/>
                <w:szCs w:val="22"/>
                <w:lang w:eastAsia="zh-CN"/>
                <w14:textFill>
                  <w14:solidFill>
                    <w14:schemeClr w14:val="tx1"/>
                  </w14:solidFill>
                </w14:textFill>
              </w:rPr>
              <w:t>2.08</w:t>
            </w:r>
          </w:p>
        </w:tc>
        <w:tc>
          <w:tcPr>
            <w:tcW w:w="691" w:type="pct"/>
            <w:shd w:val="clear" w:color="auto" w:fill="auto"/>
            <w:vAlign w:val="center"/>
          </w:tcPr>
          <w:p w14:paraId="6D7E492C">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2.08</w:t>
            </w:r>
          </w:p>
        </w:tc>
        <w:tc>
          <w:tcPr>
            <w:tcW w:w="809" w:type="pct"/>
            <w:shd w:val="clear" w:color="auto" w:fill="auto"/>
            <w:vAlign w:val="center"/>
          </w:tcPr>
          <w:p w14:paraId="20CA14CC">
            <w:pPr>
              <w:widowControl w:val="0"/>
              <w:overflowPunct w:val="0"/>
              <w:spacing w:line="408" w:lineRule="auto"/>
              <w:jc w:val="right"/>
              <w:rPr>
                <w:rFonts w:hint="eastAsia" w:ascii="仿宋" w:hAnsi="仿宋" w:eastAsia="仿宋"/>
                <w:color w:val="000000" w:themeColor="text1"/>
                <w:sz w:val="18"/>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656" w:type="pct"/>
            <w:shd w:val="clear" w:color="auto" w:fill="auto"/>
            <w:vAlign w:val="center"/>
          </w:tcPr>
          <w:p w14:paraId="038C9AAC">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r>
      <w:tr w14:paraId="6F69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41" w:type="pct"/>
            <w:shd w:val="clear" w:color="auto" w:fill="auto"/>
            <w:vAlign w:val="center"/>
          </w:tcPr>
          <w:p w14:paraId="2C60A0B8">
            <w:pPr>
              <w:pStyle w:val="485"/>
              <w:widowControl w:val="0"/>
              <w:overflowPunct w:val="0"/>
              <w:spacing w:line="408" w:lineRule="auto"/>
              <w:ind w:left="146"/>
              <w:rPr>
                <w:rFonts w:hint="eastAsia"/>
                <w:sz w:val="18"/>
                <w:lang w:eastAsia="zh-CN"/>
              </w:rPr>
            </w:pPr>
            <w:r>
              <w:rPr>
                <w:spacing w:val="-3"/>
                <w:sz w:val="18"/>
                <w:lang w:eastAsia="zh-CN"/>
              </w:rPr>
              <w:t>国有资本经营预算财政拨款收入</w:t>
            </w:r>
          </w:p>
        </w:tc>
        <w:tc>
          <w:tcPr>
            <w:tcW w:w="623" w:type="pct"/>
            <w:shd w:val="clear" w:color="auto" w:fill="auto"/>
            <w:vAlign w:val="center"/>
          </w:tcPr>
          <w:p w14:paraId="120289C4">
            <w:pPr>
              <w:pStyle w:val="485"/>
              <w:widowControl w:val="0"/>
              <w:overflowPunct w:val="0"/>
              <w:spacing w:line="408" w:lineRule="auto"/>
              <w:ind w:left="125"/>
              <w:jc w:val="right"/>
              <w:rPr>
                <w:rFonts w:hint="eastAsia"/>
                <w:color w:val="000000" w:themeColor="text1"/>
                <w:spacing w:val="-2"/>
                <w:sz w:val="18"/>
                <w14:textFill>
                  <w14:solidFill>
                    <w14:schemeClr w14:val="tx1"/>
                  </w14:solidFill>
                </w14:textFill>
              </w:rPr>
            </w:pPr>
            <w:r>
              <w:rPr>
                <w:rFonts w:hint="eastAsia"/>
                <w:spacing w:val="-2"/>
                <w:sz w:val="18"/>
              </w:rPr>
              <w:t>0.00</w:t>
            </w:r>
          </w:p>
        </w:tc>
        <w:tc>
          <w:tcPr>
            <w:tcW w:w="579" w:type="pct"/>
            <w:shd w:val="clear" w:color="auto" w:fill="auto"/>
            <w:vAlign w:val="center"/>
          </w:tcPr>
          <w:p w14:paraId="066BCC4B">
            <w:pPr>
              <w:widowControl w:val="0"/>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691" w:type="pct"/>
            <w:shd w:val="clear" w:color="auto" w:fill="auto"/>
            <w:vAlign w:val="center"/>
          </w:tcPr>
          <w:p w14:paraId="7089138A">
            <w:pPr>
              <w:widowControl w:val="0"/>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809" w:type="pct"/>
            <w:shd w:val="clear" w:color="auto" w:fill="auto"/>
            <w:vAlign w:val="center"/>
          </w:tcPr>
          <w:p w14:paraId="55BF7B1C">
            <w:pPr>
              <w:widowControl w:val="0"/>
              <w:overflowPunct w:val="0"/>
              <w:spacing w:line="408" w:lineRule="auto"/>
              <w:jc w:val="right"/>
              <w:rPr>
                <w:rFonts w:hint="eastAsia" w:ascii="仿宋" w:hAnsi="仿宋" w:eastAsia="仿宋"/>
                <w:color w:val="000000" w:themeColor="text1"/>
                <w:sz w:val="18"/>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656" w:type="pct"/>
            <w:shd w:val="clear" w:color="auto" w:fill="auto"/>
            <w:vAlign w:val="center"/>
          </w:tcPr>
          <w:p w14:paraId="2DE2C341">
            <w:pPr>
              <w:widowControl w:val="0"/>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r>
      <w:tr w14:paraId="38C8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41" w:type="pct"/>
            <w:shd w:val="clear" w:color="auto" w:fill="auto"/>
            <w:vAlign w:val="center"/>
          </w:tcPr>
          <w:p w14:paraId="39691934">
            <w:pPr>
              <w:pStyle w:val="485"/>
              <w:widowControl w:val="0"/>
              <w:overflowPunct w:val="0"/>
              <w:spacing w:line="408" w:lineRule="auto"/>
              <w:ind w:left="123"/>
              <w:rPr>
                <w:rFonts w:hint="eastAsia"/>
                <w:sz w:val="18"/>
              </w:rPr>
            </w:pPr>
            <w:r>
              <w:rPr>
                <w:spacing w:val="-4"/>
                <w:sz w:val="18"/>
              </w:rPr>
              <w:t>其他收入</w:t>
            </w:r>
          </w:p>
        </w:tc>
        <w:tc>
          <w:tcPr>
            <w:tcW w:w="623" w:type="pct"/>
            <w:shd w:val="clear" w:color="auto" w:fill="auto"/>
            <w:vAlign w:val="center"/>
          </w:tcPr>
          <w:p w14:paraId="0FF8B10B">
            <w:pPr>
              <w:pStyle w:val="485"/>
              <w:widowControl w:val="0"/>
              <w:overflowPunct w:val="0"/>
              <w:spacing w:line="408" w:lineRule="auto"/>
              <w:ind w:left="125"/>
              <w:jc w:val="right"/>
              <w:rPr>
                <w:rFonts w:hint="eastAsia"/>
                <w:color w:val="000000" w:themeColor="text1"/>
                <w:spacing w:val="-2"/>
                <w:sz w:val="18"/>
                <w14:textFill>
                  <w14:solidFill>
                    <w14:schemeClr w14:val="tx1"/>
                  </w14:solidFill>
                </w14:textFill>
              </w:rPr>
            </w:pPr>
            <w:r>
              <w:rPr>
                <w:rFonts w:hint="eastAsia"/>
                <w:spacing w:val="-2"/>
                <w:sz w:val="18"/>
              </w:rPr>
              <w:t>0.00</w:t>
            </w:r>
          </w:p>
        </w:tc>
        <w:tc>
          <w:tcPr>
            <w:tcW w:w="579" w:type="pct"/>
            <w:shd w:val="clear" w:color="auto" w:fill="auto"/>
            <w:vAlign w:val="center"/>
          </w:tcPr>
          <w:p w14:paraId="52AC9B9B">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0.00</w:t>
            </w:r>
          </w:p>
        </w:tc>
        <w:tc>
          <w:tcPr>
            <w:tcW w:w="691" w:type="pct"/>
            <w:shd w:val="clear" w:color="auto" w:fill="auto"/>
            <w:vAlign w:val="center"/>
          </w:tcPr>
          <w:p w14:paraId="42DA7462">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0.00</w:t>
            </w:r>
          </w:p>
        </w:tc>
        <w:tc>
          <w:tcPr>
            <w:tcW w:w="809" w:type="pct"/>
            <w:shd w:val="clear" w:color="auto" w:fill="auto"/>
            <w:vAlign w:val="center"/>
          </w:tcPr>
          <w:p w14:paraId="51AF9CBB">
            <w:pPr>
              <w:widowControl w:val="0"/>
              <w:overflowPunct w:val="0"/>
              <w:spacing w:line="408" w:lineRule="auto"/>
              <w:jc w:val="right"/>
              <w:rPr>
                <w:rFonts w:hint="eastAsia" w:ascii="仿宋" w:hAnsi="仿宋" w:eastAsia="仿宋"/>
                <w:color w:val="000000" w:themeColor="text1"/>
                <w:sz w:val="18"/>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656" w:type="pct"/>
            <w:shd w:val="clear" w:color="auto" w:fill="auto"/>
            <w:vAlign w:val="center"/>
          </w:tcPr>
          <w:p w14:paraId="591C9690">
            <w:pPr>
              <w:widowControl w:val="0"/>
              <w:tabs>
                <w:tab w:val="center" w:pos="649"/>
              </w:tabs>
              <w:overflowPunct w:val="0"/>
              <w:spacing w:line="408" w:lineRule="auto"/>
              <w:jc w:val="right"/>
              <w:rPr>
                <w:rFonts w:hint="eastAsia" w:ascii="仿宋" w:hAnsi="仿宋" w:eastAsia="仿宋" w:cs="仿宋"/>
                <w:color w:val="000000" w:themeColor="text1"/>
                <w:spacing w:val="-2"/>
                <w:sz w:val="18"/>
                <w:szCs w:val="22"/>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r>
      <w:tr w14:paraId="5877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641" w:type="pct"/>
            <w:shd w:val="clear" w:color="auto" w:fill="auto"/>
            <w:vAlign w:val="center"/>
          </w:tcPr>
          <w:p w14:paraId="0EC50998">
            <w:pPr>
              <w:pStyle w:val="485"/>
              <w:widowControl w:val="0"/>
              <w:overflowPunct w:val="0"/>
              <w:spacing w:line="408" w:lineRule="auto"/>
              <w:ind w:left="123"/>
              <w:rPr>
                <w:rFonts w:hint="eastAsia"/>
                <w:spacing w:val="-4"/>
                <w:sz w:val="18"/>
              </w:rPr>
            </w:pPr>
            <w:r>
              <w:rPr>
                <w:rFonts w:hint="eastAsia"/>
                <w:spacing w:val="-4"/>
                <w:sz w:val="18"/>
              </w:rPr>
              <w:t>年初结转和结余</w:t>
            </w:r>
          </w:p>
        </w:tc>
        <w:tc>
          <w:tcPr>
            <w:tcW w:w="623" w:type="pct"/>
            <w:shd w:val="clear" w:color="auto" w:fill="auto"/>
            <w:vAlign w:val="center"/>
          </w:tcPr>
          <w:p w14:paraId="380DC3AB">
            <w:pPr>
              <w:pStyle w:val="485"/>
              <w:widowControl w:val="0"/>
              <w:overflowPunct w:val="0"/>
              <w:spacing w:line="408" w:lineRule="auto"/>
              <w:ind w:left="125"/>
              <w:jc w:val="right"/>
              <w:rPr>
                <w:rFonts w:hint="eastAsia"/>
                <w:color w:val="000000" w:themeColor="text1"/>
                <w:spacing w:val="-2"/>
                <w:sz w:val="18"/>
                <w:lang w:eastAsia="zh-CN"/>
                <w14:textFill>
                  <w14:solidFill>
                    <w14:schemeClr w14:val="tx1"/>
                  </w14:solidFill>
                </w14:textFill>
              </w:rPr>
            </w:pPr>
            <w:r>
              <w:rPr>
                <w:rFonts w:hint="eastAsia"/>
                <w:color w:val="000000" w:themeColor="text1"/>
                <w:spacing w:val="-2"/>
                <w:sz w:val="18"/>
                <w:lang w:eastAsia="zh-CN"/>
                <w14:textFill>
                  <w14:solidFill>
                    <w14:schemeClr w14:val="tx1"/>
                  </w14:solidFill>
                </w14:textFill>
              </w:rPr>
              <w:t>0.00</w:t>
            </w:r>
          </w:p>
        </w:tc>
        <w:tc>
          <w:tcPr>
            <w:tcW w:w="579" w:type="pct"/>
            <w:shd w:val="clear" w:color="auto" w:fill="auto"/>
            <w:vAlign w:val="center"/>
          </w:tcPr>
          <w:p w14:paraId="03183A7C">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14:textFill>
                  <w14:solidFill>
                    <w14:schemeClr w14:val="tx1"/>
                  </w14:solidFill>
                </w14:textFill>
              </w:rPr>
              <w:t>0.00</w:t>
            </w:r>
          </w:p>
        </w:tc>
        <w:tc>
          <w:tcPr>
            <w:tcW w:w="691" w:type="pct"/>
            <w:shd w:val="clear" w:color="auto" w:fill="auto"/>
            <w:vAlign w:val="center"/>
          </w:tcPr>
          <w:p w14:paraId="538865D6">
            <w:pPr>
              <w:widowControl w:val="0"/>
              <w:tabs>
                <w:tab w:val="left" w:pos="265"/>
              </w:tabs>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73.26</w:t>
            </w:r>
          </w:p>
        </w:tc>
        <w:tc>
          <w:tcPr>
            <w:tcW w:w="809" w:type="pct"/>
            <w:shd w:val="clear" w:color="auto" w:fill="auto"/>
            <w:vAlign w:val="center"/>
          </w:tcPr>
          <w:p w14:paraId="32B7A4D4">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0.00</w:t>
            </w:r>
          </w:p>
        </w:tc>
        <w:tc>
          <w:tcPr>
            <w:tcW w:w="656" w:type="pct"/>
            <w:shd w:val="clear" w:color="auto" w:fill="auto"/>
            <w:vAlign w:val="center"/>
          </w:tcPr>
          <w:p w14:paraId="4A3B1A94">
            <w:pPr>
              <w:widowControl w:val="0"/>
              <w:overflowPunct w:val="0"/>
              <w:spacing w:line="408" w:lineRule="auto"/>
              <w:jc w:val="right"/>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0.00</w:t>
            </w:r>
          </w:p>
        </w:tc>
      </w:tr>
      <w:tr w14:paraId="4A4B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41" w:type="pct"/>
            <w:shd w:val="clear" w:color="auto" w:fill="auto"/>
            <w:vAlign w:val="center"/>
          </w:tcPr>
          <w:p w14:paraId="7A22253F">
            <w:pPr>
              <w:pStyle w:val="485"/>
              <w:widowControl w:val="0"/>
              <w:overflowPunct w:val="0"/>
              <w:spacing w:line="408" w:lineRule="auto"/>
              <w:ind w:left="1254"/>
              <w:rPr>
                <w:rFonts w:hint="eastAsia"/>
                <w:sz w:val="18"/>
              </w:rPr>
            </w:pPr>
            <w:r>
              <w:rPr>
                <w:spacing w:val="-6"/>
                <w:sz w:val="18"/>
                <w14:textOutline w14:w="4013" w14:cap="sq" w14:cmpd="sng" w14:algn="ctr">
                  <w14:solidFill>
                    <w14:srgbClr w14:val="000000"/>
                  </w14:solidFill>
                  <w14:prstDash w14:val="solid"/>
                  <w14:bevel/>
                </w14:textOutline>
              </w:rPr>
              <w:t>收入合计</w:t>
            </w:r>
          </w:p>
        </w:tc>
        <w:tc>
          <w:tcPr>
            <w:tcW w:w="623" w:type="pct"/>
            <w:shd w:val="clear" w:color="auto" w:fill="auto"/>
            <w:vAlign w:val="center"/>
          </w:tcPr>
          <w:p w14:paraId="0AFBD02F">
            <w:pPr>
              <w:pStyle w:val="485"/>
              <w:widowControl w:val="0"/>
              <w:overflowPunct w:val="0"/>
              <w:spacing w:line="408" w:lineRule="auto"/>
              <w:ind w:left="125"/>
              <w:jc w:val="right"/>
              <w:rPr>
                <w:rFonts w:hint="eastAsia"/>
                <w:color w:val="000000" w:themeColor="text1"/>
                <w:sz w:val="18"/>
                <w:lang w:eastAsia="zh-CN"/>
                <w14:textFill>
                  <w14:solidFill>
                    <w14:schemeClr w14:val="tx1"/>
                  </w14:solidFill>
                </w14:textFill>
              </w:rPr>
            </w:pPr>
            <w:r>
              <w:rPr>
                <w:spacing w:val="-2"/>
                <w:sz w:val="18"/>
                <w:lang w:eastAsia="zh-CN"/>
              </w:rPr>
              <w:t>1,518.76</w:t>
            </w:r>
          </w:p>
        </w:tc>
        <w:tc>
          <w:tcPr>
            <w:tcW w:w="579" w:type="pct"/>
            <w:shd w:val="clear" w:color="auto" w:fill="auto"/>
            <w:vAlign w:val="center"/>
          </w:tcPr>
          <w:p w14:paraId="796E5CEF">
            <w:pPr>
              <w:pStyle w:val="485"/>
              <w:widowControl w:val="0"/>
              <w:overflowPunct w:val="0"/>
              <w:spacing w:line="408" w:lineRule="auto"/>
              <w:jc w:val="right"/>
              <w:rPr>
                <w:rFonts w:hint="eastAsia"/>
                <w:color w:val="000000" w:themeColor="text1"/>
                <w:sz w:val="18"/>
                <w:lang w:eastAsia="zh-CN"/>
                <w14:textFill>
                  <w14:solidFill>
                    <w14:schemeClr w14:val="tx1"/>
                  </w14:solidFill>
                </w14:textFill>
              </w:rPr>
            </w:pPr>
            <w:r>
              <w:rPr>
                <w:color w:val="000000" w:themeColor="text1"/>
                <w:sz w:val="18"/>
                <w:lang w:eastAsia="zh-CN"/>
                <w14:textFill>
                  <w14:solidFill>
                    <w14:schemeClr w14:val="tx1"/>
                  </w14:solidFill>
                </w14:textFill>
              </w:rPr>
              <w:t>73.26</w:t>
            </w:r>
          </w:p>
        </w:tc>
        <w:tc>
          <w:tcPr>
            <w:tcW w:w="691" w:type="pct"/>
            <w:shd w:val="clear" w:color="auto" w:fill="auto"/>
            <w:vAlign w:val="center"/>
          </w:tcPr>
          <w:p w14:paraId="19F03011">
            <w:pPr>
              <w:widowControl w:val="0"/>
              <w:overflowPunct w:val="0"/>
              <w:spacing w:line="408" w:lineRule="auto"/>
              <w:jc w:val="right"/>
              <w:textAlignment w:val="center"/>
              <w:rPr>
                <w:rFonts w:hint="eastAsia" w:ascii="仿宋" w:hAnsi="仿宋" w:eastAsia="仿宋" w:cs="宋体"/>
                <w:color w:val="000000" w:themeColor="text1"/>
                <w:sz w:val="18"/>
                <w:szCs w:val="22"/>
                <w:lang w:eastAsia="zh-CN"/>
                <w14:textFill>
                  <w14:solidFill>
                    <w14:schemeClr w14:val="tx1"/>
                  </w14:solidFill>
                </w14:textFill>
              </w:rPr>
            </w:pPr>
            <w:r>
              <w:rPr>
                <w:rFonts w:ascii="仿宋" w:hAnsi="仿宋" w:eastAsia="仿宋" w:cs="宋体"/>
                <w:color w:val="000000" w:themeColor="text1"/>
                <w:sz w:val="18"/>
                <w:szCs w:val="22"/>
                <w:lang w:eastAsia="zh-CN"/>
                <w14:textFill>
                  <w14:solidFill>
                    <w14:schemeClr w14:val="tx1"/>
                  </w14:solidFill>
                </w14:textFill>
              </w:rPr>
              <w:t>2,323.37</w:t>
            </w:r>
          </w:p>
        </w:tc>
        <w:tc>
          <w:tcPr>
            <w:tcW w:w="809" w:type="pct"/>
            <w:shd w:val="clear" w:color="auto" w:fill="auto"/>
            <w:vAlign w:val="center"/>
          </w:tcPr>
          <w:p w14:paraId="2E70BDBD">
            <w:pPr>
              <w:pStyle w:val="485"/>
              <w:widowControl w:val="0"/>
              <w:overflowPunct w:val="0"/>
              <w:spacing w:line="408" w:lineRule="auto"/>
              <w:jc w:val="right"/>
              <w:rPr>
                <w:rFonts w:hint="eastAsia"/>
                <w:color w:val="000000" w:themeColor="text1"/>
                <w:sz w:val="18"/>
                <w:lang w:eastAsia="zh-CN"/>
                <w14:textFill>
                  <w14:solidFill>
                    <w14:schemeClr w14:val="tx1"/>
                  </w14:solidFill>
                </w14:textFill>
              </w:rPr>
            </w:pPr>
            <w:r>
              <w:rPr>
                <w:color w:val="000000" w:themeColor="text1"/>
                <w:sz w:val="18"/>
                <w:lang w:eastAsia="zh-CN"/>
                <w14:textFill>
                  <w14:solidFill>
                    <w14:schemeClr w14:val="tx1"/>
                  </w14:solidFill>
                </w14:textFill>
              </w:rPr>
              <w:t>764.67</w:t>
            </w:r>
          </w:p>
        </w:tc>
        <w:tc>
          <w:tcPr>
            <w:tcW w:w="656" w:type="pct"/>
            <w:shd w:val="clear" w:color="auto" w:fill="auto"/>
            <w:vAlign w:val="center"/>
          </w:tcPr>
          <w:p w14:paraId="362BD307">
            <w:pPr>
              <w:pStyle w:val="485"/>
              <w:widowControl w:val="0"/>
              <w:overflowPunct w:val="0"/>
              <w:spacing w:line="408" w:lineRule="auto"/>
              <w:jc w:val="right"/>
              <w:rPr>
                <w:rFonts w:hint="eastAsia"/>
                <w:color w:val="000000" w:themeColor="text1"/>
                <w:spacing w:val="-2"/>
                <w:sz w:val="18"/>
                <w:lang w:eastAsia="zh-CN"/>
                <w14:textFill>
                  <w14:solidFill>
                    <w14:schemeClr w14:val="tx1"/>
                  </w14:solidFill>
                </w14:textFill>
              </w:rPr>
            </w:pPr>
            <w:r>
              <w:rPr>
                <w:color w:val="000000" w:themeColor="text1"/>
                <w:spacing w:val="-2"/>
                <w:sz w:val="18"/>
                <w:lang w:eastAsia="zh-CN"/>
                <w14:textFill>
                  <w14:solidFill>
                    <w14:schemeClr w14:val="tx1"/>
                  </w14:solidFill>
                </w14:textFill>
              </w:rPr>
              <w:t>1,501.74</w:t>
            </w:r>
          </w:p>
        </w:tc>
      </w:tr>
    </w:tbl>
    <w:p w14:paraId="4E4B07FB">
      <w:pPr>
        <w:widowControl w:val="0"/>
        <w:overflowPunct w:val="0"/>
        <w:snapToGrid/>
        <w:spacing w:line="408" w:lineRule="auto"/>
        <w:ind w:firstLine="552" w:firstLineChars="200"/>
        <w:jc w:val="both"/>
        <w:outlineLvl w:val="2"/>
        <w:rPr>
          <w:rFonts w:hint="eastAsia" w:ascii="仿宋" w:hAnsi="仿宋" w:eastAsia="仿宋" w:cs="仿宋"/>
          <w:color w:val="auto"/>
          <w:sz w:val="28"/>
          <w:szCs w:val="28"/>
          <w:lang w:eastAsia="zh-CN"/>
        </w:rPr>
      </w:pPr>
      <w:bookmarkStart w:id="41" w:name="bookmark11"/>
      <w:bookmarkEnd w:id="41"/>
      <w:bookmarkStart w:id="42" w:name="_Toc181557998"/>
      <w:bookmarkStart w:id="43" w:name="_Toc182903994"/>
      <w:bookmarkStart w:id="44" w:name="_Toc15086"/>
      <w:r>
        <w:rPr>
          <w:rFonts w:hint="eastAsia" w:ascii="仿宋" w:hAnsi="仿宋" w:eastAsia="仿宋" w:cs="仿宋"/>
          <w:color w:val="auto"/>
          <w:spacing w:val="-2"/>
          <w:sz w:val="28"/>
          <w:szCs w:val="28"/>
          <w:lang w:eastAsia="zh-CN"/>
        </w:rPr>
        <w:t>3</w:t>
      </w:r>
      <w:r>
        <w:rPr>
          <w:rFonts w:hint="eastAsia" w:ascii="仿宋" w:hAnsi="仿宋" w:eastAsia="仿宋" w:cs="仿宋"/>
          <w:color w:val="auto"/>
          <w:spacing w:val="3"/>
          <w:sz w:val="28"/>
          <w:szCs w:val="28"/>
          <w:lang w:eastAsia="zh-CN"/>
        </w:rPr>
        <w:t>.</w:t>
      </w:r>
      <w:r>
        <w:rPr>
          <w:rFonts w:hint="eastAsia" w:ascii="仿宋" w:hAnsi="仿宋" w:eastAsia="仿宋" w:cs="仿宋"/>
          <w:color w:val="auto"/>
          <w:spacing w:val="-2"/>
          <w:sz w:val="28"/>
          <w:szCs w:val="28"/>
          <w:lang w:eastAsia="zh-CN"/>
        </w:rPr>
        <w:t>资金预算执行情况</w:t>
      </w:r>
      <w:bookmarkEnd w:id="42"/>
      <w:bookmarkEnd w:id="43"/>
      <w:bookmarkEnd w:id="44"/>
    </w:p>
    <w:p w14:paraId="2F7E1069">
      <w:pPr>
        <w:widowControl w:val="0"/>
        <w:overflowPunct w:val="0"/>
        <w:snapToGrid/>
        <w:spacing w:line="408" w:lineRule="auto"/>
        <w:ind w:firstLine="540" w:firstLineChars="200"/>
        <w:jc w:val="both"/>
        <w:rPr>
          <w:rFonts w:hint="eastAsia" w:ascii="仿宋" w:hAnsi="仿宋" w:eastAsia="仿宋" w:cs="仿宋"/>
          <w:color w:val="auto"/>
          <w:spacing w:val="-2"/>
          <w:sz w:val="28"/>
          <w:szCs w:val="28"/>
          <w:lang w:eastAsia="zh-CN"/>
        </w:rPr>
      </w:pPr>
      <w:r>
        <w:rPr>
          <w:rFonts w:hint="eastAsia" w:ascii="仿宋" w:hAnsi="仿宋" w:eastAsia="仿宋" w:cs="仿宋"/>
          <w:color w:val="auto"/>
          <w:spacing w:val="-5"/>
          <w:sz w:val="28"/>
          <w:szCs w:val="28"/>
          <w:lang w:eastAsia="zh-CN"/>
        </w:rPr>
        <w:t>根据</w:t>
      </w:r>
      <w:r>
        <w:rPr>
          <w:rFonts w:ascii="仿宋" w:hAnsi="仿宋" w:eastAsia="仿宋" w:cs="仿宋"/>
          <w:color w:val="auto"/>
          <w:spacing w:val="-5"/>
          <w:sz w:val="28"/>
          <w:szCs w:val="28"/>
          <w:lang w:eastAsia="zh-CN"/>
        </w:rPr>
        <w:t>2023</w:t>
      </w:r>
      <w:r>
        <w:rPr>
          <w:rFonts w:hint="eastAsia" w:ascii="仿宋" w:hAnsi="仿宋" w:eastAsia="仿宋" w:cs="仿宋"/>
          <w:color w:val="auto"/>
          <w:spacing w:val="-5"/>
          <w:sz w:val="28"/>
          <w:szCs w:val="28"/>
          <w:lang w:eastAsia="zh-CN"/>
        </w:rPr>
        <w:t>年部门决算报表，</w:t>
      </w:r>
      <w:r>
        <w:rPr>
          <w:rFonts w:ascii="仿宋" w:hAnsi="仿宋" w:eastAsia="仿宋" w:cs="仿宋"/>
          <w:color w:val="auto"/>
          <w:spacing w:val="-5"/>
          <w:sz w:val="28"/>
          <w:szCs w:val="28"/>
          <w:lang w:eastAsia="zh-CN"/>
        </w:rPr>
        <w:t>2023</w:t>
      </w:r>
      <w:r>
        <w:rPr>
          <w:rFonts w:hint="eastAsia" w:ascii="仿宋" w:hAnsi="仿宋" w:eastAsia="仿宋" w:cs="仿宋"/>
          <w:color w:val="auto"/>
          <w:spacing w:val="-5"/>
          <w:sz w:val="28"/>
          <w:szCs w:val="28"/>
          <w:lang w:eastAsia="zh-CN"/>
        </w:rPr>
        <w:t>年全年预算支出为2,323.37元，实际支出金额（决算数）为2,266.41元。其中基本支出金额为764.67元，项目支出金额为1,501.74元，</w:t>
      </w:r>
      <w:r>
        <w:rPr>
          <w:rFonts w:ascii="仿宋" w:hAnsi="仿宋" w:eastAsia="仿宋" w:cs="仿宋"/>
          <w:color w:val="auto"/>
          <w:spacing w:val="-5"/>
          <w:sz w:val="28"/>
          <w:szCs w:val="28"/>
          <w:lang w:eastAsia="zh-CN"/>
        </w:rPr>
        <w:t>2023</w:t>
      </w:r>
      <w:r>
        <w:rPr>
          <w:rFonts w:hint="eastAsia" w:ascii="仿宋" w:hAnsi="仿宋" w:eastAsia="仿宋" w:cs="仿宋"/>
          <w:color w:val="auto"/>
          <w:spacing w:val="-5"/>
          <w:sz w:val="28"/>
          <w:szCs w:val="28"/>
          <w:lang w:eastAsia="zh-CN"/>
        </w:rPr>
        <w:t>年部门预算执行率为</w:t>
      </w:r>
      <w:r>
        <w:rPr>
          <w:rFonts w:ascii="仿宋" w:hAnsi="仿宋" w:eastAsia="仿宋" w:cs="仿宋"/>
          <w:color w:val="auto"/>
          <w:spacing w:val="-5"/>
          <w:sz w:val="28"/>
          <w:szCs w:val="28"/>
          <w:lang w:eastAsia="zh-CN"/>
        </w:rPr>
        <w:t>97.55%</w:t>
      </w:r>
      <w:r>
        <w:rPr>
          <w:rFonts w:hint="eastAsia" w:ascii="仿宋" w:hAnsi="仿宋" w:eastAsia="仿宋" w:cs="仿宋"/>
          <w:color w:val="auto"/>
          <w:spacing w:val="-5"/>
          <w:sz w:val="28"/>
          <w:szCs w:val="28"/>
          <w:lang w:eastAsia="zh-CN"/>
        </w:rPr>
        <w:t>（</w:t>
      </w:r>
      <w:r>
        <w:rPr>
          <w:rFonts w:ascii="仿宋" w:hAnsi="仿宋" w:eastAsia="仿宋" w:cs="仿宋"/>
          <w:color w:val="auto"/>
          <w:spacing w:val="-5"/>
          <w:sz w:val="28"/>
          <w:szCs w:val="28"/>
          <w:lang w:eastAsia="zh-CN"/>
        </w:rPr>
        <w:t>2023</w:t>
      </w:r>
      <w:r>
        <w:rPr>
          <w:rFonts w:hint="eastAsia" w:ascii="仿宋" w:hAnsi="仿宋" w:eastAsia="仿宋" w:cs="仿宋"/>
          <w:color w:val="auto"/>
          <w:spacing w:val="-5"/>
          <w:sz w:val="28"/>
          <w:szCs w:val="28"/>
          <w:lang w:eastAsia="zh-CN"/>
        </w:rPr>
        <w:t>年部门预算执行率</w:t>
      </w:r>
      <w:r>
        <w:rPr>
          <w:rFonts w:ascii="仿宋" w:hAnsi="仿宋" w:eastAsia="仿宋" w:cs="仿宋"/>
          <w:color w:val="auto"/>
          <w:spacing w:val="-5"/>
          <w:sz w:val="28"/>
          <w:szCs w:val="28"/>
          <w:lang w:eastAsia="zh-CN"/>
        </w:rPr>
        <w:t>=</w:t>
      </w:r>
      <w:r>
        <w:rPr>
          <w:rFonts w:hint="eastAsia" w:ascii="仿宋" w:hAnsi="仿宋" w:eastAsia="仿宋" w:cs="仿宋"/>
          <w:color w:val="auto"/>
          <w:spacing w:val="-5"/>
          <w:sz w:val="28"/>
          <w:szCs w:val="28"/>
          <w:lang w:eastAsia="zh-CN"/>
        </w:rPr>
        <w:t>2,266.41</w:t>
      </w:r>
      <w:r>
        <w:rPr>
          <w:rFonts w:ascii="仿宋" w:hAnsi="仿宋" w:eastAsia="仿宋" w:cs="仿宋"/>
          <w:color w:val="auto"/>
          <w:spacing w:val="-5"/>
          <w:sz w:val="28"/>
          <w:szCs w:val="28"/>
          <w:lang w:eastAsia="zh-CN"/>
        </w:rPr>
        <w:t>/</w:t>
      </w:r>
      <w:r>
        <w:rPr>
          <w:rFonts w:hint="eastAsia" w:ascii="仿宋" w:hAnsi="仿宋" w:eastAsia="仿宋" w:cs="仿宋"/>
          <w:color w:val="auto"/>
          <w:spacing w:val="-5"/>
          <w:sz w:val="28"/>
          <w:szCs w:val="28"/>
          <w:lang w:eastAsia="zh-CN"/>
        </w:rPr>
        <w:t>2,323.37</w:t>
      </w:r>
      <w:r>
        <w:rPr>
          <w:rFonts w:ascii="仿宋" w:hAnsi="仿宋" w:eastAsia="仿宋" w:cs="仿宋"/>
          <w:color w:val="auto"/>
          <w:spacing w:val="-5"/>
          <w:sz w:val="28"/>
          <w:szCs w:val="28"/>
          <w:lang w:eastAsia="zh-CN"/>
        </w:rPr>
        <w:t>*100%=97.55%</w:t>
      </w:r>
      <w:r>
        <w:rPr>
          <w:rFonts w:hint="eastAsia" w:ascii="仿宋" w:hAnsi="仿宋" w:eastAsia="仿宋" w:cs="仿宋"/>
          <w:color w:val="auto"/>
          <w:spacing w:val="-5"/>
          <w:sz w:val="28"/>
          <w:szCs w:val="28"/>
          <w:lang w:eastAsia="zh-CN"/>
        </w:rPr>
        <w:t>）</w:t>
      </w:r>
      <w:r>
        <w:rPr>
          <w:rFonts w:hint="eastAsia" w:ascii="仿宋" w:hAnsi="仿宋" w:eastAsia="仿宋" w:cs="仿宋"/>
          <w:color w:val="auto"/>
          <w:spacing w:val="-2"/>
          <w:sz w:val="28"/>
          <w:szCs w:val="28"/>
          <w:lang w:eastAsia="zh-CN"/>
        </w:rPr>
        <w:t>。</w:t>
      </w:r>
      <w:bookmarkStart w:id="45" w:name="_Toc6901"/>
    </w:p>
    <w:p w14:paraId="12485906">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46" w:name="_Toc182903995"/>
      <w:bookmarkStart w:id="47" w:name="_Toc181557999"/>
      <w:r>
        <w:rPr>
          <w:rFonts w:hint="eastAsia" w:ascii="仿宋" w:hAnsi="仿宋" w:eastAsia="仿宋" w:cs="仿宋"/>
          <w:color w:val="auto"/>
          <w:spacing w:val="3"/>
          <w:sz w:val="28"/>
          <w:szCs w:val="28"/>
          <w:lang w:eastAsia="zh-CN"/>
        </w:rPr>
        <w:t>4.资金结余情况</w:t>
      </w:r>
      <w:bookmarkEnd w:id="45"/>
      <w:bookmarkEnd w:id="46"/>
      <w:bookmarkEnd w:id="47"/>
    </w:p>
    <w:p w14:paraId="7C8BFC97">
      <w:pPr>
        <w:widowControl w:val="0"/>
        <w:overflowPunct w:val="0"/>
        <w:spacing w:line="408" w:lineRule="auto"/>
        <w:ind w:firstLine="540" w:firstLineChars="200"/>
        <w:jc w:val="both"/>
        <w:rPr>
          <w:rFonts w:hint="eastAsia" w:ascii="仿宋" w:hAnsi="仿宋" w:eastAsia="仿宋" w:cs="仿宋"/>
          <w:color w:val="auto"/>
          <w:spacing w:val="-5"/>
          <w:sz w:val="28"/>
          <w:szCs w:val="28"/>
          <w:lang w:eastAsia="zh-CN"/>
        </w:rPr>
      </w:pPr>
      <w:bookmarkStart w:id="48" w:name="bookmark12"/>
      <w:bookmarkEnd w:id="48"/>
      <w:bookmarkStart w:id="49" w:name="_Toc31296"/>
      <w:bookmarkStart w:id="50" w:name="_Toc22664"/>
      <w:r>
        <w:rPr>
          <w:rFonts w:hint="eastAsia" w:ascii="仿宋" w:hAnsi="仿宋" w:eastAsia="仿宋" w:cs="仿宋"/>
          <w:color w:val="auto"/>
          <w:spacing w:val="-5"/>
          <w:sz w:val="28"/>
          <w:szCs w:val="28"/>
          <w:lang w:eastAsia="zh-CN"/>
        </w:rPr>
        <w:t>部门资金结余情况，如表</w:t>
      </w:r>
      <w:r>
        <w:rPr>
          <w:rFonts w:ascii="仿宋" w:hAnsi="仿宋" w:eastAsia="仿宋" w:cs="仿宋"/>
          <w:color w:val="auto"/>
          <w:spacing w:val="-5"/>
          <w:sz w:val="28"/>
          <w:szCs w:val="28"/>
          <w:lang w:eastAsia="zh-CN"/>
        </w:rPr>
        <w:t>5</w:t>
      </w:r>
      <w:r>
        <w:rPr>
          <w:rFonts w:hint="eastAsia" w:ascii="仿宋" w:hAnsi="仿宋" w:eastAsia="仿宋" w:cs="仿宋"/>
          <w:color w:val="auto"/>
          <w:spacing w:val="-5"/>
          <w:sz w:val="28"/>
          <w:szCs w:val="28"/>
          <w:lang w:eastAsia="zh-CN"/>
        </w:rPr>
        <w:t>所示：</w:t>
      </w:r>
    </w:p>
    <w:p w14:paraId="21661CA7">
      <w:pPr>
        <w:widowControl w:val="0"/>
        <w:overflowPunct w:val="0"/>
        <w:spacing w:line="408" w:lineRule="auto"/>
        <w:jc w:val="center"/>
        <w:rPr>
          <w:rFonts w:hint="eastAsia" w:ascii="仿宋" w:hAnsi="仿宋" w:eastAsia="仿宋" w:cs="仿宋"/>
          <w:spacing w:val="-2"/>
          <w:sz w:val="28"/>
          <w:szCs w:val="24"/>
          <w:lang w:eastAsia="zh-CN"/>
          <w14:textOutline w14:w="5105" w14:cap="sq" w14:cmpd="sng" w14:algn="ctr">
            <w14:solidFill>
              <w14:srgbClr w14:val="000000"/>
            </w14:solidFill>
            <w14:prstDash w14:val="solid"/>
            <w14:bevel/>
          </w14:textOutline>
        </w:rPr>
      </w:pPr>
      <w:r>
        <w:rPr>
          <w:rFonts w:ascii="仿宋" w:hAnsi="仿宋" w:eastAsia="仿宋" w:cs="仿宋"/>
          <w:spacing w:val="-2"/>
          <w:sz w:val="28"/>
          <w:szCs w:val="24"/>
          <w:lang w:eastAsia="zh-CN"/>
          <w14:textOutline w14:w="5105" w14:cap="sq" w14:cmpd="sng" w14:algn="ctr">
            <w14:solidFill>
              <w14:srgbClr w14:val="000000"/>
            </w14:solidFill>
            <w14:prstDash w14:val="solid"/>
            <w14:bevel/>
          </w14:textOutline>
        </w:rPr>
        <w:t>表</w:t>
      </w:r>
      <w:r>
        <w:rPr>
          <w:rFonts w:hint="eastAsia" w:ascii="仿宋" w:hAnsi="仿宋" w:eastAsia="仿宋" w:cs="仿宋"/>
          <w:spacing w:val="-2"/>
          <w:sz w:val="28"/>
          <w:szCs w:val="24"/>
          <w:lang w:eastAsia="zh-CN"/>
          <w14:textOutline w14:w="5105" w14:cap="sq" w14:cmpd="sng" w14:algn="ctr">
            <w14:solidFill>
              <w14:srgbClr w14:val="000000"/>
            </w14:solidFill>
            <w14:prstDash w14:val="solid"/>
            <w14:bevel/>
          </w14:textOutline>
        </w:rPr>
        <w:t>5    泉州市洛江区应急管理局2023</w:t>
      </w:r>
      <w:r>
        <w:rPr>
          <w:rFonts w:ascii="仿宋" w:hAnsi="仿宋" w:eastAsia="仿宋" w:cs="仿宋"/>
          <w:spacing w:val="-2"/>
          <w:sz w:val="28"/>
          <w:szCs w:val="24"/>
          <w:lang w:eastAsia="zh-CN"/>
          <w14:textOutline w14:w="5105" w14:cap="sq" w14:cmpd="sng" w14:algn="ctr">
            <w14:solidFill>
              <w14:srgbClr w14:val="000000"/>
            </w14:solidFill>
            <w14:prstDash w14:val="solid"/>
            <w14:bevel/>
          </w14:textOutline>
        </w:rPr>
        <w:t>年部门资金结余情况</w:t>
      </w:r>
      <w:bookmarkEnd w:id="49"/>
      <w:bookmarkEnd w:id="50"/>
    </w:p>
    <w:p w14:paraId="6565E671">
      <w:pPr>
        <w:widowControl w:val="0"/>
        <w:overflowPunct w:val="0"/>
        <w:jc w:val="right"/>
        <w:rPr>
          <w:rFonts w:hint="eastAsia" w:ascii="仿宋" w:hAnsi="仿宋" w:eastAsia="仿宋"/>
          <w:bCs/>
          <w:color w:val="auto"/>
          <w:sz w:val="24"/>
        </w:rPr>
      </w:pPr>
      <w:r>
        <w:rPr>
          <w:rFonts w:hint="eastAsia" w:ascii="仿宋" w:hAnsi="仿宋" w:eastAsia="仿宋" w:cs="仿宋"/>
          <w:bCs/>
          <w:spacing w:val="-2"/>
          <w:sz w:val="24"/>
          <w:szCs w:val="28"/>
          <w:lang w:eastAsia="zh-CN"/>
          <w14:textOutline w14:w="5105" w14:cap="sq" w14:cmpd="sng" w14:algn="ctr">
            <w14:solidFill>
              <w14:srgbClr w14:val="000000"/>
            </w14:solidFill>
            <w14:prstDash w14:val="solid"/>
            <w14:bevel/>
          </w14:textOutline>
        </w:rPr>
        <w:t>单位：万元</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687"/>
        <w:gridCol w:w="1983"/>
        <w:gridCol w:w="1790"/>
        <w:gridCol w:w="1205"/>
        <w:gridCol w:w="1594"/>
      </w:tblGrid>
      <w:tr w14:paraId="4910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682" w:type="pct"/>
            <w:shd w:val="clear" w:color="auto" w:fill="D8D8D8" w:themeFill="background1" w:themeFillShade="D9"/>
            <w:vAlign w:val="center"/>
          </w:tcPr>
          <w:p w14:paraId="11466A99">
            <w:pPr>
              <w:spacing w:line="408" w:lineRule="auto"/>
              <w:jc w:val="center"/>
              <w:textAlignment w:val="center"/>
              <w:rPr>
                <w:rFonts w:hint="eastAsia" w:ascii="仿宋" w:hAnsi="仿宋" w:eastAsia="仿宋"/>
                <w:b/>
                <w:bCs/>
                <w:sz w:val="18"/>
                <w:szCs w:val="24"/>
              </w:rPr>
            </w:pPr>
            <w:r>
              <w:rPr>
                <w:rFonts w:hint="eastAsia" w:ascii="仿宋" w:hAnsi="仿宋" w:eastAsia="仿宋" w:cs="仿宋"/>
                <w:b/>
                <w:bCs/>
                <w:sz w:val="18"/>
                <w:szCs w:val="24"/>
                <w:lang w:eastAsia="zh-CN" w:bidi="ar"/>
              </w:rPr>
              <w:t>支出内容</w:t>
            </w:r>
          </w:p>
        </w:tc>
        <w:tc>
          <w:tcPr>
            <w:tcW w:w="882" w:type="pct"/>
            <w:shd w:val="clear" w:color="auto" w:fill="D8D8D8" w:themeFill="background1" w:themeFillShade="D9"/>
            <w:vAlign w:val="center"/>
          </w:tcPr>
          <w:p w14:paraId="5574387C">
            <w:pPr>
              <w:spacing w:line="408" w:lineRule="auto"/>
              <w:jc w:val="center"/>
              <w:textAlignment w:val="center"/>
              <w:rPr>
                <w:rFonts w:hint="eastAsia" w:ascii="仿宋" w:hAnsi="仿宋" w:eastAsia="仿宋"/>
                <w:b/>
                <w:bCs/>
                <w:sz w:val="18"/>
              </w:rPr>
            </w:pPr>
            <w:r>
              <w:rPr>
                <w:rFonts w:hint="eastAsia" w:ascii="仿宋" w:hAnsi="仿宋" w:eastAsia="仿宋" w:cs="仿宋"/>
                <w:b/>
                <w:bCs/>
                <w:sz w:val="18"/>
                <w:szCs w:val="22"/>
                <w:lang w:eastAsia="zh-CN" w:bidi="ar"/>
              </w:rPr>
              <w:t>上年度结转结</w:t>
            </w:r>
            <w:r>
              <w:rPr>
                <w:rStyle w:val="500"/>
                <w:rFonts w:hint="default"/>
                <w:b/>
                <w:bCs/>
                <w:sz w:val="18"/>
                <w:lang w:eastAsia="zh-CN" w:bidi="ar"/>
              </w:rPr>
              <w:t>余资金</w:t>
            </w:r>
          </w:p>
        </w:tc>
        <w:tc>
          <w:tcPr>
            <w:tcW w:w="1037" w:type="pct"/>
            <w:shd w:val="clear" w:color="auto" w:fill="D8D8D8" w:themeFill="background1" w:themeFillShade="D9"/>
            <w:vAlign w:val="center"/>
          </w:tcPr>
          <w:p w14:paraId="66A7E322">
            <w:pPr>
              <w:spacing w:line="408" w:lineRule="auto"/>
              <w:jc w:val="center"/>
              <w:textAlignment w:val="center"/>
              <w:rPr>
                <w:rFonts w:hint="eastAsia" w:ascii="仿宋" w:hAnsi="仿宋" w:eastAsia="仿宋"/>
                <w:b/>
                <w:bCs/>
                <w:sz w:val="18"/>
              </w:rPr>
            </w:pPr>
            <w:r>
              <w:rPr>
                <w:rFonts w:hint="eastAsia" w:ascii="仿宋" w:hAnsi="仿宋" w:eastAsia="仿宋" w:cs="仿宋"/>
                <w:b/>
                <w:bCs/>
                <w:sz w:val="18"/>
                <w:szCs w:val="22"/>
                <w:lang w:eastAsia="zh-CN" w:bidi="ar"/>
              </w:rPr>
              <w:t>当年度结转</w:t>
            </w:r>
            <w:r>
              <w:rPr>
                <w:rStyle w:val="500"/>
                <w:rFonts w:hint="default"/>
                <w:b/>
                <w:bCs/>
                <w:sz w:val="18"/>
                <w:lang w:eastAsia="zh-CN" w:bidi="ar"/>
              </w:rPr>
              <w:t>结余资金</w:t>
            </w:r>
          </w:p>
        </w:tc>
        <w:tc>
          <w:tcPr>
            <w:tcW w:w="936" w:type="pct"/>
            <w:shd w:val="clear" w:color="auto" w:fill="D8D8D8" w:themeFill="background1" w:themeFillShade="D9"/>
            <w:vAlign w:val="center"/>
          </w:tcPr>
          <w:p w14:paraId="51C17361">
            <w:pPr>
              <w:spacing w:line="408" w:lineRule="auto"/>
              <w:jc w:val="center"/>
              <w:textAlignment w:val="center"/>
              <w:rPr>
                <w:rFonts w:hint="eastAsia" w:ascii="仿宋" w:hAnsi="仿宋" w:eastAsia="仿宋" w:cs="仿宋"/>
                <w:b/>
                <w:bCs/>
                <w:sz w:val="18"/>
                <w:szCs w:val="22"/>
                <w:lang w:eastAsia="zh-CN" w:bidi="ar"/>
              </w:rPr>
            </w:pPr>
            <w:r>
              <w:rPr>
                <w:rFonts w:hint="eastAsia" w:ascii="仿宋" w:hAnsi="仿宋" w:eastAsia="仿宋" w:cs="仿宋"/>
                <w:b/>
                <w:bCs/>
                <w:sz w:val="18"/>
                <w:szCs w:val="22"/>
                <w:lang w:eastAsia="zh-CN" w:bidi="ar"/>
              </w:rPr>
              <w:t>当年度支出</w:t>
            </w:r>
            <w:r>
              <w:rPr>
                <w:rStyle w:val="500"/>
                <w:rFonts w:hint="default"/>
                <w:b/>
                <w:bCs/>
                <w:sz w:val="18"/>
                <w:lang w:eastAsia="zh-CN" w:bidi="ar"/>
              </w:rPr>
              <w:t>预算数</w:t>
            </w:r>
          </w:p>
        </w:tc>
        <w:tc>
          <w:tcPr>
            <w:tcW w:w="630" w:type="pct"/>
            <w:shd w:val="clear" w:color="auto" w:fill="D8D8D8" w:themeFill="background1" w:themeFillShade="D9"/>
            <w:vAlign w:val="center"/>
          </w:tcPr>
          <w:p w14:paraId="05743CE3">
            <w:pPr>
              <w:spacing w:line="408" w:lineRule="auto"/>
              <w:jc w:val="center"/>
              <w:textAlignment w:val="center"/>
              <w:rPr>
                <w:rFonts w:hint="eastAsia" w:ascii="仿宋" w:hAnsi="仿宋" w:eastAsia="仿宋"/>
                <w:b/>
                <w:bCs/>
                <w:sz w:val="18"/>
              </w:rPr>
            </w:pPr>
            <w:r>
              <w:rPr>
                <w:rFonts w:hint="eastAsia" w:ascii="仿宋" w:hAnsi="仿宋" w:eastAsia="仿宋" w:cs="仿宋"/>
                <w:b/>
                <w:bCs/>
                <w:sz w:val="18"/>
                <w:szCs w:val="22"/>
                <w:lang w:eastAsia="zh-CN" w:bidi="ar"/>
              </w:rPr>
              <w:t>结转结余率</w:t>
            </w:r>
          </w:p>
        </w:tc>
        <w:tc>
          <w:tcPr>
            <w:tcW w:w="834" w:type="pct"/>
            <w:shd w:val="clear" w:color="auto" w:fill="D8D8D8" w:themeFill="background1" w:themeFillShade="D9"/>
            <w:vAlign w:val="center"/>
          </w:tcPr>
          <w:p w14:paraId="5750927A">
            <w:pPr>
              <w:spacing w:line="408" w:lineRule="auto"/>
              <w:jc w:val="center"/>
              <w:textAlignment w:val="center"/>
              <w:rPr>
                <w:rFonts w:hint="eastAsia" w:ascii="仿宋" w:hAnsi="仿宋" w:eastAsia="仿宋" w:cs="仿宋"/>
                <w:b/>
                <w:bCs/>
                <w:sz w:val="18"/>
                <w:szCs w:val="22"/>
                <w:lang w:eastAsia="zh-CN" w:bidi="ar"/>
              </w:rPr>
            </w:pPr>
            <w:r>
              <w:rPr>
                <w:rFonts w:hint="eastAsia" w:ascii="仿宋" w:hAnsi="仿宋" w:eastAsia="仿宋" w:cs="仿宋"/>
                <w:b/>
                <w:bCs/>
                <w:sz w:val="18"/>
                <w:szCs w:val="22"/>
                <w:lang w:eastAsia="zh-CN" w:bidi="ar"/>
              </w:rPr>
              <w:t>结转结余变</w:t>
            </w:r>
            <w:r>
              <w:rPr>
                <w:rStyle w:val="500"/>
                <w:rFonts w:hint="default"/>
                <w:b/>
                <w:bCs/>
                <w:sz w:val="18"/>
                <w:lang w:eastAsia="zh-CN" w:bidi="ar"/>
              </w:rPr>
              <w:t>动率</w:t>
            </w:r>
          </w:p>
        </w:tc>
      </w:tr>
      <w:tr w14:paraId="4E7C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2" w:type="pct"/>
            <w:shd w:val="clear" w:color="auto" w:fill="auto"/>
            <w:vAlign w:val="center"/>
          </w:tcPr>
          <w:p w14:paraId="0CA050E3">
            <w:pPr>
              <w:spacing w:line="408" w:lineRule="auto"/>
              <w:jc w:val="center"/>
              <w:textAlignment w:val="center"/>
              <w:rPr>
                <w:rFonts w:hint="eastAsia" w:ascii="仿宋" w:hAnsi="仿宋" w:eastAsia="仿宋"/>
                <w:sz w:val="18"/>
                <w:szCs w:val="24"/>
              </w:rPr>
            </w:pPr>
            <w:r>
              <w:rPr>
                <w:rFonts w:hint="eastAsia" w:ascii="仿宋" w:hAnsi="仿宋" w:eastAsia="仿宋" w:cs="仿宋"/>
                <w:sz w:val="18"/>
                <w:szCs w:val="24"/>
                <w:lang w:eastAsia="zh-CN" w:bidi="ar"/>
              </w:rPr>
              <w:t>基本支出</w:t>
            </w:r>
          </w:p>
        </w:tc>
        <w:tc>
          <w:tcPr>
            <w:tcW w:w="882" w:type="pct"/>
            <w:shd w:val="clear" w:color="auto" w:fill="auto"/>
            <w:vAlign w:val="center"/>
          </w:tcPr>
          <w:p w14:paraId="7D4BDEA4">
            <w:pPr>
              <w:spacing w:line="408" w:lineRule="auto"/>
              <w:jc w:val="center"/>
              <w:textAlignment w:val="center"/>
              <w:rPr>
                <w:rFonts w:hint="eastAsia" w:ascii="仿宋" w:hAnsi="仿宋" w:eastAsia="仿宋"/>
                <w:sz w:val="18"/>
                <w:highlight w:val="yellow"/>
                <w:lang w:eastAsia="zh-CN"/>
              </w:rPr>
            </w:pPr>
            <w:r>
              <w:rPr>
                <w:rFonts w:hint="eastAsia" w:ascii="仿宋" w:hAnsi="仿宋" w:eastAsia="仿宋" w:cs="仿宋"/>
                <w:sz w:val="18"/>
                <w:szCs w:val="22"/>
                <w:lang w:eastAsia="zh-CN" w:bidi="ar"/>
              </w:rPr>
              <w:t>42.51</w:t>
            </w:r>
          </w:p>
        </w:tc>
        <w:tc>
          <w:tcPr>
            <w:tcW w:w="1037" w:type="pct"/>
            <w:shd w:val="clear" w:color="auto" w:fill="auto"/>
            <w:vAlign w:val="center"/>
          </w:tcPr>
          <w:p w14:paraId="62A93309">
            <w:pPr>
              <w:spacing w:line="408" w:lineRule="auto"/>
              <w:jc w:val="center"/>
              <w:textAlignment w:val="center"/>
              <w:rPr>
                <w:rFonts w:hint="eastAsia" w:ascii="仿宋" w:hAnsi="仿宋" w:eastAsia="仿宋"/>
                <w:sz w:val="18"/>
                <w:highlight w:val="yellow"/>
                <w:lang w:eastAsia="zh-CN"/>
              </w:rPr>
            </w:pPr>
            <w:r>
              <w:rPr>
                <w:rFonts w:hint="eastAsia" w:ascii="仿宋" w:hAnsi="仿宋" w:eastAsia="仿宋"/>
                <w:sz w:val="18"/>
                <w:lang w:eastAsia="zh-CN"/>
              </w:rPr>
              <w:t>8.95</w:t>
            </w:r>
          </w:p>
        </w:tc>
        <w:tc>
          <w:tcPr>
            <w:tcW w:w="936" w:type="pct"/>
            <w:shd w:val="clear" w:color="auto" w:fill="auto"/>
            <w:vAlign w:val="center"/>
          </w:tcPr>
          <w:p w14:paraId="1017CB0C">
            <w:pPr>
              <w:widowControl w:val="0"/>
              <w:overflowPunct w:val="0"/>
              <w:spacing w:line="408" w:lineRule="auto"/>
              <w:jc w:val="center"/>
              <w:textAlignment w:val="center"/>
              <w:rPr>
                <w:rFonts w:hint="eastAsia" w:ascii="仿宋" w:hAnsi="仿宋" w:eastAsia="仿宋" w:cs="仿宋"/>
                <w:color w:val="000000" w:themeColor="text1"/>
                <w:spacing w:val="-2"/>
                <w:sz w:val="18"/>
                <w:szCs w:val="22"/>
                <w:lang w:eastAsia="zh-CN"/>
                <w14:textFill>
                  <w14:solidFill>
                    <w14:schemeClr w14:val="tx1"/>
                  </w14:solidFill>
                </w14:textFill>
              </w:rPr>
            </w:pPr>
            <w:r>
              <w:rPr>
                <w:rFonts w:ascii="仿宋" w:hAnsi="仿宋" w:eastAsia="仿宋" w:cs="仿宋"/>
                <w:color w:val="000000" w:themeColor="text1"/>
                <w:spacing w:val="-2"/>
                <w:sz w:val="18"/>
                <w:szCs w:val="22"/>
                <w:lang w:eastAsia="zh-CN"/>
                <w14:textFill>
                  <w14:solidFill>
                    <w14:schemeClr w14:val="tx1"/>
                  </w14:solidFill>
                </w14:textFill>
              </w:rPr>
              <w:t>764.67</w:t>
            </w:r>
          </w:p>
        </w:tc>
        <w:tc>
          <w:tcPr>
            <w:tcW w:w="630" w:type="pct"/>
            <w:shd w:val="clear" w:color="auto" w:fill="auto"/>
            <w:vAlign w:val="center"/>
          </w:tcPr>
          <w:p w14:paraId="7BD5389D">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1.17%</w:t>
            </w:r>
          </w:p>
        </w:tc>
        <w:tc>
          <w:tcPr>
            <w:tcW w:w="834" w:type="pct"/>
            <w:shd w:val="clear" w:color="auto" w:fill="auto"/>
            <w:vAlign w:val="center"/>
          </w:tcPr>
          <w:p w14:paraId="3DE9D426">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-78.95%</w:t>
            </w:r>
          </w:p>
        </w:tc>
      </w:tr>
      <w:tr w14:paraId="670B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2" w:type="pct"/>
            <w:shd w:val="clear" w:color="auto" w:fill="auto"/>
            <w:vAlign w:val="center"/>
          </w:tcPr>
          <w:p w14:paraId="1B1584D3">
            <w:pPr>
              <w:spacing w:line="408" w:lineRule="auto"/>
              <w:jc w:val="center"/>
              <w:textAlignment w:val="center"/>
              <w:rPr>
                <w:rFonts w:hint="eastAsia" w:ascii="仿宋" w:hAnsi="仿宋" w:eastAsia="仿宋"/>
                <w:sz w:val="18"/>
                <w:szCs w:val="24"/>
              </w:rPr>
            </w:pPr>
            <w:r>
              <w:rPr>
                <w:rFonts w:hint="eastAsia" w:ascii="仿宋" w:hAnsi="仿宋" w:eastAsia="仿宋" w:cs="仿宋"/>
                <w:sz w:val="18"/>
                <w:szCs w:val="24"/>
                <w:lang w:eastAsia="zh-CN" w:bidi="ar"/>
              </w:rPr>
              <w:t>项目支出</w:t>
            </w:r>
          </w:p>
        </w:tc>
        <w:tc>
          <w:tcPr>
            <w:tcW w:w="882" w:type="pct"/>
            <w:shd w:val="clear" w:color="auto" w:fill="auto"/>
            <w:vAlign w:val="center"/>
          </w:tcPr>
          <w:p w14:paraId="23954BAD">
            <w:pPr>
              <w:spacing w:line="408" w:lineRule="auto"/>
              <w:jc w:val="center"/>
              <w:textAlignment w:val="center"/>
              <w:rPr>
                <w:rFonts w:hint="eastAsia" w:ascii="仿宋" w:hAnsi="仿宋" w:eastAsia="仿宋"/>
                <w:sz w:val="18"/>
                <w:highlight w:val="yellow"/>
                <w:lang w:eastAsia="zh-CN"/>
              </w:rPr>
            </w:pPr>
            <w:r>
              <w:rPr>
                <w:rFonts w:hint="eastAsia" w:ascii="仿宋" w:hAnsi="仿宋" w:eastAsia="仿宋" w:cs="仿宋"/>
                <w:sz w:val="18"/>
                <w:szCs w:val="22"/>
                <w:lang w:eastAsia="zh-CN" w:bidi="ar"/>
              </w:rPr>
              <w:t>30.75</w:t>
            </w:r>
          </w:p>
        </w:tc>
        <w:tc>
          <w:tcPr>
            <w:tcW w:w="1037" w:type="pct"/>
            <w:shd w:val="clear" w:color="auto" w:fill="auto"/>
            <w:vAlign w:val="center"/>
          </w:tcPr>
          <w:p w14:paraId="3184E817">
            <w:pPr>
              <w:spacing w:line="408" w:lineRule="auto"/>
              <w:jc w:val="center"/>
              <w:textAlignment w:val="center"/>
              <w:rPr>
                <w:rFonts w:hint="eastAsia" w:ascii="仿宋" w:hAnsi="仿宋" w:eastAsia="仿宋"/>
                <w:sz w:val="18"/>
                <w:highlight w:val="yellow"/>
                <w:lang w:eastAsia="zh-CN"/>
              </w:rPr>
            </w:pPr>
            <w:r>
              <w:rPr>
                <w:rFonts w:hint="eastAsia" w:ascii="仿宋" w:hAnsi="仿宋" w:eastAsia="仿宋"/>
                <w:sz w:val="18"/>
                <w:lang w:eastAsia="zh-CN"/>
              </w:rPr>
              <w:t>30.75</w:t>
            </w:r>
          </w:p>
        </w:tc>
        <w:tc>
          <w:tcPr>
            <w:tcW w:w="936" w:type="pct"/>
            <w:shd w:val="clear" w:color="auto" w:fill="auto"/>
            <w:vAlign w:val="center"/>
          </w:tcPr>
          <w:p w14:paraId="52C895B1">
            <w:pPr>
              <w:widowControl w:val="0"/>
              <w:overflowPunct w:val="0"/>
              <w:spacing w:line="408" w:lineRule="auto"/>
              <w:jc w:val="center"/>
              <w:textAlignment w:val="center"/>
              <w:rPr>
                <w:rFonts w:hint="eastAsia" w:ascii="仿宋" w:hAnsi="仿宋" w:eastAsia="仿宋" w:cs="仿宋"/>
                <w:color w:val="000000" w:themeColor="text1"/>
                <w:spacing w:val="-2"/>
                <w:sz w:val="18"/>
                <w:szCs w:val="22"/>
                <w:lang w:eastAsia="zh-CN"/>
                <w14:textFill>
                  <w14:solidFill>
                    <w14:schemeClr w14:val="tx1"/>
                  </w14:solidFill>
                </w14:textFill>
              </w:rPr>
            </w:pPr>
            <w:r>
              <w:rPr>
                <w:rFonts w:hint="eastAsia" w:ascii="仿宋" w:hAnsi="仿宋" w:eastAsia="仿宋" w:cs="仿宋"/>
                <w:color w:val="000000" w:themeColor="text1"/>
                <w:spacing w:val="-2"/>
                <w:sz w:val="18"/>
                <w:szCs w:val="22"/>
                <w:lang w:eastAsia="zh-CN"/>
                <w14:textFill>
                  <w14:solidFill>
                    <w14:schemeClr w14:val="tx1"/>
                  </w14:solidFill>
                </w14:textFill>
              </w:rPr>
              <w:t>1,558.71</w:t>
            </w:r>
          </w:p>
        </w:tc>
        <w:tc>
          <w:tcPr>
            <w:tcW w:w="630" w:type="pct"/>
            <w:shd w:val="clear" w:color="auto" w:fill="auto"/>
            <w:vAlign w:val="center"/>
          </w:tcPr>
          <w:p w14:paraId="7423913F">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1.97%</w:t>
            </w:r>
          </w:p>
        </w:tc>
        <w:tc>
          <w:tcPr>
            <w:tcW w:w="834" w:type="pct"/>
            <w:shd w:val="clear" w:color="auto" w:fill="auto"/>
            <w:vAlign w:val="center"/>
          </w:tcPr>
          <w:p w14:paraId="138817F3">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0.00%</w:t>
            </w:r>
          </w:p>
        </w:tc>
      </w:tr>
      <w:tr w14:paraId="4C56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2" w:type="pct"/>
            <w:shd w:val="clear" w:color="auto" w:fill="auto"/>
            <w:vAlign w:val="center"/>
          </w:tcPr>
          <w:p w14:paraId="3D891CC5">
            <w:pPr>
              <w:spacing w:line="408" w:lineRule="auto"/>
              <w:jc w:val="center"/>
              <w:textAlignment w:val="center"/>
              <w:rPr>
                <w:rFonts w:hint="eastAsia" w:ascii="仿宋" w:hAnsi="仿宋" w:eastAsia="仿宋"/>
                <w:sz w:val="18"/>
                <w:szCs w:val="24"/>
              </w:rPr>
            </w:pPr>
            <w:r>
              <w:rPr>
                <w:rFonts w:hint="eastAsia" w:ascii="仿宋" w:hAnsi="仿宋" w:eastAsia="仿宋" w:cs="仿宋"/>
                <w:sz w:val="18"/>
                <w:szCs w:val="24"/>
                <w:lang w:eastAsia="zh-CN" w:bidi="ar"/>
              </w:rPr>
              <w:t>合计</w:t>
            </w:r>
          </w:p>
        </w:tc>
        <w:tc>
          <w:tcPr>
            <w:tcW w:w="882" w:type="pct"/>
            <w:shd w:val="clear" w:color="auto" w:fill="auto"/>
            <w:vAlign w:val="center"/>
          </w:tcPr>
          <w:p w14:paraId="50218350">
            <w:pPr>
              <w:spacing w:line="408" w:lineRule="auto"/>
              <w:jc w:val="center"/>
              <w:textAlignment w:val="center"/>
              <w:rPr>
                <w:rFonts w:hint="eastAsia" w:ascii="仿宋" w:hAnsi="仿宋" w:eastAsia="仿宋"/>
                <w:sz w:val="18"/>
                <w:highlight w:val="yellow"/>
              </w:rPr>
            </w:pPr>
            <w:r>
              <w:rPr>
                <w:rFonts w:hint="eastAsia" w:ascii="仿宋" w:hAnsi="仿宋" w:eastAsia="仿宋" w:cs="仿宋"/>
                <w:sz w:val="18"/>
                <w:szCs w:val="22"/>
                <w:lang w:eastAsia="zh-CN" w:bidi="ar"/>
              </w:rPr>
              <w:t>73.26</w:t>
            </w:r>
          </w:p>
        </w:tc>
        <w:tc>
          <w:tcPr>
            <w:tcW w:w="1037" w:type="pct"/>
            <w:shd w:val="clear" w:color="auto" w:fill="auto"/>
            <w:vAlign w:val="center"/>
          </w:tcPr>
          <w:p w14:paraId="30B7746C">
            <w:pPr>
              <w:spacing w:line="408" w:lineRule="auto"/>
              <w:jc w:val="center"/>
              <w:textAlignment w:val="center"/>
              <w:rPr>
                <w:rFonts w:hint="eastAsia" w:ascii="仿宋" w:hAnsi="仿宋" w:eastAsia="仿宋"/>
                <w:sz w:val="18"/>
                <w:highlight w:val="yellow"/>
                <w:lang w:eastAsia="zh-CN"/>
              </w:rPr>
            </w:pPr>
            <w:r>
              <w:rPr>
                <w:rFonts w:hint="eastAsia" w:ascii="仿宋" w:hAnsi="仿宋" w:eastAsia="仿宋" w:cs="仿宋"/>
                <w:sz w:val="18"/>
                <w:szCs w:val="22"/>
                <w:lang w:eastAsia="zh-CN" w:bidi="ar"/>
              </w:rPr>
              <w:t>39.70</w:t>
            </w:r>
          </w:p>
        </w:tc>
        <w:tc>
          <w:tcPr>
            <w:tcW w:w="936" w:type="pct"/>
            <w:shd w:val="clear" w:color="auto" w:fill="auto"/>
            <w:vAlign w:val="center"/>
          </w:tcPr>
          <w:p w14:paraId="08FA1D58">
            <w:pPr>
              <w:widowControl w:val="0"/>
              <w:overflowPunct w:val="0"/>
              <w:spacing w:line="408" w:lineRule="auto"/>
              <w:jc w:val="center"/>
              <w:textAlignment w:val="center"/>
              <w:rPr>
                <w:rFonts w:hint="eastAsia" w:ascii="仿宋" w:hAnsi="仿宋" w:eastAsia="仿宋" w:cs="仿宋"/>
                <w:color w:val="000000" w:themeColor="text1"/>
                <w:spacing w:val="-2"/>
                <w:sz w:val="18"/>
                <w:szCs w:val="22"/>
                <w:lang w:eastAsia="zh-CN"/>
                <w14:textFill>
                  <w14:solidFill>
                    <w14:schemeClr w14:val="tx1"/>
                  </w14:solidFill>
                </w14:textFill>
              </w:rPr>
            </w:pPr>
            <w:r>
              <w:rPr>
                <w:rFonts w:ascii="仿宋" w:hAnsi="仿宋" w:eastAsia="仿宋" w:cs="仿宋"/>
                <w:color w:val="000000" w:themeColor="text1"/>
                <w:spacing w:val="-2"/>
                <w:sz w:val="18"/>
                <w:szCs w:val="22"/>
                <w:lang w:eastAsia="zh-CN"/>
                <w14:textFill>
                  <w14:solidFill>
                    <w14:schemeClr w14:val="tx1"/>
                  </w14:solidFill>
                </w14:textFill>
              </w:rPr>
              <w:t>2,323.38</w:t>
            </w:r>
          </w:p>
        </w:tc>
        <w:tc>
          <w:tcPr>
            <w:tcW w:w="630" w:type="pct"/>
            <w:shd w:val="clear" w:color="auto" w:fill="auto"/>
            <w:vAlign w:val="center"/>
          </w:tcPr>
          <w:p w14:paraId="7E445EBB">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1.71%</w:t>
            </w:r>
          </w:p>
        </w:tc>
        <w:tc>
          <w:tcPr>
            <w:tcW w:w="834" w:type="pct"/>
            <w:shd w:val="clear" w:color="auto" w:fill="auto"/>
            <w:vAlign w:val="center"/>
          </w:tcPr>
          <w:p w14:paraId="1FF31AC1">
            <w:pPr>
              <w:spacing w:line="408" w:lineRule="auto"/>
              <w:jc w:val="center"/>
              <w:textAlignment w:val="center"/>
              <w:rPr>
                <w:rFonts w:hint="eastAsia" w:ascii="仿宋" w:hAnsi="仿宋" w:eastAsia="仿宋"/>
                <w:sz w:val="18"/>
                <w:lang w:eastAsia="zh-CN"/>
              </w:rPr>
            </w:pPr>
            <w:r>
              <w:rPr>
                <w:rFonts w:hint="eastAsia" w:ascii="仿宋" w:hAnsi="仿宋" w:eastAsia="仿宋"/>
                <w:sz w:val="18"/>
                <w:lang w:eastAsia="zh-CN"/>
              </w:rPr>
              <w:t>-45.81%</w:t>
            </w:r>
          </w:p>
        </w:tc>
      </w:tr>
    </w:tbl>
    <w:p w14:paraId="20A7F498">
      <w:pPr>
        <w:widowControl w:val="0"/>
        <w:overflowPunct w:val="0"/>
        <w:snapToGrid/>
        <w:spacing w:line="408" w:lineRule="auto"/>
        <w:ind w:firstLine="562" w:firstLineChars="200"/>
        <w:jc w:val="both"/>
        <w:outlineLvl w:val="1"/>
        <w:rPr>
          <w:rFonts w:hint="eastAsia" w:ascii="仿宋" w:hAnsi="仿宋" w:eastAsia="仿宋" w:cs="仿宋"/>
          <w:b/>
          <w:bCs/>
          <w:color w:val="auto"/>
          <w:sz w:val="28"/>
          <w:szCs w:val="28"/>
          <w:lang w:eastAsia="zh-CN"/>
        </w:rPr>
      </w:pPr>
      <w:bookmarkStart w:id="51" w:name="bookmark17"/>
      <w:bookmarkEnd w:id="51"/>
      <w:bookmarkStart w:id="52" w:name="bookmark18"/>
      <w:bookmarkEnd w:id="52"/>
      <w:bookmarkStart w:id="53" w:name="bookmark14"/>
      <w:bookmarkEnd w:id="53"/>
      <w:bookmarkStart w:id="54" w:name="bookmark13"/>
      <w:bookmarkEnd w:id="54"/>
      <w:bookmarkStart w:id="55" w:name="_Toc181558000"/>
      <w:bookmarkStart w:id="56" w:name="_Toc182903996"/>
      <w:r>
        <w:rPr>
          <w:rFonts w:hint="eastAsia" w:ascii="仿宋" w:hAnsi="仿宋" w:eastAsia="仿宋" w:cs="仿宋"/>
          <w:b/>
          <w:bCs/>
          <w:color w:val="auto"/>
          <w:sz w:val="28"/>
          <w:szCs w:val="28"/>
          <w:lang w:eastAsia="zh-CN"/>
          <w14:textOutline w14:w="5105" w14:cap="sq" w14:cmpd="sng" w14:algn="ctr">
            <w14:solidFill>
              <w14:srgbClr w14:val="000000"/>
            </w14:solidFill>
            <w14:prstDash w14:val="solid"/>
            <w14:bevel/>
          </w14:textOutline>
        </w:rPr>
        <w:t>（二）资金使用方向、主要内容和涉及范围</w:t>
      </w:r>
      <w:bookmarkEnd w:id="55"/>
      <w:bookmarkEnd w:id="56"/>
    </w:p>
    <w:p w14:paraId="665F2B21">
      <w:pPr>
        <w:widowControl w:val="0"/>
        <w:overflowPunct w:val="0"/>
        <w:snapToGrid/>
        <w:spacing w:line="408" w:lineRule="auto"/>
        <w:ind w:firstLine="540" w:firstLineChars="200"/>
        <w:jc w:val="both"/>
        <w:outlineLvl w:val="2"/>
        <w:rPr>
          <w:rFonts w:hint="eastAsia" w:ascii="仿宋" w:hAnsi="仿宋" w:eastAsia="仿宋" w:cs="仿宋"/>
          <w:color w:val="auto"/>
          <w:sz w:val="28"/>
          <w:szCs w:val="28"/>
          <w:lang w:eastAsia="zh-CN"/>
        </w:rPr>
      </w:pPr>
      <w:bookmarkStart w:id="57" w:name="_Toc181558001"/>
      <w:bookmarkStart w:id="58" w:name="_Toc182903997"/>
      <w:bookmarkStart w:id="59" w:name="_Toc15654"/>
      <w:r>
        <w:rPr>
          <w:rFonts w:hint="eastAsia" w:ascii="仿宋" w:hAnsi="仿宋" w:eastAsia="仿宋" w:cs="仿宋"/>
          <w:color w:val="auto"/>
          <w:spacing w:val="-5"/>
          <w:sz w:val="28"/>
          <w:szCs w:val="28"/>
          <w:lang w:eastAsia="zh-CN"/>
        </w:rPr>
        <w:t>1.基本支出</w:t>
      </w:r>
      <w:bookmarkEnd w:id="57"/>
      <w:bookmarkEnd w:id="58"/>
      <w:bookmarkEnd w:id="59"/>
    </w:p>
    <w:p w14:paraId="6C068EDE">
      <w:pPr>
        <w:widowControl w:val="0"/>
        <w:overflowPunct w:val="0"/>
        <w:snapToGrid/>
        <w:spacing w:line="408" w:lineRule="auto"/>
        <w:ind w:firstLine="552" w:firstLineChars="200"/>
        <w:jc w:val="both"/>
        <w:rPr>
          <w:rFonts w:hint="eastAsia" w:ascii="仿宋" w:hAnsi="仿宋" w:eastAsia="仿宋" w:cs="仿宋"/>
          <w:color w:val="auto"/>
          <w:spacing w:val="-4"/>
          <w:sz w:val="28"/>
          <w:szCs w:val="28"/>
          <w:lang w:eastAsia="zh-CN"/>
        </w:rPr>
      </w:pPr>
      <w:r>
        <w:rPr>
          <w:rFonts w:hint="eastAsia" w:ascii="仿宋" w:hAnsi="仿宋" w:eastAsia="仿宋" w:cs="仿宋"/>
          <w:color w:val="auto"/>
          <w:spacing w:val="-2"/>
          <w:sz w:val="28"/>
          <w:szCs w:val="28"/>
          <w:lang w:eastAsia="zh-CN"/>
        </w:rPr>
        <w:t>2023年基本支出当年安排数为764.66万元，实际支出数（决算数）764.67万元</w:t>
      </w:r>
      <w:r>
        <w:rPr>
          <w:rFonts w:hint="eastAsia" w:ascii="仿宋" w:hAnsi="仿宋" w:eastAsia="仿宋" w:cs="仿宋"/>
          <w:color w:val="auto"/>
          <w:spacing w:val="-4"/>
          <w:sz w:val="28"/>
          <w:szCs w:val="28"/>
          <w:lang w:eastAsia="zh-CN"/>
        </w:rPr>
        <w:t>。基本支出的主要用途包括泉州市洛江区应急局人员工资发放、津贴补贴、五险一金、办公费、差旅费、培训费、水电费、物业管理费、维修（护）费和其他对个人和家庭的补助等，其中</w:t>
      </w:r>
      <w:r>
        <w:rPr>
          <w:rFonts w:hint="eastAsia" w:ascii="仿宋" w:hAnsi="仿宋" w:eastAsia="仿宋" w:cs="仿宋"/>
          <w:color w:val="auto"/>
          <w:spacing w:val="3"/>
          <w:sz w:val="28"/>
          <w:szCs w:val="28"/>
          <w:lang w:eastAsia="zh-CN"/>
        </w:rPr>
        <w:t>工资福利支出</w:t>
      </w:r>
      <w:r>
        <w:rPr>
          <w:rFonts w:ascii="仿宋" w:hAnsi="仿宋" w:eastAsia="仿宋" w:cs="仿宋"/>
          <w:color w:val="auto"/>
          <w:spacing w:val="3"/>
          <w:sz w:val="28"/>
          <w:szCs w:val="28"/>
          <w:lang w:eastAsia="zh-CN"/>
        </w:rPr>
        <w:t>82.50%</w:t>
      </w:r>
      <w:r>
        <w:rPr>
          <w:rFonts w:hint="eastAsia" w:ascii="仿宋" w:hAnsi="仿宋" w:eastAsia="仿宋" w:cs="仿宋"/>
          <w:color w:val="auto"/>
          <w:spacing w:val="3"/>
          <w:sz w:val="28"/>
          <w:szCs w:val="28"/>
          <w:lang w:eastAsia="zh-CN"/>
        </w:rPr>
        <w:t>、商品和服务支出</w:t>
      </w:r>
      <w:r>
        <w:rPr>
          <w:rFonts w:ascii="仿宋" w:hAnsi="仿宋" w:eastAsia="仿宋" w:cs="仿宋"/>
          <w:color w:val="auto"/>
          <w:spacing w:val="3"/>
          <w:sz w:val="28"/>
          <w:szCs w:val="28"/>
          <w:lang w:eastAsia="zh-CN"/>
        </w:rPr>
        <w:t>14.18%</w:t>
      </w:r>
      <w:r>
        <w:rPr>
          <w:rFonts w:hint="eastAsia" w:ascii="仿宋" w:hAnsi="仿宋" w:eastAsia="仿宋" w:cs="仿宋"/>
          <w:color w:val="auto"/>
          <w:spacing w:val="3"/>
          <w:sz w:val="28"/>
          <w:szCs w:val="28"/>
          <w:lang w:eastAsia="zh-CN"/>
        </w:rPr>
        <w:t>、对个人和家庭的补助</w:t>
      </w:r>
      <w:r>
        <w:rPr>
          <w:rFonts w:ascii="仿宋" w:hAnsi="仿宋" w:eastAsia="仿宋" w:cs="仿宋"/>
          <w:color w:val="auto"/>
          <w:spacing w:val="3"/>
          <w:sz w:val="28"/>
          <w:szCs w:val="28"/>
          <w:lang w:eastAsia="zh-CN"/>
        </w:rPr>
        <w:t>3.32%</w:t>
      </w:r>
      <w:r>
        <w:rPr>
          <w:rFonts w:hint="eastAsia" w:ascii="仿宋" w:hAnsi="仿宋" w:eastAsia="仿宋" w:cs="仿宋"/>
          <w:color w:val="auto"/>
          <w:spacing w:val="-4"/>
          <w:sz w:val="28"/>
          <w:szCs w:val="28"/>
          <w:lang w:eastAsia="zh-CN"/>
        </w:rPr>
        <w:t>。具体基本支出情况如</w:t>
      </w:r>
      <w:bookmarkStart w:id="60" w:name="bookmark15"/>
      <w:bookmarkEnd w:id="60"/>
      <w:bookmarkStart w:id="61" w:name="_Toc14534"/>
      <w:r>
        <w:rPr>
          <w:rFonts w:hint="eastAsia" w:ascii="仿宋" w:hAnsi="仿宋" w:eastAsia="仿宋" w:cs="仿宋"/>
          <w:color w:val="auto"/>
          <w:spacing w:val="-4"/>
          <w:sz w:val="28"/>
          <w:szCs w:val="28"/>
          <w:lang w:eastAsia="zh-CN"/>
        </w:rPr>
        <w:t>表6所示。</w:t>
      </w:r>
    </w:p>
    <w:p w14:paraId="52A3BA7B">
      <w:pPr>
        <w:widowControl w:val="0"/>
        <w:overflowPunct w:val="0"/>
        <w:snapToGrid/>
        <w:spacing w:line="408" w:lineRule="auto"/>
        <w:jc w:val="center"/>
        <w:rPr>
          <w:rFonts w:hint="eastAsia" w:ascii="仿宋" w:hAnsi="仿宋" w:eastAsia="仿宋" w:cs="仿宋"/>
          <w:sz w:val="28"/>
          <w:szCs w:val="24"/>
          <w:lang w:eastAsia="zh-CN"/>
        </w:rPr>
      </w:pPr>
      <w:r>
        <w:rPr>
          <w:rFonts w:hint="eastAsia" w:ascii="仿宋" w:hAnsi="仿宋" w:eastAsia="仿宋" w:cs="仿宋"/>
          <w:spacing w:val="-10"/>
          <w:sz w:val="28"/>
          <w:szCs w:val="24"/>
          <w:lang w:eastAsia="zh-CN"/>
          <w14:textOutline w14:w="5105" w14:cap="sq" w14:cmpd="sng" w14:algn="ctr">
            <w14:solidFill>
              <w14:srgbClr w14:val="000000"/>
            </w14:solidFill>
            <w14:prstDash w14:val="solid"/>
            <w14:bevel/>
          </w14:textOutline>
        </w:rPr>
        <w:t xml:space="preserve">表6    </w:t>
      </w:r>
      <w:r>
        <w:rPr>
          <w:rFonts w:hint="eastAsia"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泉州市洛江区应急管理局2023</w:t>
      </w:r>
      <w:r>
        <w:rPr>
          <w:rFonts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年</w:t>
      </w:r>
      <w:r>
        <w:rPr>
          <w:rFonts w:ascii="仿宋" w:hAnsi="仿宋" w:eastAsia="仿宋" w:cs="仿宋"/>
          <w:spacing w:val="-10"/>
          <w:sz w:val="28"/>
          <w:szCs w:val="24"/>
          <w:lang w:eastAsia="zh-CN"/>
          <w14:textOutline w14:w="5105" w14:cap="sq" w14:cmpd="sng" w14:algn="ctr">
            <w14:solidFill>
              <w14:srgbClr w14:val="000000"/>
            </w14:solidFill>
            <w14:prstDash w14:val="solid"/>
            <w14:bevel/>
          </w14:textOutline>
        </w:rPr>
        <w:t>基本支出明细</w:t>
      </w:r>
      <w:bookmarkEnd w:id="61"/>
      <w:r>
        <w:rPr>
          <w:rFonts w:hint="eastAsia" w:ascii="仿宋" w:hAnsi="仿宋" w:eastAsia="仿宋" w:cs="仿宋"/>
          <w:spacing w:val="-10"/>
          <w:sz w:val="28"/>
          <w:szCs w:val="24"/>
          <w:lang w:eastAsia="zh-CN"/>
          <w14:textOutline w14:w="5105" w14:cap="sq" w14:cmpd="sng" w14:algn="ctr">
            <w14:solidFill>
              <w14:srgbClr w14:val="000000"/>
            </w14:solidFill>
            <w14:prstDash w14:val="solid"/>
            <w14:bevel/>
          </w14:textOutline>
        </w:rPr>
        <w:t>表</w:t>
      </w:r>
    </w:p>
    <w:p w14:paraId="6E35E6CF">
      <w:pPr>
        <w:widowControl w:val="0"/>
        <w:overflowPunct w:val="0"/>
        <w:ind w:firstLine="540"/>
        <w:jc w:val="right"/>
        <w:rPr>
          <w:rFonts w:hint="eastAsia" w:ascii="仿宋" w:hAnsi="仿宋" w:eastAsia="仿宋" w:cs="仿宋"/>
          <w:bCs/>
          <w:spacing w:val="-10"/>
          <w:sz w:val="24"/>
          <w14:textOutline w14:w="5105" w14:cap="sq" w14:cmpd="sng" w14:algn="ctr">
            <w14:solidFill>
              <w14:srgbClr w14:val="000000"/>
            </w14:solidFill>
            <w14:prstDash w14:val="solid"/>
            <w14:bevel/>
          </w14:textOutline>
        </w:rPr>
      </w:pPr>
      <w:r>
        <w:rPr>
          <w:rFonts w:ascii="仿宋" w:hAnsi="仿宋" w:eastAsia="仿宋" w:cs="仿宋"/>
          <w:bCs/>
          <w:spacing w:val="-10"/>
          <w:sz w:val="24"/>
          <w14:textOutline w14:w="5105" w14:cap="sq" w14:cmpd="sng" w14:algn="ctr">
            <w14:solidFill>
              <w14:srgbClr w14:val="000000"/>
            </w14:solidFill>
            <w14:prstDash w14:val="solid"/>
            <w14:bevel/>
          </w14:textOutline>
        </w:rPr>
        <w:t>单位：万元</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5"/>
        <w:gridCol w:w="2857"/>
        <w:gridCol w:w="2231"/>
      </w:tblGrid>
      <w:tr w14:paraId="048E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340" w:type="pct"/>
            <w:shd w:val="clear" w:color="auto" w:fill="D8D8D8" w:themeFill="background1" w:themeFillShade="D9"/>
            <w:vAlign w:val="center"/>
          </w:tcPr>
          <w:p w14:paraId="24E48325">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支出项目</w:t>
            </w:r>
          </w:p>
        </w:tc>
        <w:tc>
          <w:tcPr>
            <w:tcW w:w="1494" w:type="pct"/>
            <w:shd w:val="clear" w:color="auto" w:fill="D8D8D8" w:themeFill="background1" w:themeFillShade="D9"/>
            <w:vAlign w:val="center"/>
          </w:tcPr>
          <w:p w14:paraId="6D87E44D">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金额</w:t>
            </w:r>
          </w:p>
        </w:tc>
        <w:tc>
          <w:tcPr>
            <w:tcW w:w="1166" w:type="pct"/>
            <w:shd w:val="clear" w:color="auto" w:fill="D8D8D8" w:themeFill="background1" w:themeFillShade="D9"/>
            <w:noWrap/>
            <w:vAlign w:val="center"/>
          </w:tcPr>
          <w:p w14:paraId="114E5137">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占比</w:t>
            </w:r>
          </w:p>
        </w:tc>
      </w:tr>
      <w:tr w14:paraId="7FCE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66E6E7DC">
            <w:pPr>
              <w:widowControl w:val="0"/>
              <w:overflowPunct w:val="0"/>
              <w:spacing w:line="408" w:lineRule="auto"/>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工资福利支出</w:t>
            </w:r>
          </w:p>
        </w:tc>
        <w:tc>
          <w:tcPr>
            <w:tcW w:w="1494" w:type="pct"/>
            <w:shd w:val="clear" w:color="auto" w:fill="auto"/>
            <w:vAlign w:val="center"/>
          </w:tcPr>
          <w:p w14:paraId="4359DB2F">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6,308,588.27</w:t>
            </w:r>
          </w:p>
        </w:tc>
        <w:tc>
          <w:tcPr>
            <w:tcW w:w="1166" w:type="pct"/>
            <w:shd w:val="clear" w:color="auto" w:fill="auto"/>
            <w:noWrap/>
            <w:vAlign w:val="center"/>
          </w:tcPr>
          <w:p w14:paraId="693A6201">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82.50%</w:t>
            </w:r>
          </w:p>
        </w:tc>
      </w:tr>
      <w:tr w14:paraId="2DB9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362675BC">
            <w:pPr>
              <w:widowControl w:val="0"/>
              <w:overflowPunct w:val="0"/>
              <w:spacing w:line="408" w:lineRule="auto"/>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商品和服务支出</w:t>
            </w:r>
          </w:p>
        </w:tc>
        <w:tc>
          <w:tcPr>
            <w:tcW w:w="1494" w:type="pct"/>
            <w:shd w:val="clear" w:color="auto" w:fill="auto"/>
            <w:vAlign w:val="center"/>
          </w:tcPr>
          <w:p w14:paraId="7C7F6EDB">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1,084,345.42</w:t>
            </w:r>
          </w:p>
        </w:tc>
        <w:tc>
          <w:tcPr>
            <w:tcW w:w="1166" w:type="pct"/>
            <w:shd w:val="clear" w:color="auto" w:fill="auto"/>
            <w:noWrap/>
            <w:vAlign w:val="center"/>
          </w:tcPr>
          <w:p w14:paraId="3FCCC54A">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14.18%</w:t>
            </w:r>
          </w:p>
        </w:tc>
      </w:tr>
      <w:tr w14:paraId="5241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3F877554">
            <w:pPr>
              <w:widowControl w:val="0"/>
              <w:overflowPunct w:val="0"/>
              <w:spacing w:line="408" w:lineRule="auto"/>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对个人和家庭的补助</w:t>
            </w:r>
          </w:p>
        </w:tc>
        <w:tc>
          <w:tcPr>
            <w:tcW w:w="1494" w:type="pct"/>
            <w:shd w:val="clear" w:color="auto" w:fill="auto"/>
            <w:vAlign w:val="center"/>
          </w:tcPr>
          <w:p w14:paraId="4AACF780">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253,724.00</w:t>
            </w:r>
          </w:p>
        </w:tc>
        <w:tc>
          <w:tcPr>
            <w:tcW w:w="1166" w:type="pct"/>
            <w:shd w:val="clear" w:color="auto" w:fill="auto"/>
            <w:noWrap/>
            <w:vAlign w:val="center"/>
          </w:tcPr>
          <w:p w14:paraId="689FB720">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3.32%</w:t>
            </w:r>
          </w:p>
        </w:tc>
      </w:tr>
      <w:tr w14:paraId="4FBD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288FBB02">
            <w:pPr>
              <w:widowControl w:val="0"/>
              <w:overflowPunct w:val="0"/>
              <w:spacing w:line="408" w:lineRule="auto"/>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合计</w:t>
            </w:r>
          </w:p>
        </w:tc>
        <w:tc>
          <w:tcPr>
            <w:tcW w:w="1494" w:type="pct"/>
            <w:shd w:val="clear" w:color="auto" w:fill="auto"/>
            <w:vAlign w:val="center"/>
          </w:tcPr>
          <w:p w14:paraId="2D05F340">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7,646,657.69</w:t>
            </w:r>
          </w:p>
        </w:tc>
        <w:tc>
          <w:tcPr>
            <w:tcW w:w="1166" w:type="pct"/>
            <w:shd w:val="clear" w:color="auto" w:fill="auto"/>
            <w:noWrap/>
            <w:vAlign w:val="center"/>
          </w:tcPr>
          <w:p w14:paraId="5851A894">
            <w:pPr>
              <w:jc w:val="center"/>
              <w:textAlignment w:val="center"/>
              <w:rPr>
                <w:rFonts w:hint="eastAsia" w:ascii="仿宋" w:hAnsi="仿宋" w:eastAsia="仿宋" w:cs="宋体"/>
                <w:sz w:val="18"/>
                <w:szCs w:val="22"/>
                <w:lang w:eastAsia="zh-CN" w:bidi="ar"/>
              </w:rPr>
            </w:pPr>
            <w:r>
              <w:rPr>
                <w:rFonts w:hint="eastAsia" w:ascii="仿宋" w:hAnsi="仿宋" w:eastAsia="仿宋" w:cs="宋体"/>
                <w:sz w:val="18"/>
                <w:szCs w:val="22"/>
                <w:lang w:eastAsia="zh-CN" w:bidi="ar"/>
              </w:rPr>
              <w:t>100%</w:t>
            </w:r>
          </w:p>
        </w:tc>
      </w:tr>
    </w:tbl>
    <w:p w14:paraId="24207291">
      <w:pPr>
        <w:widowControl w:val="0"/>
        <w:overflowPunct w:val="0"/>
        <w:snapToGrid/>
        <w:spacing w:line="408" w:lineRule="auto"/>
        <w:ind w:firstLine="548" w:firstLineChars="200"/>
        <w:jc w:val="both"/>
        <w:outlineLvl w:val="2"/>
        <w:rPr>
          <w:rFonts w:hint="eastAsia" w:ascii="仿宋" w:hAnsi="仿宋" w:eastAsia="仿宋" w:cs="仿宋"/>
          <w:bCs/>
          <w:color w:val="auto"/>
          <w:spacing w:val="-3"/>
          <w:sz w:val="28"/>
          <w:szCs w:val="28"/>
          <w:lang w:eastAsia="zh-CN"/>
        </w:rPr>
      </w:pPr>
      <w:bookmarkStart w:id="62" w:name="_Toc182903998"/>
      <w:bookmarkStart w:id="63" w:name="_Toc915"/>
      <w:bookmarkStart w:id="64" w:name="_Toc181558002"/>
      <w:r>
        <w:rPr>
          <w:rFonts w:hint="eastAsia" w:ascii="仿宋" w:hAnsi="仿宋" w:eastAsia="仿宋" w:cs="仿宋"/>
          <w:bCs/>
          <w:color w:val="auto"/>
          <w:spacing w:val="-3"/>
          <w:sz w:val="28"/>
          <w:szCs w:val="28"/>
          <w:lang w:eastAsia="zh-CN"/>
        </w:rPr>
        <w:t>2.</w:t>
      </w:r>
      <w:r>
        <w:rPr>
          <w:rFonts w:ascii="仿宋" w:hAnsi="仿宋" w:eastAsia="仿宋" w:cs="仿宋"/>
          <w:bCs/>
          <w:color w:val="auto"/>
          <w:spacing w:val="-3"/>
          <w:sz w:val="28"/>
          <w:szCs w:val="28"/>
          <w:lang w:eastAsia="zh-CN"/>
        </w:rPr>
        <w:t>项目支出</w:t>
      </w:r>
      <w:bookmarkEnd w:id="62"/>
      <w:bookmarkEnd w:id="63"/>
      <w:bookmarkEnd w:id="64"/>
    </w:p>
    <w:p w14:paraId="0BD7F215">
      <w:pPr>
        <w:widowControl w:val="0"/>
        <w:overflowPunct w:val="0"/>
        <w:snapToGrid/>
        <w:spacing w:line="408" w:lineRule="auto"/>
        <w:ind w:firstLine="552" w:firstLineChars="200"/>
        <w:jc w:val="both"/>
        <w:rPr>
          <w:rFonts w:hint="eastAsia" w:ascii="仿宋" w:hAnsi="仿宋" w:eastAsia="仿宋" w:cs="仿宋"/>
          <w:color w:val="auto"/>
          <w:spacing w:val="-2"/>
          <w:sz w:val="28"/>
          <w:szCs w:val="28"/>
          <w:lang w:eastAsia="zh-CN"/>
        </w:rPr>
      </w:pPr>
      <w:r>
        <w:rPr>
          <w:rFonts w:ascii="仿宋" w:hAnsi="仿宋" w:eastAsia="仿宋" w:cs="仿宋"/>
          <w:color w:val="auto"/>
          <w:spacing w:val="-2"/>
          <w:sz w:val="28"/>
          <w:szCs w:val="28"/>
          <w:lang w:eastAsia="zh-CN"/>
        </w:rPr>
        <w:t>2023</w:t>
      </w:r>
      <w:r>
        <w:rPr>
          <w:rFonts w:hint="eastAsia" w:ascii="仿宋" w:hAnsi="仿宋" w:eastAsia="仿宋" w:cs="仿宋"/>
          <w:color w:val="auto"/>
          <w:spacing w:val="-2"/>
          <w:sz w:val="28"/>
          <w:szCs w:val="28"/>
          <w:lang w:eastAsia="zh-CN"/>
        </w:rPr>
        <w:t>年项目支出安排数1,558.71万元，实际支出数（决算数）1,501.74万元</w:t>
      </w:r>
      <w:r>
        <w:rPr>
          <w:rFonts w:ascii="仿宋" w:hAnsi="仿宋" w:eastAsia="仿宋" w:cs="仿宋"/>
          <w:color w:val="auto"/>
          <w:spacing w:val="-2"/>
          <w:sz w:val="28"/>
          <w:szCs w:val="28"/>
          <w:lang w:eastAsia="zh-CN"/>
        </w:rPr>
        <w:t>。</w:t>
      </w:r>
      <w:r>
        <w:rPr>
          <w:rFonts w:hint="eastAsia" w:ascii="仿宋" w:hAnsi="仿宋" w:eastAsia="仿宋" w:cs="仿宋"/>
          <w:color w:val="auto"/>
          <w:spacing w:val="-2"/>
          <w:sz w:val="28"/>
          <w:szCs w:val="28"/>
          <w:lang w:eastAsia="zh-CN"/>
        </w:rPr>
        <w:t>2023</w:t>
      </w:r>
      <w:r>
        <w:rPr>
          <w:rFonts w:ascii="仿宋" w:hAnsi="仿宋" w:eastAsia="仿宋" w:cs="仿宋"/>
          <w:color w:val="auto"/>
          <w:spacing w:val="-2"/>
          <w:sz w:val="28"/>
          <w:szCs w:val="28"/>
          <w:lang w:eastAsia="zh-CN"/>
        </w:rPr>
        <w:t>年</w:t>
      </w:r>
      <w:r>
        <w:rPr>
          <w:rFonts w:hint="eastAsia" w:ascii="仿宋" w:hAnsi="仿宋" w:eastAsia="仿宋" w:cs="仿宋"/>
          <w:color w:val="auto"/>
          <w:spacing w:val="-2"/>
          <w:sz w:val="28"/>
          <w:szCs w:val="28"/>
          <w:lang w:eastAsia="zh-CN"/>
        </w:rPr>
        <w:t>泉州市洛江区应急管理局项目支出</w:t>
      </w:r>
      <w:r>
        <w:rPr>
          <w:rFonts w:ascii="仿宋" w:hAnsi="仿宋" w:eastAsia="仿宋" w:cs="仿宋"/>
          <w:color w:val="auto"/>
          <w:spacing w:val="-2"/>
          <w:sz w:val="28"/>
          <w:szCs w:val="28"/>
          <w:lang w:eastAsia="zh-CN"/>
        </w:rPr>
        <w:t>明细如表</w:t>
      </w:r>
      <w:r>
        <w:rPr>
          <w:rFonts w:hint="eastAsia" w:ascii="仿宋" w:hAnsi="仿宋" w:eastAsia="仿宋" w:cs="仿宋"/>
          <w:color w:val="auto"/>
          <w:spacing w:val="-2"/>
          <w:sz w:val="28"/>
          <w:szCs w:val="28"/>
          <w:lang w:eastAsia="zh-CN"/>
        </w:rPr>
        <w:t>7</w:t>
      </w:r>
      <w:r>
        <w:rPr>
          <w:rFonts w:ascii="仿宋" w:hAnsi="仿宋" w:eastAsia="仿宋" w:cs="仿宋"/>
          <w:color w:val="auto"/>
          <w:spacing w:val="-2"/>
          <w:sz w:val="28"/>
          <w:szCs w:val="28"/>
          <w:lang w:eastAsia="zh-CN"/>
        </w:rPr>
        <w:t>所示</w:t>
      </w:r>
      <w:r>
        <w:rPr>
          <w:rFonts w:hint="eastAsia" w:ascii="仿宋" w:hAnsi="仿宋" w:eastAsia="仿宋" w:cs="仿宋"/>
          <w:color w:val="auto"/>
          <w:spacing w:val="-2"/>
          <w:sz w:val="28"/>
          <w:szCs w:val="28"/>
          <w:lang w:eastAsia="zh-CN"/>
        </w:rPr>
        <w:t>。</w:t>
      </w:r>
    </w:p>
    <w:p w14:paraId="766EB517">
      <w:pPr>
        <w:widowControl w:val="0"/>
        <w:overflowPunct w:val="0"/>
        <w:spacing w:line="408" w:lineRule="auto"/>
        <w:jc w:val="center"/>
        <w:rPr>
          <w:rFonts w:hint="eastAsia" w:ascii="仿宋" w:hAnsi="仿宋" w:eastAsia="仿宋" w:cs="仿宋"/>
          <w:sz w:val="28"/>
          <w:szCs w:val="24"/>
          <w:lang w:eastAsia="zh-CN"/>
        </w:rPr>
      </w:pPr>
      <w:bookmarkStart w:id="65" w:name="_Toc22100"/>
      <w:r>
        <w:rPr>
          <w:rFonts w:hint="eastAsia"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表7    泉州市洛江区应急管理局2023</w:t>
      </w:r>
      <w:r>
        <w:rPr>
          <w:rFonts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年项目支出明细表</w:t>
      </w:r>
      <w:bookmarkEnd w:id="65"/>
    </w:p>
    <w:p w14:paraId="10262CAB">
      <w:pPr>
        <w:widowControl w:val="0"/>
        <w:overflowPunct w:val="0"/>
        <w:ind w:firstLine="556"/>
        <w:jc w:val="right"/>
        <w:rPr>
          <w:rFonts w:hint="eastAsia" w:ascii="仿宋" w:hAnsi="仿宋" w:eastAsia="仿宋" w:cs="仿宋"/>
          <w:color w:val="333333"/>
          <w:spacing w:val="-2"/>
          <w:sz w:val="24"/>
          <w:szCs w:val="28"/>
          <w14:textOutline w14:w="5105" w14:cap="sq" w14:cmpd="sng" w14:algn="ctr">
            <w14:solidFill>
              <w14:srgbClr w14:val="333333"/>
            </w14:solidFill>
            <w14:prstDash w14:val="solid"/>
            <w14:bevel/>
          </w14:textOutline>
        </w:rPr>
      </w:pPr>
      <w:r>
        <w:rPr>
          <w:rFonts w:ascii="仿宋" w:hAnsi="仿宋" w:eastAsia="仿宋" w:cs="仿宋"/>
          <w:bCs/>
          <w:color w:val="333333"/>
          <w:spacing w:val="-2"/>
          <w:sz w:val="24"/>
          <w:szCs w:val="28"/>
          <w14:textOutline w14:w="5105" w14:cap="sq" w14:cmpd="sng" w14:algn="ctr">
            <w14:solidFill>
              <w14:srgbClr w14:val="333333"/>
            </w14:solidFill>
            <w14:prstDash w14:val="solid"/>
            <w14:bevel/>
          </w14:textOutline>
        </w:rPr>
        <w:t>单位：万元</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5"/>
        <w:gridCol w:w="3156"/>
        <w:gridCol w:w="1932"/>
      </w:tblGrid>
      <w:tr w14:paraId="7121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2340" w:type="pct"/>
            <w:shd w:val="clear" w:color="auto" w:fill="D8D8D8" w:themeFill="background1" w:themeFillShade="D9"/>
            <w:vAlign w:val="center"/>
          </w:tcPr>
          <w:p w14:paraId="238C5299">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支出项目</w:t>
            </w:r>
          </w:p>
        </w:tc>
        <w:tc>
          <w:tcPr>
            <w:tcW w:w="1650" w:type="pct"/>
            <w:shd w:val="clear" w:color="auto" w:fill="D8D8D8" w:themeFill="background1" w:themeFillShade="D9"/>
            <w:vAlign w:val="center"/>
          </w:tcPr>
          <w:p w14:paraId="59496D14">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金额</w:t>
            </w:r>
          </w:p>
        </w:tc>
        <w:tc>
          <w:tcPr>
            <w:tcW w:w="1010" w:type="pct"/>
            <w:shd w:val="clear" w:color="auto" w:fill="D8D8D8" w:themeFill="background1" w:themeFillShade="D9"/>
            <w:noWrap/>
            <w:vAlign w:val="center"/>
          </w:tcPr>
          <w:p w14:paraId="70EA8CA0">
            <w:pPr>
              <w:widowControl w:val="0"/>
              <w:overflowPunct w:val="0"/>
              <w:spacing w:line="408" w:lineRule="auto"/>
              <w:jc w:val="center"/>
              <w:textAlignment w:val="center"/>
              <w:rPr>
                <w:rFonts w:hint="eastAsia" w:ascii="仿宋" w:hAnsi="仿宋" w:eastAsia="仿宋" w:cs="宋体"/>
                <w:b/>
                <w:sz w:val="18"/>
                <w:szCs w:val="22"/>
                <w:lang w:eastAsia="zh-CN" w:bidi="ar"/>
              </w:rPr>
            </w:pPr>
            <w:r>
              <w:rPr>
                <w:rFonts w:hint="eastAsia" w:ascii="仿宋" w:hAnsi="仿宋" w:eastAsia="仿宋" w:cs="宋体"/>
                <w:b/>
                <w:sz w:val="18"/>
                <w:szCs w:val="22"/>
                <w:lang w:eastAsia="zh-CN" w:bidi="ar"/>
              </w:rPr>
              <w:t>占比</w:t>
            </w:r>
          </w:p>
        </w:tc>
      </w:tr>
      <w:tr w14:paraId="073C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3AA9805E">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商品和服务支出</w:t>
            </w:r>
          </w:p>
        </w:tc>
        <w:tc>
          <w:tcPr>
            <w:tcW w:w="1650" w:type="pct"/>
            <w:shd w:val="clear" w:color="auto" w:fill="auto"/>
            <w:vAlign w:val="center"/>
          </w:tcPr>
          <w:p w14:paraId="13AE75FC">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20,800.00</w:t>
            </w:r>
          </w:p>
        </w:tc>
        <w:tc>
          <w:tcPr>
            <w:tcW w:w="1010" w:type="pct"/>
            <w:shd w:val="clear" w:color="auto" w:fill="auto"/>
            <w:noWrap/>
            <w:vAlign w:val="center"/>
          </w:tcPr>
          <w:p w14:paraId="26F1043D">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0.14%</w:t>
            </w:r>
          </w:p>
        </w:tc>
      </w:tr>
      <w:tr w14:paraId="13C6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vAlign w:val="center"/>
          </w:tcPr>
          <w:p w14:paraId="317323C4">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商品和服务支出</w:t>
            </w:r>
          </w:p>
        </w:tc>
        <w:tc>
          <w:tcPr>
            <w:tcW w:w="1650" w:type="pct"/>
            <w:shd w:val="clear" w:color="auto" w:fill="auto"/>
            <w:vAlign w:val="center"/>
          </w:tcPr>
          <w:p w14:paraId="292FD4C5">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411,800.00</w:t>
            </w:r>
          </w:p>
        </w:tc>
        <w:tc>
          <w:tcPr>
            <w:tcW w:w="1010" w:type="pct"/>
            <w:shd w:val="clear" w:color="auto" w:fill="auto"/>
            <w:noWrap/>
            <w:vAlign w:val="center"/>
          </w:tcPr>
          <w:p w14:paraId="2B0256BF">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2.74%</w:t>
            </w:r>
          </w:p>
        </w:tc>
      </w:tr>
      <w:tr w14:paraId="1CC0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noWrap/>
            <w:vAlign w:val="center"/>
          </w:tcPr>
          <w:p w14:paraId="44347A02">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商品和服务支出</w:t>
            </w:r>
          </w:p>
        </w:tc>
        <w:tc>
          <w:tcPr>
            <w:tcW w:w="1650" w:type="pct"/>
            <w:shd w:val="clear" w:color="auto" w:fill="auto"/>
            <w:noWrap/>
            <w:vAlign w:val="center"/>
          </w:tcPr>
          <w:p w14:paraId="2C397A5E">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13,654,840.98</w:t>
            </w:r>
          </w:p>
        </w:tc>
        <w:tc>
          <w:tcPr>
            <w:tcW w:w="1010" w:type="pct"/>
            <w:shd w:val="clear" w:color="auto" w:fill="auto"/>
            <w:noWrap/>
            <w:vAlign w:val="center"/>
          </w:tcPr>
          <w:p w14:paraId="3418213F">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90.93%</w:t>
            </w:r>
          </w:p>
        </w:tc>
      </w:tr>
      <w:tr w14:paraId="68AC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noWrap/>
            <w:vAlign w:val="center"/>
          </w:tcPr>
          <w:p w14:paraId="1428634D">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资本性支出</w:t>
            </w:r>
          </w:p>
        </w:tc>
        <w:tc>
          <w:tcPr>
            <w:tcW w:w="1650" w:type="pct"/>
            <w:shd w:val="clear" w:color="auto" w:fill="auto"/>
            <w:noWrap/>
            <w:vAlign w:val="center"/>
          </w:tcPr>
          <w:p w14:paraId="6C7644EE">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929,988.00</w:t>
            </w:r>
          </w:p>
        </w:tc>
        <w:tc>
          <w:tcPr>
            <w:tcW w:w="1010" w:type="pct"/>
            <w:shd w:val="clear" w:color="auto" w:fill="auto"/>
            <w:noWrap/>
            <w:vAlign w:val="center"/>
          </w:tcPr>
          <w:p w14:paraId="103F5500">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6.19%</w:t>
            </w:r>
          </w:p>
        </w:tc>
      </w:tr>
      <w:tr w14:paraId="04D1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340" w:type="pct"/>
            <w:shd w:val="clear" w:color="auto" w:fill="auto"/>
            <w:noWrap/>
            <w:vAlign w:val="center"/>
          </w:tcPr>
          <w:p w14:paraId="41D9C632">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合计</w:t>
            </w:r>
          </w:p>
        </w:tc>
        <w:tc>
          <w:tcPr>
            <w:tcW w:w="1650" w:type="pct"/>
            <w:shd w:val="clear" w:color="auto" w:fill="auto"/>
            <w:noWrap/>
            <w:vAlign w:val="center"/>
          </w:tcPr>
          <w:p w14:paraId="5A954E8B">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15,017,428.98</w:t>
            </w:r>
          </w:p>
        </w:tc>
        <w:tc>
          <w:tcPr>
            <w:tcW w:w="1010" w:type="pct"/>
            <w:shd w:val="clear" w:color="auto" w:fill="auto"/>
            <w:noWrap/>
            <w:vAlign w:val="center"/>
          </w:tcPr>
          <w:p w14:paraId="2CF3174B">
            <w:pPr>
              <w:jc w:val="center"/>
              <w:textAlignment w:val="center"/>
              <w:rPr>
                <w:rFonts w:hint="eastAsia" w:ascii="仿宋" w:hAnsi="仿宋" w:eastAsia="仿宋" w:cs="宋体"/>
                <w:color w:val="auto"/>
                <w:sz w:val="18"/>
                <w:szCs w:val="22"/>
                <w:lang w:eastAsia="zh-CN" w:bidi="ar"/>
              </w:rPr>
            </w:pPr>
            <w:r>
              <w:rPr>
                <w:rFonts w:hint="eastAsia" w:ascii="仿宋" w:hAnsi="仿宋" w:eastAsia="仿宋" w:cs="宋体"/>
                <w:color w:val="auto"/>
                <w:sz w:val="18"/>
                <w:szCs w:val="22"/>
                <w:lang w:eastAsia="zh-CN" w:bidi="ar"/>
              </w:rPr>
              <w:t>100%</w:t>
            </w:r>
          </w:p>
        </w:tc>
      </w:tr>
    </w:tbl>
    <w:p w14:paraId="709718BB">
      <w:pPr>
        <w:widowControl w:val="0"/>
        <w:overflowPunct w:val="0"/>
        <w:snapToGrid/>
        <w:spacing w:line="408" w:lineRule="auto"/>
        <w:ind w:firstLine="544" w:firstLineChars="200"/>
        <w:jc w:val="both"/>
        <w:outlineLvl w:val="2"/>
        <w:rPr>
          <w:rFonts w:hint="eastAsia" w:ascii="仿宋" w:hAnsi="仿宋" w:eastAsia="仿宋" w:cs="仿宋"/>
          <w:color w:val="auto"/>
          <w:sz w:val="28"/>
          <w:szCs w:val="28"/>
          <w:lang w:eastAsia="zh-CN"/>
        </w:rPr>
      </w:pPr>
      <w:bookmarkStart w:id="66" w:name="_Toc19018"/>
      <w:bookmarkStart w:id="67" w:name="_Toc181558003"/>
      <w:bookmarkStart w:id="68" w:name="_Toc182903999"/>
      <w:bookmarkStart w:id="69" w:name="_Toc10931"/>
      <w:r>
        <w:rPr>
          <w:rFonts w:hint="eastAsia" w:ascii="仿宋" w:hAnsi="仿宋" w:eastAsia="仿宋" w:cs="仿宋"/>
          <w:color w:val="auto"/>
          <w:spacing w:val="-4"/>
          <w:sz w:val="28"/>
          <w:szCs w:val="28"/>
          <w:lang w:eastAsia="zh-CN"/>
        </w:rPr>
        <w:t>3.“三公”经费的使用和管理情况</w:t>
      </w:r>
      <w:bookmarkEnd w:id="66"/>
      <w:bookmarkEnd w:id="67"/>
      <w:bookmarkEnd w:id="68"/>
    </w:p>
    <w:p w14:paraId="6F9CC494">
      <w:pPr>
        <w:widowControl w:val="0"/>
        <w:overflowPunct w:val="0"/>
        <w:snapToGrid/>
        <w:spacing w:line="408" w:lineRule="auto"/>
        <w:ind w:firstLine="528"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pacing w:val="-8"/>
          <w:sz w:val="28"/>
          <w:szCs w:val="28"/>
          <w:lang w:eastAsia="zh-CN"/>
        </w:rPr>
        <w:t>2023年度泉州市洛江区应急管理局一般公共预算财政拨款“三公经费”、“公用经费”、“政府采购支出”情况</w:t>
      </w:r>
      <w:r>
        <w:rPr>
          <w:rFonts w:hint="eastAsia" w:ascii="仿宋" w:hAnsi="仿宋" w:eastAsia="仿宋" w:cs="仿宋"/>
          <w:color w:val="auto"/>
          <w:spacing w:val="-4"/>
          <w:sz w:val="28"/>
          <w:szCs w:val="28"/>
          <w:lang w:eastAsia="zh-CN"/>
        </w:rPr>
        <w:t>如下表8所示。</w:t>
      </w:r>
    </w:p>
    <w:p w14:paraId="6C2E4B56">
      <w:pPr>
        <w:widowControl w:val="0"/>
        <w:overflowPunct w:val="0"/>
        <w:spacing w:line="408" w:lineRule="auto"/>
        <w:jc w:val="center"/>
        <w:rPr>
          <w:rFonts w:hint="eastAsia"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pPr>
      <w:r>
        <w:rPr>
          <w:rFonts w:hint="eastAsia"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表8  2023年</w:t>
      </w:r>
      <w:r>
        <w:rPr>
          <w:rFonts w:hint="eastAsia" w:ascii="仿宋" w:hAnsi="仿宋" w:eastAsia="仿宋" w:cs="仿宋"/>
          <w:spacing w:val="-3"/>
          <w:sz w:val="28"/>
          <w:szCs w:val="24"/>
          <w:lang w:eastAsia="zh-CN"/>
          <w14:textOutline w14:w="5105" w14:cap="sq" w14:cmpd="sng" w14:algn="ctr">
            <w14:solidFill>
              <w14:srgbClr w14:val="000000"/>
            </w14:solidFill>
            <w14:prstDash w14:val="solid"/>
            <w14:bevel/>
          </w14:textOutline>
        </w:rPr>
        <w:t>泉州市洛江区应急管理局</w:t>
      </w:r>
      <w:r>
        <w:rPr>
          <w:rFonts w:hint="eastAsia" w:ascii="仿宋" w:hAnsi="仿宋" w:eastAsia="仿宋" w:cs="仿宋"/>
          <w:color w:val="333333"/>
          <w:spacing w:val="-2"/>
          <w:sz w:val="28"/>
          <w:szCs w:val="24"/>
          <w:lang w:eastAsia="zh-CN"/>
          <w14:textOutline w14:w="5105" w14:cap="sq" w14:cmpd="sng" w14:algn="ctr">
            <w14:solidFill>
              <w14:srgbClr w14:val="333333"/>
            </w14:solidFill>
            <w14:prstDash w14:val="solid"/>
            <w14:bevel/>
          </w14:textOutline>
        </w:rPr>
        <w:t>三公经费、公用经费、政府采购支出表</w:t>
      </w:r>
      <w:bookmarkEnd w:id="69"/>
    </w:p>
    <w:p w14:paraId="470D1FE6">
      <w:pPr>
        <w:widowControl w:val="0"/>
        <w:overflowPunct w:val="0"/>
        <w:ind w:firstLine="556"/>
        <w:jc w:val="right"/>
        <w:rPr>
          <w:rFonts w:hint="eastAsia" w:ascii="仿宋" w:hAnsi="仿宋" w:eastAsia="仿宋"/>
          <w:bCs/>
          <w:color w:val="auto"/>
          <w:sz w:val="24"/>
        </w:rPr>
      </w:pPr>
      <w:r>
        <w:rPr>
          <w:rFonts w:hint="eastAsia" w:ascii="仿宋" w:hAnsi="仿宋" w:eastAsia="仿宋" w:cs="仿宋"/>
          <w:bCs/>
          <w:color w:val="333333"/>
          <w:spacing w:val="-2"/>
          <w:sz w:val="24"/>
          <w:lang w:eastAsia="zh-CN"/>
          <w14:textOutline w14:w="5105" w14:cap="sq" w14:cmpd="sng" w14:algn="ctr">
            <w14:solidFill>
              <w14:srgbClr w14:val="333333"/>
            </w14:solidFill>
            <w14:prstDash w14:val="solid"/>
            <w14:bevel/>
          </w14:textOutline>
        </w:rPr>
        <w:t>单位：万元</w:t>
      </w:r>
    </w:p>
    <w:tbl>
      <w:tblPr>
        <w:tblStyle w:val="91"/>
        <w:tblW w:w="48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0"/>
        <w:gridCol w:w="3056"/>
        <w:gridCol w:w="2869"/>
      </w:tblGrid>
      <w:tr w14:paraId="4419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830" w:type="pct"/>
            <w:shd w:val="clear" w:color="auto" w:fill="D8D8D8" w:themeFill="background1" w:themeFillShade="D9"/>
            <w:vAlign w:val="center"/>
          </w:tcPr>
          <w:p w14:paraId="5D8D858E">
            <w:pPr>
              <w:widowControl w:val="0"/>
              <w:overflowPunct w:val="0"/>
              <w:spacing w:line="408" w:lineRule="auto"/>
              <w:jc w:val="center"/>
              <w:textAlignment w:val="center"/>
              <w:rPr>
                <w:rFonts w:hint="eastAsia" w:ascii="仿宋" w:hAnsi="仿宋" w:eastAsia="仿宋" w:cs="仿宋"/>
                <w:b/>
                <w:bCs/>
                <w:sz w:val="18"/>
                <w:szCs w:val="22"/>
                <w:lang w:eastAsia="zh-CN" w:bidi="ar"/>
              </w:rPr>
            </w:pPr>
            <w:r>
              <w:rPr>
                <w:rFonts w:hint="eastAsia" w:ascii="仿宋" w:hAnsi="仿宋" w:eastAsia="仿宋" w:cs="仿宋"/>
                <w:b/>
                <w:bCs/>
                <w:sz w:val="18"/>
                <w:szCs w:val="22"/>
                <w:lang w:eastAsia="zh-CN" w:bidi="ar"/>
              </w:rPr>
              <w:t>项目</w:t>
            </w:r>
          </w:p>
        </w:tc>
        <w:tc>
          <w:tcPr>
            <w:tcW w:w="1635" w:type="pct"/>
            <w:shd w:val="clear" w:color="auto" w:fill="D8D8D8" w:themeFill="background1" w:themeFillShade="D9"/>
            <w:vAlign w:val="center"/>
          </w:tcPr>
          <w:p w14:paraId="194991F9">
            <w:pPr>
              <w:widowControl w:val="0"/>
              <w:overflowPunct w:val="0"/>
              <w:spacing w:line="408" w:lineRule="auto"/>
              <w:jc w:val="center"/>
              <w:textAlignment w:val="center"/>
              <w:rPr>
                <w:rFonts w:hint="eastAsia" w:ascii="仿宋" w:hAnsi="仿宋" w:eastAsia="仿宋" w:cs="仿宋"/>
                <w:b/>
                <w:bCs/>
                <w:sz w:val="18"/>
                <w:szCs w:val="22"/>
                <w:lang w:eastAsia="zh-CN" w:bidi="ar"/>
              </w:rPr>
            </w:pPr>
            <w:r>
              <w:rPr>
                <w:rFonts w:hint="eastAsia" w:ascii="仿宋" w:hAnsi="仿宋" w:eastAsia="仿宋" w:cs="仿宋"/>
                <w:b/>
                <w:bCs/>
                <w:sz w:val="18"/>
                <w:szCs w:val="22"/>
                <w:lang w:eastAsia="zh-CN" w:bidi="ar"/>
              </w:rPr>
              <w:t>2023年预算数</w:t>
            </w:r>
          </w:p>
        </w:tc>
        <w:tc>
          <w:tcPr>
            <w:tcW w:w="1536" w:type="pct"/>
            <w:shd w:val="clear" w:color="auto" w:fill="D8D8D8" w:themeFill="background1" w:themeFillShade="D9"/>
            <w:vAlign w:val="center"/>
          </w:tcPr>
          <w:p w14:paraId="3671BAD3">
            <w:pPr>
              <w:widowControl w:val="0"/>
              <w:overflowPunct w:val="0"/>
              <w:spacing w:line="408" w:lineRule="auto"/>
              <w:jc w:val="center"/>
              <w:textAlignment w:val="center"/>
              <w:rPr>
                <w:rFonts w:hint="eastAsia" w:ascii="仿宋" w:hAnsi="仿宋" w:eastAsia="仿宋" w:cs="仿宋"/>
                <w:b/>
                <w:bCs/>
                <w:sz w:val="18"/>
                <w:szCs w:val="22"/>
                <w:lang w:eastAsia="zh-CN" w:bidi="ar"/>
              </w:rPr>
            </w:pPr>
            <w:r>
              <w:rPr>
                <w:rFonts w:hint="eastAsia" w:ascii="仿宋" w:hAnsi="仿宋" w:eastAsia="仿宋" w:cs="仿宋"/>
                <w:b/>
                <w:bCs/>
                <w:sz w:val="18"/>
                <w:szCs w:val="22"/>
                <w:lang w:eastAsia="zh-CN" w:bidi="ar"/>
              </w:rPr>
              <w:t>2023年实际支出数</w:t>
            </w:r>
          </w:p>
        </w:tc>
      </w:tr>
      <w:tr w14:paraId="08B8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830" w:type="pct"/>
            <w:shd w:val="clear" w:color="auto" w:fill="auto"/>
            <w:vAlign w:val="center"/>
          </w:tcPr>
          <w:p w14:paraId="0E588519">
            <w:pPr>
              <w:widowControl w:val="0"/>
              <w:overflowPunct w:val="0"/>
              <w:spacing w:line="408" w:lineRule="auto"/>
              <w:textAlignment w:val="center"/>
              <w:rPr>
                <w:rFonts w:hint="eastAsia" w:ascii="仿宋" w:hAnsi="仿宋" w:eastAsia="仿宋" w:cs="仿宋"/>
                <w:sz w:val="18"/>
                <w:szCs w:val="22"/>
                <w:lang w:eastAsia="zh-CN" w:bidi="ar"/>
              </w:rPr>
            </w:pPr>
            <w:r>
              <w:rPr>
                <w:rFonts w:hint="eastAsia" w:ascii="仿宋" w:hAnsi="仿宋" w:eastAsia="仿宋" w:cs="仿宋"/>
                <w:sz w:val="18"/>
                <w:szCs w:val="22"/>
                <w:lang w:eastAsia="zh-CN" w:bidi="ar"/>
              </w:rPr>
              <w:t>一、“三公”经费支出</w:t>
            </w:r>
          </w:p>
        </w:tc>
        <w:tc>
          <w:tcPr>
            <w:tcW w:w="1635" w:type="pct"/>
            <w:shd w:val="clear" w:color="auto" w:fill="auto"/>
            <w:vAlign w:val="center"/>
          </w:tcPr>
          <w:p w14:paraId="74F6C308">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0.50</w:t>
            </w:r>
          </w:p>
        </w:tc>
        <w:tc>
          <w:tcPr>
            <w:tcW w:w="1536" w:type="pct"/>
            <w:shd w:val="clear" w:color="auto" w:fill="auto"/>
            <w:vAlign w:val="center"/>
          </w:tcPr>
          <w:p w14:paraId="39A4F787">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0.43</w:t>
            </w:r>
          </w:p>
        </w:tc>
      </w:tr>
      <w:tr w14:paraId="4D2A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830" w:type="pct"/>
            <w:shd w:val="clear" w:color="auto" w:fill="auto"/>
            <w:vAlign w:val="center"/>
          </w:tcPr>
          <w:p w14:paraId="339073D8">
            <w:pPr>
              <w:widowControl w:val="0"/>
              <w:overflowPunct w:val="0"/>
              <w:spacing w:line="408" w:lineRule="auto"/>
              <w:textAlignment w:val="center"/>
              <w:rPr>
                <w:rFonts w:hint="eastAsia" w:ascii="仿宋" w:hAnsi="仿宋" w:eastAsia="仿宋" w:cs="仿宋"/>
                <w:sz w:val="18"/>
                <w:szCs w:val="22"/>
                <w:lang w:eastAsia="zh-CN" w:bidi="ar"/>
              </w:rPr>
            </w:pPr>
            <w:r>
              <w:rPr>
                <w:rFonts w:hint="eastAsia" w:ascii="仿宋" w:hAnsi="仿宋" w:eastAsia="仿宋" w:cs="仿宋"/>
                <w:sz w:val="18"/>
                <w:szCs w:val="22"/>
                <w:lang w:eastAsia="zh-CN" w:bidi="ar"/>
              </w:rPr>
              <w:t>二、公用经费支出</w:t>
            </w:r>
          </w:p>
        </w:tc>
        <w:tc>
          <w:tcPr>
            <w:tcW w:w="1635" w:type="pct"/>
            <w:shd w:val="clear" w:color="auto" w:fill="auto"/>
            <w:vAlign w:val="center"/>
          </w:tcPr>
          <w:p w14:paraId="47B905C0">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108.43</w:t>
            </w:r>
          </w:p>
        </w:tc>
        <w:tc>
          <w:tcPr>
            <w:tcW w:w="1536" w:type="pct"/>
            <w:shd w:val="clear" w:color="auto" w:fill="auto"/>
            <w:vAlign w:val="center"/>
          </w:tcPr>
          <w:p w14:paraId="201E8040">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108.43</w:t>
            </w:r>
          </w:p>
        </w:tc>
      </w:tr>
      <w:tr w14:paraId="6D57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830" w:type="pct"/>
            <w:shd w:val="clear" w:color="auto" w:fill="auto"/>
            <w:vAlign w:val="center"/>
          </w:tcPr>
          <w:p w14:paraId="01FFE196">
            <w:pPr>
              <w:widowControl w:val="0"/>
              <w:overflowPunct w:val="0"/>
              <w:spacing w:line="408" w:lineRule="auto"/>
              <w:textAlignment w:val="center"/>
              <w:rPr>
                <w:rFonts w:hint="eastAsia" w:ascii="仿宋" w:hAnsi="仿宋" w:eastAsia="仿宋" w:cs="仿宋"/>
                <w:sz w:val="18"/>
                <w:szCs w:val="22"/>
                <w:lang w:eastAsia="zh-CN" w:bidi="ar"/>
              </w:rPr>
            </w:pPr>
            <w:r>
              <w:rPr>
                <w:rFonts w:hint="eastAsia" w:ascii="仿宋" w:hAnsi="仿宋" w:eastAsia="仿宋" w:cs="仿宋"/>
                <w:sz w:val="18"/>
                <w:szCs w:val="22"/>
                <w:lang w:eastAsia="zh-CN" w:bidi="ar"/>
              </w:rPr>
              <w:t>三、政府采购支出</w:t>
            </w:r>
          </w:p>
        </w:tc>
        <w:tc>
          <w:tcPr>
            <w:tcW w:w="1635" w:type="pct"/>
            <w:shd w:val="clear" w:color="auto" w:fill="auto"/>
            <w:vAlign w:val="center"/>
          </w:tcPr>
          <w:p w14:paraId="507DE0ED">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150.00</w:t>
            </w:r>
          </w:p>
        </w:tc>
        <w:tc>
          <w:tcPr>
            <w:tcW w:w="1536" w:type="pct"/>
            <w:shd w:val="clear" w:color="auto" w:fill="auto"/>
            <w:vAlign w:val="center"/>
          </w:tcPr>
          <w:p w14:paraId="082ACF1A">
            <w:pPr>
              <w:widowControl w:val="0"/>
              <w:overflowPunct w:val="0"/>
              <w:spacing w:line="408" w:lineRule="auto"/>
              <w:jc w:val="center"/>
              <w:textAlignment w:val="center"/>
              <w:rPr>
                <w:rFonts w:hint="eastAsia" w:ascii="仿宋" w:hAnsi="仿宋" w:eastAsia="仿宋" w:cs="仿宋"/>
                <w:color w:val="auto"/>
                <w:sz w:val="18"/>
                <w:szCs w:val="22"/>
                <w:lang w:eastAsia="zh-CN" w:bidi="ar"/>
              </w:rPr>
            </w:pPr>
            <w:r>
              <w:rPr>
                <w:rFonts w:hint="eastAsia" w:ascii="仿宋" w:hAnsi="仿宋" w:eastAsia="仿宋" w:cs="仿宋"/>
                <w:color w:val="auto"/>
                <w:sz w:val="18"/>
                <w:szCs w:val="22"/>
                <w:lang w:eastAsia="zh-CN" w:bidi="ar"/>
              </w:rPr>
              <w:t>142.38</w:t>
            </w:r>
          </w:p>
        </w:tc>
      </w:tr>
    </w:tbl>
    <w:p w14:paraId="5C1D0F92">
      <w:pPr>
        <w:widowControl w:val="0"/>
        <w:overflowPunct w:val="0"/>
        <w:snapToGrid/>
        <w:spacing w:line="408" w:lineRule="auto"/>
        <w:ind w:firstLine="558" w:firstLineChars="200"/>
        <w:outlineLvl w:val="0"/>
        <w:rPr>
          <w:rFonts w:hint="eastAsia" w:ascii="仿宋" w:hAnsi="仿宋" w:eastAsia="仿宋" w:cs="仿宋"/>
          <w:b/>
          <w:color w:val="auto"/>
          <w:spacing w:val="-1"/>
          <w:sz w:val="28"/>
          <w:szCs w:val="28"/>
          <w:lang w:eastAsia="zh-CN"/>
          <w14:textOutline w14:w="5105" w14:cap="sq" w14:cmpd="sng" w14:algn="ctr">
            <w14:solidFill>
              <w14:srgbClr w14:val="333333"/>
            </w14:solidFill>
            <w14:prstDash w14:val="solid"/>
            <w14:bevel/>
          </w14:textOutline>
        </w:rPr>
      </w:pPr>
      <w:bookmarkStart w:id="70" w:name="_Toc181558004"/>
      <w:bookmarkStart w:id="71" w:name="_Toc182904000"/>
      <w:r>
        <w:rPr>
          <w:rFonts w:hint="eastAsia" w:ascii="仿宋" w:hAnsi="仿宋" w:eastAsia="仿宋" w:cs="仿宋"/>
          <w:b/>
          <w:color w:val="auto"/>
          <w:spacing w:val="-1"/>
          <w:sz w:val="28"/>
          <w:szCs w:val="28"/>
          <w:lang w:eastAsia="zh-CN"/>
          <w14:textOutline w14:w="5105" w14:cap="sq" w14:cmpd="sng" w14:algn="ctr">
            <w14:solidFill>
              <w14:srgbClr w14:val="333333"/>
            </w14:solidFill>
            <w14:prstDash w14:val="solid"/>
            <w14:bevel/>
          </w14:textOutline>
        </w:rPr>
        <w:t>三、部门年度总体目标</w:t>
      </w:r>
      <w:bookmarkEnd w:id="70"/>
      <w:bookmarkEnd w:id="71"/>
    </w:p>
    <w:p w14:paraId="61EB2C3A">
      <w:pPr>
        <w:widowControl w:val="0"/>
        <w:overflowPunct w:val="0"/>
        <w:snapToGrid/>
        <w:spacing w:line="408" w:lineRule="auto"/>
        <w:ind w:firstLine="528" w:firstLineChars="200"/>
        <w:jc w:val="both"/>
        <w:rPr>
          <w:rFonts w:hint="eastAsia" w:ascii="仿宋" w:hAnsi="仿宋" w:eastAsia="仿宋" w:cs="仿宋"/>
          <w:color w:val="auto"/>
          <w:spacing w:val="-8"/>
          <w:sz w:val="28"/>
          <w:szCs w:val="28"/>
          <w:lang w:eastAsia="zh-CN"/>
        </w:rPr>
      </w:pPr>
      <w:bookmarkStart w:id="72" w:name="_Toc181558005"/>
      <w:bookmarkStart w:id="73" w:name="_Toc28947"/>
      <w:r>
        <w:rPr>
          <w:rFonts w:hint="eastAsia" w:ascii="仿宋" w:hAnsi="仿宋" w:eastAsia="仿宋" w:cs="仿宋"/>
          <w:color w:val="auto"/>
          <w:spacing w:val="-8"/>
          <w:sz w:val="28"/>
          <w:szCs w:val="28"/>
          <w:lang w:eastAsia="zh-CN"/>
        </w:rPr>
        <w:t>（1）部门年度目标</w:t>
      </w:r>
      <w:bookmarkEnd w:id="72"/>
    </w:p>
    <w:p w14:paraId="160CA542">
      <w:pPr>
        <w:widowControl w:val="0"/>
        <w:overflowPunct w:val="0"/>
        <w:snapToGrid/>
        <w:spacing w:line="408" w:lineRule="auto"/>
        <w:ind w:firstLine="528" w:firstLineChars="200"/>
        <w:jc w:val="both"/>
        <w:rPr>
          <w:rFonts w:hint="eastAsia" w:ascii="仿宋" w:hAnsi="仿宋" w:eastAsia="仿宋" w:cs="仿宋"/>
          <w:color w:val="auto"/>
          <w:spacing w:val="-8"/>
          <w:sz w:val="28"/>
          <w:szCs w:val="28"/>
          <w:lang w:eastAsia="zh-CN"/>
        </w:rPr>
      </w:pPr>
      <w:r>
        <w:rPr>
          <w:rFonts w:ascii="仿宋" w:hAnsi="仿宋" w:eastAsia="仿宋" w:cs="仿宋"/>
          <w:color w:val="auto"/>
          <w:spacing w:val="-8"/>
          <w:sz w:val="28"/>
          <w:szCs w:val="28"/>
          <w:lang w:eastAsia="zh-CN"/>
        </w:rPr>
        <w:t>2023</w:t>
      </w:r>
      <w:r>
        <w:rPr>
          <w:rFonts w:hint="eastAsia" w:ascii="仿宋" w:hAnsi="仿宋" w:eastAsia="仿宋" w:cs="仿宋"/>
          <w:color w:val="auto"/>
          <w:spacing w:val="-8"/>
          <w:sz w:val="28"/>
          <w:szCs w:val="28"/>
          <w:lang w:eastAsia="zh-CN"/>
        </w:rPr>
        <w:t>年要继续深入贯彻落实党中央、国务院和省、市决策部署，牢固树立安全发展理念，弘扬生命至上、安全第一的思想，以防范化解重大安全风险、坚决遏制重特大事故为重点，深入开展重点领域行业专项整治，全面排查消除各类安全隐患，切实提高防灾减灾救灾的能力，大力推动党政领导干部安全生产责任制规定落实，强化安全教育培训，促进全区安全生产形势持续稳定。</w:t>
      </w:r>
    </w:p>
    <w:p w14:paraId="7E2C95F0">
      <w:pPr>
        <w:widowControl w:val="0"/>
        <w:overflowPunct w:val="0"/>
        <w:snapToGrid/>
        <w:spacing w:line="408" w:lineRule="auto"/>
        <w:ind w:firstLine="528" w:firstLineChars="200"/>
        <w:jc w:val="both"/>
        <w:rPr>
          <w:rFonts w:hint="eastAsia" w:ascii="仿宋" w:hAnsi="仿宋" w:eastAsia="仿宋" w:cs="仿宋"/>
          <w:color w:val="auto"/>
          <w:spacing w:val="-8"/>
          <w:sz w:val="28"/>
          <w:szCs w:val="28"/>
          <w:highlight w:val="yellow"/>
          <w:lang w:eastAsia="zh-CN"/>
        </w:rPr>
      </w:pPr>
      <w:bookmarkStart w:id="74" w:name="_Toc181558006"/>
      <w:r>
        <w:rPr>
          <w:rFonts w:hint="eastAsia" w:ascii="仿宋" w:hAnsi="仿宋" w:eastAsia="仿宋" w:cs="仿宋"/>
          <w:color w:val="auto"/>
          <w:spacing w:val="-8"/>
          <w:sz w:val="28"/>
          <w:szCs w:val="28"/>
          <w:lang w:eastAsia="zh-CN"/>
        </w:rPr>
        <w:t>（2）具体绩效目标</w:t>
      </w:r>
      <w:bookmarkEnd w:id="74"/>
    </w:p>
    <w:p w14:paraId="0F810489">
      <w:pPr>
        <w:widowControl w:val="0"/>
        <w:overflowPunct w:val="0"/>
        <w:snapToGrid/>
        <w:spacing w:line="408" w:lineRule="auto"/>
        <w:ind w:firstLine="530" w:firstLineChars="200"/>
        <w:jc w:val="center"/>
        <w:rPr>
          <w:rFonts w:hint="eastAsia" w:ascii="仿宋" w:hAnsi="仿宋" w:eastAsia="仿宋" w:cs="仿宋"/>
          <w:b/>
          <w:bCs/>
          <w:color w:val="auto"/>
          <w:spacing w:val="-8"/>
          <w:sz w:val="28"/>
          <w:szCs w:val="28"/>
          <w:lang w:eastAsia="zh-CN"/>
        </w:rPr>
      </w:pPr>
      <w:r>
        <w:rPr>
          <w:rFonts w:hint="eastAsia" w:ascii="仿宋" w:hAnsi="仿宋" w:eastAsia="仿宋" w:cs="仿宋"/>
          <w:b/>
          <w:bCs/>
          <w:color w:val="auto"/>
          <w:spacing w:val="-8"/>
          <w:sz w:val="28"/>
          <w:szCs w:val="28"/>
          <w:lang w:eastAsia="zh-CN"/>
        </w:rPr>
        <w:t xml:space="preserve">表9  </w:t>
      </w:r>
      <w:r>
        <w:rPr>
          <w:rFonts w:ascii="仿宋" w:hAnsi="仿宋" w:eastAsia="仿宋" w:cs="仿宋"/>
          <w:b/>
          <w:bCs/>
          <w:color w:val="auto"/>
          <w:spacing w:val="-8"/>
          <w:sz w:val="28"/>
          <w:szCs w:val="28"/>
          <w:lang w:eastAsia="zh-CN"/>
        </w:rPr>
        <w:t>2023</w:t>
      </w:r>
      <w:r>
        <w:rPr>
          <w:rFonts w:hint="eastAsia" w:ascii="仿宋" w:hAnsi="仿宋" w:eastAsia="仿宋" w:cs="仿宋"/>
          <w:b/>
          <w:bCs/>
          <w:color w:val="auto"/>
          <w:spacing w:val="-8"/>
          <w:sz w:val="28"/>
          <w:szCs w:val="28"/>
          <w:lang w:eastAsia="zh-CN"/>
        </w:rPr>
        <w:t>年度泉州市洛江区应急管理局部门整体绩效目标表</w:t>
      </w: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2"/>
        <w:gridCol w:w="2045"/>
        <w:gridCol w:w="3267"/>
        <w:gridCol w:w="2389"/>
      </w:tblGrid>
      <w:tr w14:paraId="1927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974" w:type="pct"/>
            <w:shd w:val="clear" w:color="auto" w:fill="D8D8D8" w:themeFill="background1" w:themeFillShade="D9"/>
            <w:vAlign w:val="center"/>
          </w:tcPr>
          <w:p w14:paraId="6397C86B">
            <w:pPr>
              <w:widowControl w:val="0"/>
              <w:overflowPunct w:val="0"/>
              <w:spacing w:line="408" w:lineRule="auto"/>
              <w:jc w:val="center"/>
              <w:rPr>
                <w:rFonts w:hint="eastAsia" w:ascii="仿宋" w:hAnsi="仿宋" w:eastAsia="仿宋" w:cs="仿宋"/>
                <w:b/>
                <w:color w:val="auto"/>
                <w:spacing w:val="-8"/>
                <w:sz w:val="18"/>
                <w:szCs w:val="28"/>
                <w:lang w:eastAsia="zh-CN"/>
              </w:rPr>
            </w:pPr>
            <w:r>
              <w:rPr>
                <w:rFonts w:hint="eastAsia" w:ascii="仿宋" w:hAnsi="仿宋" w:eastAsia="仿宋" w:cs="仿宋"/>
                <w:b/>
                <w:color w:val="auto"/>
                <w:spacing w:val="-8"/>
                <w:sz w:val="18"/>
                <w:szCs w:val="28"/>
                <w:lang w:eastAsia="zh-CN"/>
              </w:rPr>
              <w:t>一级指标</w:t>
            </w:r>
          </w:p>
        </w:tc>
        <w:tc>
          <w:tcPr>
            <w:tcW w:w="1069" w:type="pct"/>
            <w:shd w:val="clear" w:color="auto" w:fill="D8D8D8" w:themeFill="background1" w:themeFillShade="D9"/>
            <w:vAlign w:val="center"/>
          </w:tcPr>
          <w:p w14:paraId="50F0AA1B">
            <w:pPr>
              <w:widowControl w:val="0"/>
              <w:overflowPunct w:val="0"/>
              <w:spacing w:line="408" w:lineRule="auto"/>
              <w:jc w:val="center"/>
              <w:rPr>
                <w:rFonts w:hint="eastAsia" w:ascii="仿宋" w:hAnsi="仿宋" w:eastAsia="仿宋" w:cs="仿宋"/>
                <w:b/>
                <w:color w:val="auto"/>
                <w:spacing w:val="-8"/>
                <w:sz w:val="18"/>
                <w:szCs w:val="28"/>
                <w:lang w:eastAsia="zh-CN"/>
              </w:rPr>
            </w:pPr>
            <w:r>
              <w:rPr>
                <w:rFonts w:hint="eastAsia" w:ascii="仿宋" w:hAnsi="仿宋" w:eastAsia="仿宋" w:cs="仿宋"/>
                <w:b/>
                <w:color w:val="auto"/>
                <w:spacing w:val="-8"/>
                <w:sz w:val="18"/>
                <w:szCs w:val="28"/>
                <w:lang w:eastAsia="zh-CN"/>
              </w:rPr>
              <w:t>二级指标</w:t>
            </w:r>
          </w:p>
        </w:tc>
        <w:tc>
          <w:tcPr>
            <w:tcW w:w="1708" w:type="pct"/>
            <w:shd w:val="clear" w:color="auto" w:fill="D8D8D8" w:themeFill="background1" w:themeFillShade="D9"/>
            <w:vAlign w:val="center"/>
          </w:tcPr>
          <w:p w14:paraId="3BBAA39A">
            <w:pPr>
              <w:widowControl w:val="0"/>
              <w:overflowPunct w:val="0"/>
              <w:spacing w:line="408" w:lineRule="auto"/>
              <w:jc w:val="center"/>
              <w:rPr>
                <w:rFonts w:hint="eastAsia" w:ascii="仿宋" w:hAnsi="仿宋" w:eastAsia="仿宋" w:cs="仿宋"/>
                <w:b/>
                <w:color w:val="auto"/>
                <w:spacing w:val="-8"/>
                <w:sz w:val="18"/>
                <w:szCs w:val="28"/>
                <w:lang w:eastAsia="zh-CN"/>
              </w:rPr>
            </w:pPr>
            <w:r>
              <w:rPr>
                <w:rFonts w:hint="eastAsia" w:ascii="仿宋" w:hAnsi="仿宋" w:eastAsia="仿宋" w:cs="仿宋"/>
                <w:b/>
                <w:color w:val="auto"/>
                <w:spacing w:val="-8"/>
                <w:sz w:val="18"/>
                <w:szCs w:val="28"/>
                <w:lang w:eastAsia="zh-CN"/>
              </w:rPr>
              <w:t>三级指标</w:t>
            </w:r>
          </w:p>
        </w:tc>
        <w:tc>
          <w:tcPr>
            <w:tcW w:w="1250" w:type="pct"/>
            <w:shd w:val="clear" w:color="auto" w:fill="D8D8D8" w:themeFill="background1" w:themeFillShade="D9"/>
            <w:vAlign w:val="center"/>
          </w:tcPr>
          <w:p w14:paraId="022323F7">
            <w:pPr>
              <w:widowControl w:val="0"/>
              <w:overflowPunct w:val="0"/>
              <w:spacing w:line="408" w:lineRule="auto"/>
              <w:jc w:val="center"/>
              <w:rPr>
                <w:rFonts w:hint="eastAsia" w:ascii="仿宋" w:hAnsi="仿宋" w:eastAsia="仿宋" w:cs="仿宋"/>
                <w:b/>
                <w:color w:val="auto"/>
                <w:spacing w:val="-8"/>
                <w:sz w:val="18"/>
                <w:szCs w:val="28"/>
                <w:lang w:eastAsia="zh-CN"/>
              </w:rPr>
            </w:pPr>
            <w:r>
              <w:rPr>
                <w:rFonts w:hint="eastAsia" w:ascii="仿宋" w:hAnsi="仿宋" w:eastAsia="仿宋" w:cs="仿宋"/>
                <w:b/>
                <w:color w:val="auto"/>
                <w:spacing w:val="-8"/>
                <w:sz w:val="18"/>
                <w:szCs w:val="28"/>
                <w:lang w:eastAsia="zh-CN"/>
              </w:rPr>
              <w:t>年度指标值</w:t>
            </w:r>
          </w:p>
        </w:tc>
      </w:tr>
      <w:tr w14:paraId="6234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178546E6">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069" w:type="pct"/>
            <w:shd w:val="clear" w:color="auto" w:fill="auto"/>
            <w:vAlign w:val="center"/>
          </w:tcPr>
          <w:p w14:paraId="6EFDA04C">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708" w:type="pct"/>
            <w:shd w:val="clear" w:color="auto" w:fill="auto"/>
            <w:vAlign w:val="center"/>
          </w:tcPr>
          <w:p w14:paraId="12FB6D09">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“三公</w:t>
            </w:r>
            <w:r>
              <w:rPr>
                <w:rFonts w:ascii="仿宋" w:hAnsi="仿宋" w:eastAsia="仿宋" w:cs="仿宋"/>
                <w:color w:val="auto"/>
                <w:spacing w:val="-8"/>
                <w:sz w:val="18"/>
                <w:szCs w:val="28"/>
                <w:lang w:eastAsia="zh-CN"/>
              </w:rPr>
              <w:t>”</w:t>
            </w:r>
            <w:r>
              <w:rPr>
                <w:rFonts w:hint="eastAsia" w:ascii="仿宋" w:hAnsi="仿宋" w:eastAsia="仿宋" w:cs="仿宋"/>
                <w:color w:val="auto"/>
                <w:spacing w:val="-8"/>
                <w:sz w:val="18"/>
                <w:szCs w:val="28"/>
                <w:lang w:eastAsia="zh-CN"/>
              </w:rPr>
              <w:t>经费控制率</w:t>
            </w:r>
          </w:p>
        </w:tc>
        <w:tc>
          <w:tcPr>
            <w:tcW w:w="1250" w:type="pct"/>
            <w:shd w:val="clear" w:color="auto" w:fill="auto"/>
            <w:vAlign w:val="center"/>
          </w:tcPr>
          <w:p w14:paraId="5292BBA0">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≤100%</w:t>
            </w:r>
          </w:p>
        </w:tc>
      </w:tr>
      <w:tr w14:paraId="16B6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1C287AEA">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069" w:type="pct"/>
            <w:shd w:val="clear" w:color="auto" w:fill="auto"/>
            <w:vAlign w:val="center"/>
          </w:tcPr>
          <w:p w14:paraId="58002B8A">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708" w:type="pct"/>
            <w:shd w:val="clear" w:color="auto" w:fill="auto"/>
            <w:vAlign w:val="center"/>
          </w:tcPr>
          <w:p w14:paraId="1993206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“三公</w:t>
            </w:r>
            <w:r>
              <w:rPr>
                <w:rFonts w:ascii="仿宋" w:hAnsi="仿宋" w:eastAsia="仿宋" w:cs="仿宋"/>
                <w:color w:val="auto"/>
                <w:spacing w:val="-8"/>
                <w:sz w:val="18"/>
                <w:szCs w:val="28"/>
                <w:lang w:eastAsia="zh-CN"/>
              </w:rPr>
              <w:t>”</w:t>
            </w:r>
            <w:r>
              <w:rPr>
                <w:rFonts w:hint="eastAsia" w:ascii="仿宋" w:hAnsi="仿宋" w:eastAsia="仿宋" w:cs="仿宋"/>
                <w:color w:val="auto"/>
                <w:spacing w:val="-8"/>
                <w:sz w:val="18"/>
                <w:szCs w:val="28"/>
                <w:lang w:eastAsia="zh-CN"/>
              </w:rPr>
              <w:t>经费违规使用次数</w:t>
            </w:r>
          </w:p>
        </w:tc>
        <w:tc>
          <w:tcPr>
            <w:tcW w:w="1250" w:type="pct"/>
            <w:shd w:val="clear" w:color="auto" w:fill="auto"/>
            <w:vAlign w:val="center"/>
          </w:tcPr>
          <w:p w14:paraId="3C4DFB83">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≤0次</w:t>
            </w:r>
          </w:p>
        </w:tc>
      </w:tr>
      <w:tr w14:paraId="5A6C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757EF49E">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069" w:type="pct"/>
            <w:shd w:val="clear" w:color="auto" w:fill="auto"/>
            <w:vAlign w:val="center"/>
          </w:tcPr>
          <w:p w14:paraId="227B4683">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一般性支出情况</w:t>
            </w:r>
          </w:p>
        </w:tc>
        <w:tc>
          <w:tcPr>
            <w:tcW w:w="1708" w:type="pct"/>
            <w:shd w:val="clear" w:color="auto" w:fill="auto"/>
            <w:vAlign w:val="center"/>
          </w:tcPr>
          <w:p w14:paraId="6E4CE5D4">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会议费、差旅费超标准使用次数</w:t>
            </w:r>
          </w:p>
        </w:tc>
        <w:tc>
          <w:tcPr>
            <w:tcW w:w="1250" w:type="pct"/>
            <w:shd w:val="clear" w:color="auto" w:fill="auto"/>
            <w:vAlign w:val="center"/>
          </w:tcPr>
          <w:p w14:paraId="1719F8D8">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≤0次</w:t>
            </w:r>
          </w:p>
        </w:tc>
      </w:tr>
      <w:tr w14:paraId="7524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036C70C3">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成本指标</w:t>
            </w:r>
          </w:p>
        </w:tc>
        <w:tc>
          <w:tcPr>
            <w:tcW w:w="1069" w:type="pct"/>
            <w:shd w:val="clear" w:color="auto" w:fill="auto"/>
            <w:vAlign w:val="center"/>
          </w:tcPr>
          <w:p w14:paraId="722E9592">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经济成本指标</w:t>
            </w:r>
          </w:p>
        </w:tc>
        <w:tc>
          <w:tcPr>
            <w:tcW w:w="1708" w:type="pct"/>
            <w:shd w:val="clear" w:color="auto" w:fill="auto"/>
            <w:vAlign w:val="center"/>
          </w:tcPr>
          <w:p w14:paraId="002CECBE">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项目成本控制率</w:t>
            </w:r>
          </w:p>
        </w:tc>
        <w:tc>
          <w:tcPr>
            <w:tcW w:w="1250" w:type="pct"/>
            <w:shd w:val="clear" w:color="auto" w:fill="auto"/>
            <w:vAlign w:val="center"/>
          </w:tcPr>
          <w:p w14:paraId="5682DB50">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≤100%</w:t>
            </w:r>
          </w:p>
        </w:tc>
      </w:tr>
      <w:tr w14:paraId="23AD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0F5ADB02">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效益指标</w:t>
            </w:r>
          </w:p>
        </w:tc>
        <w:tc>
          <w:tcPr>
            <w:tcW w:w="1069" w:type="pct"/>
            <w:shd w:val="clear" w:color="auto" w:fill="auto"/>
            <w:vAlign w:val="center"/>
          </w:tcPr>
          <w:p w14:paraId="2B9089A9">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社会效益指标</w:t>
            </w:r>
          </w:p>
        </w:tc>
        <w:tc>
          <w:tcPr>
            <w:tcW w:w="1708" w:type="pct"/>
            <w:shd w:val="clear" w:color="auto" w:fill="auto"/>
            <w:vAlign w:val="center"/>
          </w:tcPr>
          <w:p w14:paraId="62FDD92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提高安全生产水平</w:t>
            </w:r>
          </w:p>
        </w:tc>
        <w:tc>
          <w:tcPr>
            <w:tcW w:w="1250" w:type="pct"/>
            <w:shd w:val="clear" w:color="auto" w:fill="auto"/>
            <w:vAlign w:val="center"/>
          </w:tcPr>
          <w:p w14:paraId="3F7FC4CB">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=有所提升</w:t>
            </w:r>
          </w:p>
        </w:tc>
      </w:tr>
      <w:tr w14:paraId="5705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50F8E2D8">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满意度指标</w:t>
            </w:r>
          </w:p>
        </w:tc>
        <w:tc>
          <w:tcPr>
            <w:tcW w:w="1069" w:type="pct"/>
            <w:shd w:val="clear" w:color="auto" w:fill="auto"/>
            <w:vAlign w:val="center"/>
          </w:tcPr>
          <w:p w14:paraId="7723611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服务对象满意度指标</w:t>
            </w:r>
          </w:p>
        </w:tc>
        <w:tc>
          <w:tcPr>
            <w:tcW w:w="1708" w:type="pct"/>
            <w:shd w:val="clear" w:color="auto" w:fill="auto"/>
            <w:vAlign w:val="center"/>
          </w:tcPr>
          <w:p w14:paraId="234FB8E5">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企业满意度</w:t>
            </w:r>
          </w:p>
        </w:tc>
        <w:tc>
          <w:tcPr>
            <w:tcW w:w="1250" w:type="pct"/>
            <w:shd w:val="clear" w:color="auto" w:fill="auto"/>
            <w:vAlign w:val="center"/>
          </w:tcPr>
          <w:p w14:paraId="4474FC70">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≥90%</w:t>
            </w:r>
          </w:p>
        </w:tc>
      </w:tr>
      <w:tr w14:paraId="11BC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7BB46FC6">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产出指标</w:t>
            </w:r>
          </w:p>
        </w:tc>
        <w:tc>
          <w:tcPr>
            <w:tcW w:w="1069" w:type="pct"/>
            <w:shd w:val="clear" w:color="auto" w:fill="auto"/>
            <w:vAlign w:val="center"/>
          </w:tcPr>
          <w:p w14:paraId="5430F8E9">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数量指标</w:t>
            </w:r>
          </w:p>
        </w:tc>
        <w:tc>
          <w:tcPr>
            <w:tcW w:w="1708" w:type="pct"/>
            <w:shd w:val="clear" w:color="auto" w:fill="auto"/>
            <w:vAlign w:val="center"/>
          </w:tcPr>
          <w:p w14:paraId="75C9F7C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打非治违、隐患排查开展数量</w:t>
            </w:r>
          </w:p>
        </w:tc>
        <w:tc>
          <w:tcPr>
            <w:tcW w:w="1250" w:type="pct"/>
            <w:shd w:val="clear" w:color="auto" w:fill="auto"/>
            <w:vAlign w:val="center"/>
          </w:tcPr>
          <w:p w14:paraId="6032A3A4">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≥286家</w:t>
            </w:r>
          </w:p>
        </w:tc>
      </w:tr>
      <w:tr w14:paraId="339F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121B3393">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产出指标</w:t>
            </w:r>
          </w:p>
        </w:tc>
        <w:tc>
          <w:tcPr>
            <w:tcW w:w="1069" w:type="pct"/>
            <w:shd w:val="clear" w:color="auto" w:fill="auto"/>
            <w:vAlign w:val="center"/>
          </w:tcPr>
          <w:p w14:paraId="38964207">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质量指标</w:t>
            </w:r>
          </w:p>
        </w:tc>
        <w:tc>
          <w:tcPr>
            <w:tcW w:w="1708" w:type="pct"/>
            <w:shd w:val="clear" w:color="auto" w:fill="auto"/>
            <w:vAlign w:val="center"/>
          </w:tcPr>
          <w:p w14:paraId="776FE626">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资金使用合规性</w:t>
            </w:r>
          </w:p>
        </w:tc>
        <w:tc>
          <w:tcPr>
            <w:tcW w:w="1250" w:type="pct"/>
            <w:shd w:val="clear" w:color="auto" w:fill="auto"/>
            <w:vAlign w:val="center"/>
          </w:tcPr>
          <w:p w14:paraId="1ADD375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=合规</w:t>
            </w:r>
          </w:p>
        </w:tc>
      </w:tr>
      <w:tr w14:paraId="6B79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74" w:type="pct"/>
            <w:shd w:val="clear" w:color="auto" w:fill="auto"/>
            <w:vAlign w:val="center"/>
          </w:tcPr>
          <w:p w14:paraId="19662D00">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产出指标</w:t>
            </w:r>
          </w:p>
        </w:tc>
        <w:tc>
          <w:tcPr>
            <w:tcW w:w="1069" w:type="pct"/>
            <w:shd w:val="clear" w:color="auto" w:fill="auto"/>
            <w:vAlign w:val="center"/>
          </w:tcPr>
          <w:p w14:paraId="7FD91E01">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时效指标</w:t>
            </w:r>
          </w:p>
        </w:tc>
        <w:tc>
          <w:tcPr>
            <w:tcW w:w="1708" w:type="pct"/>
            <w:shd w:val="clear" w:color="auto" w:fill="auto"/>
            <w:vAlign w:val="center"/>
          </w:tcPr>
          <w:p w14:paraId="476117BB">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资金拨付的及时率</w:t>
            </w:r>
          </w:p>
        </w:tc>
        <w:tc>
          <w:tcPr>
            <w:tcW w:w="1250" w:type="pct"/>
            <w:shd w:val="clear" w:color="auto" w:fill="auto"/>
            <w:vAlign w:val="center"/>
          </w:tcPr>
          <w:p w14:paraId="72D83513">
            <w:pPr>
              <w:widowControl w:val="0"/>
              <w:overflowPunct w:val="0"/>
              <w:spacing w:line="408" w:lineRule="auto"/>
              <w:jc w:val="center"/>
              <w:rPr>
                <w:rFonts w:hint="eastAsia" w:ascii="仿宋" w:hAnsi="仿宋" w:eastAsia="仿宋" w:cs="仿宋"/>
                <w:color w:val="auto"/>
                <w:spacing w:val="-8"/>
                <w:sz w:val="18"/>
                <w:szCs w:val="28"/>
                <w:lang w:eastAsia="zh-CN"/>
              </w:rPr>
            </w:pPr>
            <w:r>
              <w:rPr>
                <w:rFonts w:hint="eastAsia" w:ascii="仿宋" w:hAnsi="仿宋" w:eastAsia="仿宋" w:cs="仿宋"/>
                <w:color w:val="auto"/>
                <w:spacing w:val="-8"/>
                <w:sz w:val="18"/>
                <w:szCs w:val="28"/>
                <w:lang w:eastAsia="zh-CN"/>
              </w:rPr>
              <w:t>=100%</w:t>
            </w:r>
          </w:p>
        </w:tc>
      </w:tr>
      <w:bookmarkEnd w:id="73"/>
    </w:tbl>
    <w:p w14:paraId="1FD170CC">
      <w:pPr>
        <w:widowControl w:val="0"/>
        <w:overflowPunct w:val="0"/>
        <w:snapToGrid/>
        <w:spacing w:line="408" w:lineRule="auto"/>
        <w:ind w:firstLine="530" w:firstLineChars="200"/>
        <w:outlineLvl w:val="0"/>
        <w:rPr>
          <w:rFonts w:hint="eastAsia" w:ascii="仿宋" w:hAnsi="仿宋" w:eastAsia="仿宋" w:cs="仿宋"/>
          <w:b/>
          <w:color w:val="auto"/>
          <w:sz w:val="28"/>
          <w:szCs w:val="28"/>
          <w:lang w:eastAsia="zh-CN"/>
        </w:rPr>
      </w:pPr>
      <w:bookmarkStart w:id="75" w:name="bookmark21"/>
      <w:bookmarkEnd w:id="75"/>
      <w:bookmarkStart w:id="76" w:name="bookmark20"/>
      <w:bookmarkEnd w:id="76"/>
      <w:bookmarkStart w:id="77" w:name="_Toc181558007"/>
      <w:bookmarkStart w:id="78" w:name="_Toc182904001"/>
      <w:r>
        <w:rPr>
          <w:rFonts w:hint="eastAsia" w:ascii="仿宋" w:hAnsi="仿宋" w:eastAsia="仿宋" w:cs="仿宋"/>
          <w:b/>
          <w:color w:val="auto"/>
          <w:spacing w:val="-8"/>
          <w:sz w:val="28"/>
          <w:szCs w:val="28"/>
          <w:lang w:eastAsia="zh-CN"/>
          <w14:textOutline w14:w="5105" w14:cap="sq" w14:cmpd="sng" w14:algn="ctr">
            <w14:solidFill>
              <w14:srgbClr w14:val="333333"/>
            </w14:solidFill>
            <w14:prstDash w14:val="solid"/>
            <w14:bevel/>
          </w14:textOutline>
        </w:rPr>
        <w:t>四、评价思路</w:t>
      </w:r>
      <w:bookmarkEnd w:id="77"/>
      <w:bookmarkEnd w:id="78"/>
    </w:p>
    <w:p w14:paraId="40E101E0">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79" w:name="_Toc182904002"/>
      <w:bookmarkStart w:id="80" w:name="_Toc181558008"/>
      <w:r>
        <w:rPr>
          <w:rFonts w:hint="eastAsia" w:ascii="仿宋" w:hAnsi="仿宋" w:eastAsia="仿宋" w:cs="仿宋"/>
          <w:b/>
          <w:color w:val="auto"/>
          <w:spacing w:val="3"/>
          <w:sz w:val="28"/>
          <w:szCs w:val="28"/>
          <w:lang w:eastAsia="zh-CN"/>
        </w:rPr>
        <w:t>（一）评价目的</w:t>
      </w:r>
      <w:bookmarkEnd w:id="79"/>
      <w:bookmarkEnd w:id="80"/>
    </w:p>
    <w:p w14:paraId="1311B7F5">
      <w:pPr>
        <w:widowControl w:val="0"/>
        <w:overflowPunct w:val="0"/>
        <w:snapToGrid/>
        <w:spacing w:line="408" w:lineRule="auto"/>
        <w:ind w:firstLine="572" w:firstLineChars="200"/>
        <w:jc w:val="both"/>
        <w:rPr>
          <w:rFonts w:hint="eastAsia" w:ascii="仿宋" w:hAnsi="仿宋" w:eastAsia="仿宋" w:cs="仿宋"/>
          <w:color w:val="auto"/>
          <w:sz w:val="28"/>
          <w:szCs w:val="28"/>
          <w:lang w:eastAsia="zh-CN"/>
        </w:rPr>
      </w:pPr>
      <w:bookmarkStart w:id="81" w:name="_Toc17906"/>
      <w:bookmarkStart w:id="82" w:name="_Toc10724"/>
      <w:r>
        <w:rPr>
          <w:rFonts w:hint="eastAsia" w:ascii="仿宋" w:hAnsi="仿宋" w:eastAsia="仿宋" w:cs="仿宋"/>
          <w:color w:val="auto"/>
          <w:spacing w:val="3"/>
          <w:sz w:val="28"/>
          <w:szCs w:val="28"/>
          <w:lang w:eastAsia="zh-CN"/>
        </w:rPr>
        <w:t>为深入贯彻落实中共中央国务院《关于全面实施预算绩效管理的意</w:t>
      </w:r>
      <w:bookmarkEnd w:id="81"/>
      <w:bookmarkEnd w:id="82"/>
      <w:r>
        <w:rPr>
          <w:rFonts w:hint="eastAsia" w:ascii="仿宋" w:hAnsi="仿宋" w:eastAsia="仿宋" w:cs="仿宋"/>
          <w:color w:val="auto"/>
          <w:spacing w:val="-2"/>
          <w:sz w:val="28"/>
          <w:szCs w:val="28"/>
          <w:lang w:eastAsia="zh-CN"/>
        </w:rPr>
        <w:t>见》相关要求，根据泉州市洛江区财政局安排，对2023</w:t>
      </w:r>
      <w:r>
        <w:rPr>
          <w:rFonts w:hint="eastAsia" w:ascii="仿宋" w:hAnsi="仿宋" w:eastAsia="仿宋" w:cs="仿宋"/>
          <w:color w:val="auto"/>
          <w:spacing w:val="-3"/>
          <w:sz w:val="28"/>
          <w:szCs w:val="28"/>
          <w:lang w:eastAsia="zh-CN"/>
        </w:rPr>
        <w:t>年度泉州市洛江区应急管理局</w:t>
      </w:r>
      <w:r>
        <w:rPr>
          <w:rFonts w:hint="eastAsia" w:ascii="仿宋" w:hAnsi="仿宋" w:eastAsia="仿宋" w:cs="仿宋"/>
          <w:color w:val="auto"/>
          <w:spacing w:val="3"/>
          <w:sz w:val="28"/>
          <w:szCs w:val="28"/>
          <w:lang w:eastAsia="zh-CN"/>
        </w:rPr>
        <w:t>部门整体绩效情况开展评价，以全面反映部门在预算管理中的状况，促进部门总结经验、发现问题、提出建议、改进工作，为部门科学决策、规范管理提供参考，进一步加强预算管理，提高财政资源配置效</w:t>
      </w:r>
      <w:r>
        <w:rPr>
          <w:rFonts w:hint="eastAsia" w:ascii="仿宋" w:hAnsi="仿宋" w:eastAsia="仿宋" w:cs="仿宋"/>
          <w:color w:val="auto"/>
          <w:spacing w:val="-4"/>
          <w:sz w:val="28"/>
          <w:szCs w:val="28"/>
          <w:lang w:eastAsia="zh-CN"/>
        </w:rPr>
        <w:t>率和使用效益。</w:t>
      </w:r>
    </w:p>
    <w:p w14:paraId="29CAF3B8">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83" w:name="bookmark22"/>
      <w:bookmarkEnd w:id="83"/>
      <w:bookmarkStart w:id="84" w:name="_Toc181558009"/>
      <w:bookmarkStart w:id="85" w:name="_Toc182904003"/>
      <w:r>
        <w:rPr>
          <w:rFonts w:hint="eastAsia" w:ascii="仿宋" w:hAnsi="仿宋" w:eastAsia="仿宋" w:cs="仿宋"/>
          <w:b/>
          <w:color w:val="auto"/>
          <w:spacing w:val="3"/>
          <w:sz w:val="28"/>
          <w:szCs w:val="28"/>
          <w:lang w:eastAsia="zh-CN"/>
        </w:rPr>
        <w:t>（二）评价对象及范围</w:t>
      </w:r>
      <w:bookmarkEnd w:id="84"/>
      <w:bookmarkEnd w:id="85"/>
    </w:p>
    <w:p w14:paraId="69F498C8">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86" w:name="_Toc23609"/>
      <w:bookmarkStart w:id="87" w:name="_Toc15650"/>
      <w:r>
        <w:rPr>
          <w:rFonts w:hint="eastAsia" w:ascii="仿宋" w:hAnsi="仿宋" w:eastAsia="仿宋" w:cs="仿宋"/>
          <w:color w:val="auto"/>
          <w:spacing w:val="3"/>
          <w:sz w:val="28"/>
          <w:szCs w:val="28"/>
          <w:lang w:eastAsia="zh-CN"/>
        </w:rPr>
        <w:t>评价对象为泉州市洛江区应急管理局。</w:t>
      </w:r>
      <w:bookmarkEnd w:id="86"/>
      <w:bookmarkEnd w:id="87"/>
    </w:p>
    <w:p w14:paraId="679620AC">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88" w:name="_Toc20004"/>
      <w:bookmarkStart w:id="89" w:name="_Toc12666"/>
      <w:r>
        <w:rPr>
          <w:rFonts w:hint="eastAsia" w:ascii="仿宋" w:hAnsi="仿宋" w:eastAsia="仿宋" w:cs="仿宋"/>
          <w:color w:val="auto"/>
          <w:spacing w:val="3"/>
          <w:sz w:val="28"/>
          <w:szCs w:val="28"/>
          <w:lang w:eastAsia="zh-CN"/>
        </w:rPr>
        <w:t>评价时间范围：2023年1月至2023年12月。</w:t>
      </w:r>
      <w:bookmarkEnd w:id="88"/>
      <w:bookmarkEnd w:id="89"/>
    </w:p>
    <w:p w14:paraId="05705588">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90" w:name="bookmark23"/>
      <w:bookmarkEnd w:id="90"/>
      <w:bookmarkStart w:id="91" w:name="_Toc181558010"/>
      <w:bookmarkStart w:id="92" w:name="_Toc182904004"/>
      <w:r>
        <w:rPr>
          <w:rFonts w:hint="eastAsia" w:ascii="仿宋" w:hAnsi="仿宋" w:eastAsia="仿宋" w:cs="仿宋"/>
          <w:b/>
          <w:color w:val="auto"/>
          <w:spacing w:val="3"/>
          <w:sz w:val="28"/>
          <w:szCs w:val="28"/>
          <w:lang w:eastAsia="zh-CN"/>
        </w:rPr>
        <w:t>（三）评价依据</w:t>
      </w:r>
      <w:bookmarkEnd w:id="91"/>
      <w:bookmarkEnd w:id="92"/>
    </w:p>
    <w:p w14:paraId="418DFD3A">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93" w:name="_Toc2579"/>
      <w:bookmarkStart w:id="94" w:name="_Toc31953"/>
      <w:bookmarkStart w:id="95" w:name="_Toc998"/>
      <w:r>
        <w:rPr>
          <w:rFonts w:hint="eastAsia" w:ascii="仿宋" w:hAnsi="仿宋" w:eastAsia="仿宋" w:cs="仿宋"/>
          <w:color w:val="auto"/>
          <w:spacing w:val="3"/>
          <w:sz w:val="28"/>
          <w:szCs w:val="28"/>
          <w:lang w:eastAsia="zh-CN"/>
        </w:rPr>
        <w:t>1.《中华人民共和国预算法》；</w:t>
      </w:r>
      <w:bookmarkEnd w:id="93"/>
      <w:bookmarkEnd w:id="94"/>
      <w:bookmarkEnd w:id="95"/>
    </w:p>
    <w:p w14:paraId="7F386419">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2.《中共中央</w:t>
      </w:r>
      <w:r>
        <w:rPr>
          <w:rFonts w:hint="eastAsia" w:ascii="仿宋" w:hAnsi="仿宋" w:eastAsia="仿宋" w:cs="仿宋"/>
          <w:color w:val="auto"/>
          <w:spacing w:val="3"/>
          <w:sz w:val="28"/>
          <w:szCs w:val="28"/>
          <w:lang w:val="en-US" w:eastAsia="zh-CN"/>
        </w:rPr>
        <w:t xml:space="preserve"> </w:t>
      </w:r>
      <w:r>
        <w:rPr>
          <w:rFonts w:hint="eastAsia" w:ascii="仿宋" w:hAnsi="仿宋" w:eastAsia="仿宋" w:cs="仿宋"/>
          <w:color w:val="auto"/>
          <w:spacing w:val="3"/>
          <w:sz w:val="28"/>
          <w:szCs w:val="28"/>
          <w:lang w:eastAsia="zh-CN"/>
        </w:rPr>
        <w:t>国务院关于全面实施预算绩效管理的意见》（中发〔2018〕34号）；</w:t>
      </w:r>
    </w:p>
    <w:p w14:paraId="3164FE9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96" w:name="_Toc29253"/>
      <w:r>
        <w:rPr>
          <w:rFonts w:hint="eastAsia" w:ascii="仿宋" w:hAnsi="仿宋" w:eastAsia="仿宋" w:cs="仿宋"/>
          <w:color w:val="auto"/>
          <w:spacing w:val="3"/>
          <w:sz w:val="28"/>
          <w:szCs w:val="28"/>
          <w:lang w:eastAsia="zh-CN"/>
        </w:rPr>
        <w:t>3.《财政部关于印发〈预算绩效评价共性指标体系框架〉的通知》</w:t>
      </w:r>
      <w:bookmarkEnd w:id="96"/>
      <w:r>
        <w:rPr>
          <w:rFonts w:hint="eastAsia" w:ascii="仿宋" w:hAnsi="仿宋" w:eastAsia="仿宋" w:cs="仿宋"/>
          <w:color w:val="auto"/>
          <w:spacing w:val="3"/>
          <w:sz w:val="28"/>
          <w:szCs w:val="28"/>
          <w:lang w:eastAsia="zh-CN"/>
        </w:rPr>
        <w:t>（财预〔2013〕53号）；</w:t>
      </w:r>
    </w:p>
    <w:p w14:paraId="0A884CF7">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4.《财政部关于印发〈项目支出绩效评价管理办法〉的通知》（财预〔2020〕10号）；</w:t>
      </w:r>
    </w:p>
    <w:p w14:paraId="29FD4C3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97" w:name="_Toc29396"/>
      <w:bookmarkStart w:id="98" w:name="_Toc7635"/>
      <w:r>
        <w:rPr>
          <w:rFonts w:hint="eastAsia" w:ascii="仿宋" w:hAnsi="仿宋" w:eastAsia="仿宋" w:cs="仿宋"/>
          <w:color w:val="auto"/>
          <w:spacing w:val="3"/>
          <w:sz w:val="28"/>
          <w:szCs w:val="28"/>
          <w:lang w:eastAsia="zh-CN"/>
        </w:rPr>
        <w:t>5.《中共福建省委</w:t>
      </w:r>
      <w:r>
        <w:rPr>
          <w:rFonts w:hint="eastAsia" w:ascii="仿宋" w:hAnsi="仿宋" w:eastAsia="仿宋" w:cs="仿宋"/>
          <w:color w:val="auto"/>
          <w:spacing w:val="3"/>
          <w:sz w:val="28"/>
          <w:szCs w:val="28"/>
          <w:lang w:val="en-US" w:eastAsia="zh-CN"/>
        </w:rPr>
        <w:t xml:space="preserve"> </w:t>
      </w:r>
      <w:r>
        <w:rPr>
          <w:rFonts w:hint="eastAsia" w:ascii="仿宋" w:hAnsi="仿宋" w:eastAsia="仿宋" w:cs="仿宋"/>
          <w:color w:val="auto"/>
          <w:spacing w:val="3"/>
          <w:sz w:val="28"/>
          <w:szCs w:val="28"/>
          <w:lang w:eastAsia="zh-CN"/>
        </w:rPr>
        <w:t>福建省人民政府印发〈关于全面实施预算绩效管</w:t>
      </w:r>
      <w:bookmarkEnd w:id="97"/>
      <w:bookmarkEnd w:id="98"/>
      <w:r>
        <w:rPr>
          <w:rFonts w:hint="eastAsia" w:ascii="仿宋" w:hAnsi="仿宋" w:eastAsia="仿宋" w:cs="仿宋"/>
          <w:color w:val="auto"/>
          <w:spacing w:val="3"/>
          <w:sz w:val="28"/>
          <w:szCs w:val="28"/>
          <w:lang w:eastAsia="zh-CN"/>
        </w:rPr>
        <w:t>理的实施意见〉的通知》（闽委发〔2019〕5号）；</w:t>
      </w:r>
    </w:p>
    <w:p w14:paraId="756295F3">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99" w:name="_Toc9619"/>
      <w:r>
        <w:rPr>
          <w:rFonts w:hint="eastAsia" w:ascii="仿宋" w:hAnsi="仿宋" w:eastAsia="仿宋" w:cs="仿宋"/>
          <w:color w:val="auto"/>
          <w:spacing w:val="3"/>
          <w:sz w:val="28"/>
          <w:szCs w:val="28"/>
          <w:lang w:eastAsia="zh-CN"/>
        </w:rPr>
        <w:t>6.《福建省财政厅转发财政部关于加强地方预算执行管理加快支出</w:t>
      </w:r>
      <w:bookmarkEnd w:id="99"/>
      <w:bookmarkStart w:id="100" w:name="_Toc10883"/>
      <w:r>
        <w:rPr>
          <w:rFonts w:hint="eastAsia" w:ascii="仿宋" w:hAnsi="仿宋" w:eastAsia="仿宋" w:cs="仿宋"/>
          <w:color w:val="auto"/>
          <w:spacing w:val="3"/>
          <w:sz w:val="28"/>
          <w:szCs w:val="28"/>
          <w:lang w:eastAsia="zh-CN"/>
        </w:rPr>
        <w:t>进度的通知》（闽财预〔2018〕20号）；</w:t>
      </w:r>
      <w:bookmarkEnd w:id="100"/>
    </w:p>
    <w:p w14:paraId="6F1720C7">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01" w:name="_Toc31990"/>
      <w:r>
        <w:rPr>
          <w:rFonts w:hint="eastAsia" w:ascii="仿宋" w:hAnsi="仿宋" w:eastAsia="仿宋" w:cs="仿宋"/>
          <w:color w:val="auto"/>
          <w:spacing w:val="3"/>
          <w:sz w:val="28"/>
          <w:szCs w:val="28"/>
          <w:lang w:val="en-US" w:eastAsia="zh-CN"/>
        </w:rPr>
        <w:t>7</w:t>
      </w:r>
      <w:r>
        <w:rPr>
          <w:rFonts w:hint="eastAsia" w:ascii="仿宋" w:hAnsi="仿宋" w:eastAsia="仿宋" w:cs="仿宋"/>
          <w:color w:val="auto"/>
          <w:spacing w:val="3"/>
          <w:sz w:val="28"/>
          <w:szCs w:val="28"/>
          <w:lang w:eastAsia="zh-CN"/>
        </w:rPr>
        <w:t>.《福建省财政厅关于全面实施预算绩效管理若干措施的通知》（闽</w:t>
      </w:r>
      <w:bookmarkEnd w:id="101"/>
      <w:bookmarkStart w:id="102" w:name="_Toc24483"/>
      <w:r>
        <w:rPr>
          <w:rFonts w:hint="eastAsia" w:ascii="仿宋" w:hAnsi="仿宋" w:eastAsia="仿宋" w:cs="仿宋"/>
          <w:color w:val="auto"/>
          <w:spacing w:val="3"/>
          <w:sz w:val="28"/>
          <w:szCs w:val="28"/>
          <w:lang w:eastAsia="zh-CN"/>
        </w:rPr>
        <w:t>财绩〔2019〕2号）；</w:t>
      </w:r>
      <w:bookmarkEnd w:id="102"/>
    </w:p>
    <w:p w14:paraId="655152A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03" w:name="_Toc27873"/>
      <w:r>
        <w:rPr>
          <w:rFonts w:hint="eastAsia" w:ascii="仿宋" w:hAnsi="仿宋" w:eastAsia="仿宋" w:cs="仿宋"/>
          <w:color w:val="auto"/>
          <w:spacing w:val="3"/>
          <w:sz w:val="28"/>
          <w:szCs w:val="28"/>
          <w:lang w:val="en-US" w:eastAsia="zh-CN"/>
        </w:rPr>
        <w:t>8</w:t>
      </w:r>
      <w:r>
        <w:rPr>
          <w:rFonts w:hint="eastAsia" w:ascii="仿宋" w:hAnsi="仿宋" w:eastAsia="仿宋" w:cs="仿宋"/>
          <w:color w:val="auto"/>
          <w:spacing w:val="3"/>
          <w:sz w:val="28"/>
          <w:szCs w:val="28"/>
          <w:lang w:eastAsia="zh-CN"/>
        </w:rPr>
        <w:t>.《泉州市财政局关于印发〈委托第三方参与财政支出绩效评价工</w:t>
      </w:r>
      <w:bookmarkEnd w:id="103"/>
      <w:bookmarkStart w:id="104" w:name="_Toc3655"/>
      <w:bookmarkStart w:id="105" w:name="_Toc26009"/>
      <w:r>
        <w:rPr>
          <w:rFonts w:hint="eastAsia" w:ascii="仿宋" w:hAnsi="仿宋" w:eastAsia="仿宋" w:cs="仿宋"/>
          <w:color w:val="auto"/>
          <w:spacing w:val="3"/>
          <w:sz w:val="28"/>
          <w:szCs w:val="28"/>
          <w:lang w:eastAsia="zh-CN"/>
        </w:rPr>
        <w:t>作管理暂行规定〉的通知》（泉财预〔2017〕228号）；</w:t>
      </w:r>
      <w:bookmarkEnd w:id="104"/>
      <w:bookmarkEnd w:id="105"/>
    </w:p>
    <w:p w14:paraId="7BDC9AE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06" w:name="_Toc13829"/>
      <w:r>
        <w:rPr>
          <w:rFonts w:hint="eastAsia" w:ascii="仿宋" w:hAnsi="仿宋" w:eastAsia="仿宋" w:cs="仿宋"/>
          <w:color w:val="auto"/>
          <w:spacing w:val="3"/>
          <w:sz w:val="28"/>
          <w:szCs w:val="28"/>
          <w:lang w:val="en-US" w:eastAsia="zh-CN"/>
        </w:rPr>
        <w:t>9</w:t>
      </w:r>
      <w:r>
        <w:rPr>
          <w:rFonts w:hint="eastAsia" w:ascii="仿宋" w:hAnsi="仿宋" w:eastAsia="仿宋" w:cs="仿宋"/>
          <w:color w:val="auto"/>
          <w:spacing w:val="3"/>
          <w:sz w:val="28"/>
          <w:szCs w:val="28"/>
          <w:lang w:eastAsia="zh-CN"/>
        </w:rPr>
        <w:t>.经济社会发展目标、部门职责相关规定、部门发展规划、年度工作计划、重点任务及重大政策和项目安排情况、相关行业政策、行业标准及专业技术规范、预算管理制度及办法，项目及资金管理办法、财务和会计资料、审计报告等。</w:t>
      </w:r>
      <w:bookmarkEnd w:id="106"/>
    </w:p>
    <w:p w14:paraId="593029CC">
      <w:pPr>
        <w:widowControl w:val="0"/>
        <w:overflowPunct w:val="0"/>
        <w:snapToGrid/>
        <w:spacing w:line="408" w:lineRule="auto"/>
        <w:ind w:firstLine="554" w:firstLineChars="200"/>
        <w:jc w:val="both"/>
        <w:outlineLvl w:val="1"/>
        <w:rPr>
          <w:rFonts w:hint="eastAsia" w:ascii="仿宋" w:hAnsi="仿宋" w:eastAsia="仿宋" w:cs="仿宋"/>
          <w:b/>
          <w:color w:val="auto"/>
          <w:spacing w:val="-2"/>
          <w:sz w:val="28"/>
          <w:szCs w:val="28"/>
          <w:lang w:eastAsia="zh-CN"/>
        </w:rPr>
      </w:pPr>
      <w:bookmarkStart w:id="107" w:name="bookmark24"/>
      <w:bookmarkEnd w:id="107"/>
      <w:bookmarkStart w:id="108" w:name="_Toc182904005"/>
      <w:bookmarkStart w:id="109" w:name="_Toc181558011"/>
      <w:r>
        <w:rPr>
          <w:rFonts w:hint="eastAsia" w:ascii="仿宋" w:hAnsi="仿宋" w:eastAsia="仿宋" w:cs="仿宋"/>
          <w:b/>
          <w:color w:val="auto"/>
          <w:spacing w:val="-2"/>
          <w:sz w:val="28"/>
          <w:szCs w:val="28"/>
          <w:lang w:eastAsia="zh-CN"/>
        </w:rPr>
        <w:t>（四）评价原则</w:t>
      </w:r>
      <w:bookmarkEnd w:id="108"/>
      <w:bookmarkEnd w:id="109"/>
    </w:p>
    <w:p w14:paraId="27C05DD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1.具体性原则。所制定的目标必须具体明确，不能含糊不清，模棱两可。设计指标时，尽量予以量化，减少定性的数量，如确实需要设置定性指标时，可以考虑专家评议、问卷、随机走访周边群众、实地观察等方式收集资料，然后予以确认。</w:t>
      </w:r>
    </w:p>
    <w:p w14:paraId="19DCB5B5">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2.可衡量性原则。所制定的目标必须能够通过某定量或定性的方法予以衡量和判定。</w:t>
      </w:r>
    </w:p>
    <w:p w14:paraId="4333A7DC">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10" w:name="_Toc18949"/>
      <w:r>
        <w:rPr>
          <w:rFonts w:hint="eastAsia" w:ascii="仿宋" w:hAnsi="仿宋" w:eastAsia="仿宋" w:cs="仿宋"/>
          <w:color w:val="auto"/>
          <w:spacing w:val="3"/>
          <w:sz w:val="28"/>
          <w:szCs w:val="28"/>
          <w:lang w:eastAsia="zh-CN"/>
        </w:rPr>
        <w:t>3.可实现性原则。所制定的目标必须符合实际，并且可以通过执行</w:t>
      </w:r>
      <w:bookmarkEnd w:id="110"/>
      <w:r>
        <w:rPr>
          <w:rFonts w:hint="eastAsia" w:ascii="仿宋" w:hAnsi="仿宋" w:eastAsia="仿宋" w:cs="仿宋"/>
          <w:color w:val="auto"/>
          <w:spacing w:val="3"/>
          <w:sz w:val="28"/>
          <w:szCs w:val="28"/>
          <w:lang w:eastAsia="zh-CN"/>
        </w:rPr>
        <w:t>人的努力而实现，不能把目标定得太高太难。</w:t>
      </w:r>
    </w:p>
    <w:p w14:paraId="2FBB8B39">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4.相关性原则。确定的绩效评价指标应当与专项资金立项依据文件、绩效目标有直接的联系，能够恰当反映目标的实现程度，而与立项依据文件、绩效目标无关的指标不应列入评价体系。设计指标要充分考虑项目设立时预期达到的目的。</w:t>
      </w:r>
    </w:p>
    <w:p w14:paraId="48D8DD8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11" w:name="_Toc23071"/>
      <w:bookmarkStart w:id="112" w:name="_Toc10271"/>
      <w:bookmarkStart w:id="113" w:name="_Toc7760"/>
      <w:r>
        <w:rPr>
          <w:rFonts w:hint="eastAsia" w:ascii="仿宋" w:hAnsi="仿宋" w:eastAsia="仿宋" w:cs="仿宋"/>
          <w:color w:val="auto"/>
          <w:spacing w:val="3"/>
          <w:sz w:val="28"/>
          <w:szCs w:val="28"/>
          <w:lang w:eastAsia="zh-CN"/>
        </w:rPr>
        <w:t>5.时限性原则。绩效目标的实现有时间限制。</w:t>
      </w:r>
      <w:bookmarkEnd w:id="111"/>
      <w:bookmarkEnd w:id="112"/>
      <w:bookmarkEnd w:id="113"/>
    </w:p>
    <w:p w14:paraId="42B84DE1">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6.经济性原则。指标需要的数据容易获取，获取成本低，符合成本效益原则。</w:t>
      </w:r>
    </w:p>
    <w:p w14:paraId="33907A8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14" w:name="_Toc32070"/>
      <w:r>
        <w:rPr>
          <w:rFonts w:hint="eastAsia" w:ascii="仿宋" w:hAnsi="仿宋" w:eastAsia="仿宋" w:cs="仿宋"/>
          <w:color w:val="auto"/>
          <w:spacing w:val="3"/>
          <w:sz w:val="28"/>
          <w:szCs w:val="28"/>
          <w:lang w:eastAsia="zh-CN"/>
        </w:rPr>
        <w:t>7.可比性原则。为了便于纵向和横向的比较，所选指标尽量考虑共</w:t>
      </w:r>
      <w:bookmarkEnd w:id="114"/>
      <w:r>
        <w:rPr>
          <w:rFonts w:hint="eastAsia" w:ascii="仿宋" w:hAnsi="仿宋" w:eastAsia="仿宋" w:cs="仿宋"/>
          <w:color w:val="auto"/>
          <w:spacing w:val="3"/>
          <w:sz w:val="28"/>
          <w:szCs w:val="28"/>
          <w:lang w:eastAsia="zh-CN"/>
        </w:rPr>
        <w:t>性的指标，以便于评价结果可以相互比较。</w:t>
      </w:r>
    </w:p>
    <w:p w14:paraId="48B9FD1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8.分级分类原则。指标不要设计过多，尽量以最少的指标涵盖主要评价内容，指标之间避免或减少重复性，必要时可以采用关键指标法进行筛选。</w:t>
      </w:r>
    </w:p>
    <w:p w14:paraId="22301A7A">
      <w:pPr>
        <w:widowControl w:val="0"/>
        <w:overflowPunct w:val="0"/>
        <w:snapToGrid/>
        <w:spacing w:line="408" w:lineRule="auto"/>
        <w:ind w:firstLine="572" w:firstLineChars="200"/>
        <w:jc w:val="both"/>
        <w:rPr>
          <w:rFonts w:hint="eastAsia" w:ascii="仿宋" w:hAnsi="仿宋" w:eastAsia="仿宋" w:cs="仿宋"/>
          <w:color w:val="auto"/>
          <w:sz w:val="28"/>
          <w:szCs w:val="28"/>
          <w:lang w:eastAsia="zh-CN"/>
        </w:rPr>
      </w:pPr>
      <w:bookmarkStart w:id="115" w:name="_Toc29983"/>
      <w:r>
        <w:rPr>
          <w:rFonts w:hint="eastAsia" w:ascii="仿宋" w:hAnsi="仿宋" w:eastAsia="仿宋" w:cs="仿宋"/>
          <w:color w:val="auto"/>
          <w:spacing w:val="3"/>
          <w:sz w:val="28"/>
          <w:szCs w:val="28"/>
          <w:lang w:eastAsia="zh-CN"/>
        </w:rPr>
        <w:t>9.系统性原则。所选择的指标应加以提炼，尽可能涵盖主要评价内</w:t>
      </w:r>
      <w:bookmarkEnd w:id="115"/>
      <w:r>
        <w:rPr>
          <w:rFonts w:hint="eastAsia" w:ascii="仿宋" w:hAnsi="仿宋" w:eastAsia="仿宋" w:cs="仿宋"/>
          <w:color w:val="auto"/>
          <w:spacing w:val="3"/>
          <w:sz w:val="28"/>
          <w:szCs w:val="28"/>
          <w:lang w:eastAsia="zh-CN"/>
        </w:rPr>
        <w:t>容，主要部分应以细化指标予以反映。当项目支出明细很多时，应适当根据项目特征对项目进行归类，指标设计时应重点考虑那些金额大、可衡量和项目预期总目标贴合的明细支出，并对其进行深入了解，从中</w:t>
      </w:r>
      <w:r>
        <w:rPr>
          <w:rFonts w:hint="eastAsia" w:ascii="仿宋" w:hAnsi="仿宋" w:eastAsia="仿宋" w:cs="仿宋"/>
          <w:color w:val="auto"/>
          <w:spacing w:val="-1"/>
          <w:sz w:val="28"/>
          <w:szCs w:val="28"/>
          <w:lang w:eastAsia="zh-CN"/>
        </w:rPr>
        <w:t>挖掘出可以反映这些明细项目的指标。</w:t>
      </w:r>
    </w:p>
    <w:p w14:paraId="2A74851A">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10.可理解性原则。指标的设定和命名应通俗易懂，必要时应加以备注，执行人在执行时不容易产生歧义。</w:t>
      </w:r>
    </w:p>
    <w:p w14:paraId="5322F48F">
      <w:pPr>
        <w:widowControl w:val="0"/>
        <w:overflowPunct w:val="0"/>
        <w:snapToGrid/>
        <w:spacing w:line="408" w:lineRule="auto"/>
        <w:ind w:firstLine="554" w:firstLineChars="200"/>
        <w:jc w:val="both"/>
        <w:outlineLvl w:val="1"/>
        <w:rPr>
          <w:rFonts w:hint="eastAsia" w:ascii="仿宋" w:hAnsi="仿宋" w:eastAsia="仿宋" w:cs="仿宋"/>
          <w:b/>
          <w:bCs/>
          <w:color w:val="auto"/>
          <w:sz w:val="28"/>
          <w:szCs w:val="28"/>
          <w:lang w:eastAsia="zh-CN"/>
        </w:rPr>
      </w:pPr>
      <w:bookmarkStart w:id="116" w:name="bookmark25"/>
      <w:bookmarkEnd w:id="116"/>
      <w:bookmarkStart w:id="117" w:name="_Toc182904006"/>
      <w:bookmarkStart w:id="118" w:name="_Toc181558012"/>
      <w:r>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t>（五）评价方法</w:t>
      </w:r>
      <w:bookmarkEnd w:id="117"/>
      <w:bookmarkEnd w:id="118"/>
    </w:p>
    <w:p w14:paraId="7F0D020A">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绩效评价方法是指在绩效评价实施过程中为了取得被评价的预算支出项目、单位基础数据和资金使用绩效情况，完成绩效评价任务而采取的各种手段。整体绩效评价的方法主要包括成本效益分析法、比较法、因素分析法、最低成本法、公众评判法、标杆管理法等。根据评价对象的具体情况，可采用一种或多种方法。</w:t>
      </w:r>
    </w:p>
    <w:p w14:paraId="31142FA5">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19" w:name="_Toc2649"/>
      <w:r>
        <w:rPr>
          <w:rFonts w:hint="eastAsia" w:ascii="仿宋" w:hAnsi="仿宋" w:eastAsia="仿宋" w:cs="仿宋"/>
          <w:color w:val="auto"/>
          <w:spacing w:val="3"/>
          <w:sz w:val="28"/>
          <w:szCs w:val="28"/>
          <w:lang w:eastAsia="zh-CN"/>
        </w:rPr>
        <w:t>1.成本效益分析法，是指将投入与产出、效益进行关联性分析的方</w:t>
      </w:r>
      <w:bookmarkEnd w:id="119"/>
      <w:r>
        <w:rPr>
          <w:rFonts w:hint="eastAsia" w:ascii="仿宋" w:hAnsi="仿宋" w:eastAsia="仿宋" w:cs="仿宋"/>
          <w:color w:val="auto"/>
          <w:spacing w:val="3"/>
          <w:sz w:val="28"/>
          <w:szCs w:val="28"/>
          <w:lang w:eastAsia="zh-CN"/>
        </w:rPr>
        <w:t>法。</w:t>
      </w:r>
    </w:p>
    <w:p w14:paraId="6E74AA13">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20" w:name="_Toc3340"/>
      <w:r>
        <w:rPr>
          <w:rFonts w:hint="eastAsia" w:ascii="仿宋" w:hAnsi="仿宋" w:eastAsia="仿宋" w:cs="仿宋"/>
          <w:color w:val="auto"/>
          <w:spacing w:val="3"/>
          <w:sz w:val="28"/>
          <w:szCs w:val="28"/>
          <w:lang w:eastAsia="zh-CN"/>
        </w:rPr>
        <w:t>2.比较法，是指将实施情况与绩效目标、历史情况、不同部门和地</w:t>
      </w:r>
      <w:bookmarkEnd w:id="120"/>
      <w:r>
        <w:rPr>
          <w:rFonts w:hint="eastAsia" w:ascii="仿宋" w:hAnsi="仿宋" w:eastAsia="仿宋" w:cs="仿宋"/>
          <w:color w:val="auto"/>
          <w:spacing w:val="3"/>
          <w:sz w:val="28"/>
          <w:szCs w:val="28"/>
          <w:lang w:eastAsia="zh-CN"/>
        </w:rPr>
        <w:t>区同类情况进行比较的方法。</w:t>
      </w:r>
    </w:p>
    <w:p w14:paraId="0CAD92A4">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21" w:name="_Toc30639"/>
      <w:r>
        <w:rPr>
          <w:rFonts w:hint="eastAsia" w:ascii="仿宋" w:hAnsi="仿宋" w:eastAsia="仿宋" w:cs="仿宋"/>
          <w:color w:val="auto"/>
          <w:spacing w:val="3"/>
          <w:sz w:val="28"/>
          <w:szCs w:val="28"/>
          <w:lang w:eastAsia="zh-CN"/>
        </w:rPr>
        <w:t>3.因素分析法，是指综合分析影响绩效目标实现、实施效果的内外</w:t>
      </w:r>
      <w:bookmarkEnd w:id="121"/>
      <w:r>
        <w:rPr>
          <w:rFonts w:hint="eastAsia" w:ascii="仿宋" w:hAnsi="仿宋" w:eastAsia="仿宋" w:cs="仿宋"/>
          <w:color w:val="auto"/>
          <w:spacing w:val="3"/>
          <w:sz w:val="28"/>
          <w:szCs w:val="28"/>
          <w:lang w:eastAsia="zh-CN"/>
        </w:rPr>
        <w:t>部因素的方法。</w:t>
      </w:r>
    </w:p>
    <w:p w14:paraId="79DF5B3E">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22" w:name="_Toc31102"/>
      <w:r>
        <w:rPr>
          <w:rFonts w:hint="eastAsia" w:ascii="仿宋" w:hAnsi="仿宋" w:eastAsia="仿宋" w:cs="仿宋"/>
          <w:color w:val="auto"/>
          <w:spacing w:val="3"/>
          <w:sz w:val="28"/>
          <w:szCs w:val="28"/>
          <w:lang w:eastAsia="zh-CN"/>
        </w:rPr>
        <w:t>4.最低成本法，是指在绩效目标确定的前提下，成本最小者为优的</w:t>
      </w:r>
      <w:bookmarkEnd w:id="122"/>
      <w:r>
        <w:rPr>
          <w:rFonts w:hint="eastAsia" w:ascii="仿宋" w:hAnsi="仿宋" w:eastAsia="仿宋" w:cs="仿宋"/>
          <w:color w:val="auto"/>
          <w:spacing w:val="3"/>
          <w:sz w:val="28"/>
          <w:szCs w:val="28"/>
          <w:lang w:eastAsia="zh-CN"/>
        </w:rPr>
        <w:t>方法。</w:t>
      </w:r>
    </w:p>
    <w:p w14:paraId="08BC462C">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5.公众评判法，是指通过专家评估、公众问卷及抽样调查等方式的方法。</w:t>
      </w:r>
    </w:p>
    <w:p w14:paraId="39DCC82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6.标杆管理法，是指以国内外同行业中较高的绩效水平为标杆</w:t>
      </w:r>
      <w:bookmarkStart w:id="123" w:name="bookmark26"/>
      <w:bookmarkEnd w:id="123"/>
      <w:r>
        <w:rPr>
          <w:rFonts w:hint="eastAsia" w:ascii="仿宋" w:hAnsi="仿宋" w:eastAsia="仿宋" w:cs="仿宋"/>
          <w:color w:val="auto"/>
          <w:spacing w:val="3"/>
          <w:sz w:val="28"/>
          <w:szCs w:val="28"/>
          <w:lang w:eastAsia="zh-CN"/>
        </w:rPr>
        <w:t>评判的方法。</w:t>
      </w:r>
    </w:p>
    <w:p w14:paraId="65F71C30">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本次绩效评价采用了比较法、因素分析法、公众评判法等评价方法。</w:t>
      </w:r>
    </w:p>
    <w:p w14:paraId="54015B17">
      <w:pPr>
        <w:widowControl w:val="0"/>
        <w:overflowPunct w:val="0"/>
        <w:snapToGrid/>
        <w:spacing w:line="408" w:lineRule="auto"/>
        <w:ind w:firstLine="554" w:firstLineChars="200"/>
        <w:jc w:val="both"/>
        <w:outlineLvl w:val="1"/>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pPr>
      <w:bookmarkStart w:id="124" w:name="bookmark27"/>
      <w:bookmarkEnd w:id="124"/>
      <w:bookmarkStart w:id="125" w:name="_Toc182904007"/>
      <w:bookmarkStart w:id="126" w:name="_Toc181558013"/>
      <w:r>
        <w:rPr>
          <w:rFonts w:hint="eastAsia" w:ascii="仿宋" w:hAnsi="仿宋" w:eastAsia="仿宋" w:cs="仿宋"/>
          <w:b/>
          <w:bCs/>
          <w:color w:val="auto"/>
          <w:spacing w:val="-2"/>
          <w:sz w:val="28"/>
          <w:szCs w:val="28"/>
          <w:lang w:eastAsia="zh-CN"/>
          <w14:textOutline w14:w="5105" w14:cap="sq" w14:cmpd="sng" w14:algn="ctr">
            <w14:solidFill>
              <w14:srgbClr w14:val="333333"/>
            </w14:solidFill>
            <w14:prstDash w14:val="solid"/>
            <w14:bevel/>
          </w14:textOutline>
        </w:rPr>
        <w:t>（六）绩效标准</w:t>
      </w:r>
      <w:bookmarkEnd w:id="125"/>
      <w:bookmarkEnd w:id="126"/>
    </w:p>
    <w:p w14:paraId="531072A5">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绩效标准，是设定、审核绩效指标时所依据或参考的标准，通常包括计划标准、行业标准、历史标准等，也可用于对绩效指标完成情况进行比较。</w:t>
      </w:r>
    </w:p>
    <w:p w14:paraId="390B165C">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27" w:name="_Toc9982"/>
      <w:r>
        <w:rPr>
          <w:rFonts w:hint="eastAsia" w:ascii="仿宋" w:hAnsi="仿宋" w:eastAsia="仿宋" w:cs="仿宋"/>
          <w:color w:val="auto"/>
          <w:spacing w:val="3"/>
          <w:sz w:val="28"/>
          <w:szCs w:val="28"/>
          <w:lang w:eastAsia="zh-CN"/>
        </w:rPr>
        <w:t>1.计划标准，指以预先制定的目标、计划、预算、定额等作为评价</w:t>
      </w:r>
      <w:bookmarkEnd w:id="127"/>
      <w:r>
        <w:rPr>
          <w:rFonts w:hint="eastAsia" w:ascii="仿宋" w:hAnsi="仿宋" w:eastAsia="仿宋" w:cs="仿宋"/>
          <w:color w:val="auto"/>
          <w:spacing w:val="3"/>
          <w:sz w:val="28"/>
          <w:szCs w:val="28"/>
          <w:lang w:eastAsia="zh-CN"/>
        </w:rPr>
        <w:t>标准。</w:t>
      </w:r>
    </w:p>
    <w:p w14:paraId="796588E8">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28" w:name="_Toc5615"/>
      <w:bookmarkStart w:id="129" w:name="_Toc14653"/>
      <w:bookmarkStart w:id="130" w:name="_Toc30280"/>
      <w:r>
        <w:rPr>
          <w:rFonts w:hint="eastAsia" w:ascii="仿宋" w:hAnsi="仿宋" w:eastAsia="仿宋" w:cs="仿宋"/>
          <w:color w:val="auto"/>
          <w:spacing w:val="3"/>
          <w:sz w:val="28"/>
          <w:szCs w:val="28"/>
          <w:lang w:eastAsia="zh-CN"/>
        </w:rPr>
        <w:t>2.行业标准，指参照国家公布的行业指标数据制定的评价标准。</w:t>
      </w:r>
      <w:bookmarkEnd w:id="128"/>
      <w:bookmarkEnd w:id="129"/>
      <w:bookmarkEnd w:id="130"/>
    </w:p>
    <w:p w14:paraId="4742230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3.历史标准，指参照历史数据制定的评价标准。为体现绩效改进原则，在可实现的条件下应当确定相对较高的评价标准。</w:t>
      </w:r>
    </w:p>
    <w:p w14:paraId="4F473317">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31" w:name="_Toc23446"/>
      <w:bookmarkStart w:id="132" w:name="_Toc19926"/>
      <w:bookmarkStart w:id="133" w:name="_Toc26961"/>
      <w:r>
        <w:rPr>
          <w:rFonts w:hint="eastAsia" w:ascii="仿宋" w:hAnsi="仿宋" w:eastAsia="仿宋" w:cs="仿宋"/>
          <w:color w:val="auto"/>
          <w:spacing w:val="3"/>
          <w:sz w:val="28"/>
          <w:szCs w:val="28"/>
          <w:lang w:eastAsia="zh-CN"/>
        </w:rPr>
        <w:t>4.省财政厅</w:t>
      </w:r>
      <w:bookmarkStart w:id="247" w:name="_GoBack"/>
      <w:bookmarkEnd w:id="247"/>
      <w:r>
        <w:rPr>
          <w:rFonts w:hint="eastAsia" w:ascii="仿宋" w:hAnsi="仿宋" w:eastAsia="仿宋" w:cs="仿宋"/>
          <w:color w:val="auto"/>
          <w:spacing w:val="3"/>
          <w:sz w:val="28"/>
          <w:szCs w:val="28"/>
          <w:lang w:eastAsia="zh-CN"/>
        </w:rPr>
        <w:t>和部门单位确认或认可的其他标准。</w:t>
      </w:r>
      <w:bookmarkEnd w:id="131"/>
      <w:bookmarkEnd w:id="132"/>
      <w:bookmarkEnd w:id="133"/>
    </w:p>
    <w:p w14:paraId="797FC7E1">
      <w:pPr>
        <w:widowControl w:val="0"/>
        <w:overflowPunct w:val="0"/>
        <w:snapToGrid/>
        <w:spacing w:line="408" w:lineRule="auto"/>
        <w:ind w:firstLine="558" w:firstLineChars="200"/>
        <w:jc w:val="both"/>
        <w:outlineLvl w:val="1"/>
        <w:rPr>
          <w:rFonts w:hint="eastAsia" w:ascii="仿宋" w:hAnsi="仿宋" w:eastAsia="仿宋" w:cs="仿宋"/>
          <w:b/>
          <w:bCs/>
          <w:color w:val="auto"/>
          <w:spacing w:val="-1"/>
          <w:sz w:val="28"/>
          <w:szCs w:val="28"/>
          <w:lang w:eastAsia="zh-CN"/>
          <w14:textOutline w14:w="5105" w14:cap="sq" w14:cmpd="sng" w14:algn="ctr">
            <w14:solidFill>
              <w14:srgbClr w14:val="000000"/>
            </w14:solidFill>
            <w14:prstDash w14:val="solid"/>
            <w14:bevel/>
          </w14:textOutline>
        </w:rPr>
      </w:pPr>
      <w:bookmarkStart w:id="134" w:name="bookmark28"/>
      <w:bookmarkEnd w:id="134"/>
      <w:bookmarkStart w:id="135" w:name="_Toc182904008"/>
      <w:bookmarkStart w:id="136" w:name="_Toc181558014"/>
      <w:r>
        <w:rPr>
          <w:rFonts w:hint="eastAsia" w:ascii="仿宋" w:hAnsi="仿宋" w:eastAsia="仿宋" w:cs="仿宋"/>
          <w:b/>
          <w:bCs/>
          <w:color w:val="auto"/>
          <w:spacing w:val="-1"/>
          <w:sz w:val="28"/>
          <w:szCs w:val="28"/>
          <w:lang w:eastAsia="zh-CN"/>
          <w14:textOutline w14:w="5105" w14:cap="sq" w14:cmpd="sng" w14:algn="ctr">
            <w14:solidFill>
              <w14:srgbClr w14:val="000000"/>
            </w14:solidFill>
            <w14:prstDash w14:val="solid"/>
            <w14:bevel/>
          </w14:textOutline>
        </w:rPr>
        <w:t>（七）评价思路及关注点</w:t>
      </w:r>
      <w:bookmarkEnd w:id="135"/>
      <w:bookmarkEnd w:id="136"/>
    </w:p>
    <w:p w14:paraId="3623EA5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本次评价依据部门整体支出绩效目标，从部门财政管理工作绩效、部门职能履行、部门履职效果、年度工作重点任务实施情况，以及财政管理、审计发现的问题，梳理评价内容。重点关注和分析部门开展预算绩效管理工作的规范性和执行力；部门履职中重大任务、重点工作完成情况和取得的效果，以及部门在推进事业发展中重大改革创新举措取得的成效。</w:t>
      </w:r>
    </w:p>
    <w:p w14:paraId="1AE2D3B8">
      <w:pPr>
        <w:widowControl w:val="0"/>
        <w:overflowPunct w:val="0"/>
        <w:snapToGrid/>
        <w:spacing w:line="408" w:lineRule="auto"/>
        <w:ind w:firstLine="558" w:firstLineChars="200"/>
        <w:jc w:val="both"/>
        <w:outlineLvl w:val="1"/>
        <w:rPr>
          <w:rFonts w:hint="eastAsia" w:ascii="仿宋" w:hAnsi="仿宋" w:eastAsia="仿宋" w:cs="仿宋"/>
          <w:b/>
          <w:bCs/>
          <w:color w:val="auto"/>
          <w:sz w:val="28"/>
          <w:lang w:eastAsia="zh-CN"/>
        </w:rPr>
      </w:pPr>
      <w:bookmarkStart w:id="137" w:name="bookmark29"/>
      <w:bookmarkEnd w:id="137"/>
      <w:bookmarkStart w:id="138" w:name="_Toc182904009"/>
      <w:bookmarkStart w:id="139" w:name="_Toc181558015"/>
      <w:r>
        <w:rPr>
          <w:rFonts w:hint="eastAsia" w:ascii="仿宋" w:hAnsi="仿宋" w:eastAsia="仿宋" w:cs="仿宋"/>
          <w:b/>
          <w:bCs/>
          <w:color w:val="auto"/>
          <w:spacing w:val="-1"/>
          <w:sz w:val="28"/>
          <w:szCs w:val="28"/>
          <w:lang w:eastAsia="zh-CN"/>
          <w14:textOutline w14:w="5105" w14:cap="sq" w14:cmpd="sng" w14:algn="ctr">
            <w14:solidFill>
              <w14:srgbClr w14:val="000000"/>
            </w14:solidFill>
            <w14:prstDash w14:val="solid"/>
            <w14:bevel/>
          </w14:textOutline>
        </w:rPr>
        <w:t>（八）绩效评价数据来源</w:t>
      </w:r>
      <w:bookmarkEnd w:id="138"/>
      <w:bookmarkEnd w:id="139"/>
    </w:p>
    <w:p w14:paraId="0AE0FCD5">
      <w:pPr>
        <w:widowControl w:val="0"/>
        <w:overflowPunct w:val="0"/>
        <w:snapToGrid/>
        <w:spacing w:line="408" w:lineRule="auto"/>
        <w:ind w:firstLine="560" w:firstLineChars="200"/>
        <w:jc w:val="both"/>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2023年度部门整体绩效评价中所用到的数据均来源于泉州市洛江区应急管理局</w:t>
      </w:r>
      <w:r>
        <w:rPr>
          <w:rFonts w:hint="eastAsia" w:ascii="仿宋" w:hAnsi="仿宋" w:eastAsia="仿宋" w:cs="仿宋"/>
          <w:color w:val="auto"/>
          <w:spacing w:val="3"/>
          <w:sz w:val="28"/>
          <w:szCs w:val="28"/>
          <w:lang w:eastAsia="zh-CN"/>
        </w:rPr>
        <w:t>提供的资料和数据表，包括：部门预决算及说明、部门预算批</w:t>
      </w:r>
      <w:r>
        <w:rPr>
          <w:rFonts w:hint="eastAsia" w:ascii="仿宋" w:hAnsi="仿宋" w:eastAsia="仿宋" w:cs="仿宋"/>
          <w:color w:val="auto"/>
          <w:spacing w:val="1"/>
          <w:sz w:val="28"/>
          <w:szCs w:val="28"/>
          <w:lang w:eastAsia="zh-CN"/>
        </w:rPr>
        <w:t>复文件、部门整体支出及专项支出的绩效自评表、自评报告</w:t>
      </w:r>
      <w:r>
        <w:rPr>
          <w:rFonts w:hint="eastAsia" w:ascii="仿宋" w:hAnsi="仿宋" w:eastAsia="仿宋" w:cs="仿宋"/>
          <w:color w:val="auto"/>
          <w:sz w:val="28"/>
          <w:szCs w:val="28"/>
          <w:lang w:eastAsia="zh-CN"/>
        </w:rPr>
        <w:t>和绩效目标</w:t>
      </w:r>
      <w:r>
        <w:rPr>
          <w:rFonts w:hint="eastAsia" w:ascii="仿宋" w:hAnsi="仿宋" w:eastAsia="仿宋" w:cs="仿宋"/>
          <w:color w:val="auto"/>
          <w:spacing w:val="-3"/>
          <w:sz w:val="28"/>
          <w:szCs w:val="28"/>
          <w:lang w:eastAsia="zh-CN"/>
        </w:rPr>
        <w:t>表、部门年度计划及工作总结、资金下达文件、部门制</w:t>
      </w:r>
      <w:r>
        <w:rPr>
          <w:rFonts w:hint="eastAsia" w:ascii="仿宋" w:hAnsi="仿宋" w:eastAsia="仿宋" w:cs="仿宋"/>
          <w:color w:val="auto"/>
          <w:spacing w:val="-4"/>
          <w:sz w:val="28"/>
          <w:szCs w:val="28"/>
          <w:lang w:eastAsia="zh-CN"/>
        </w:rPr>
        <w:t>度文件、审计报告等材料。</w:t>
      </w:r>
    </w:p>
    <w:p w14:paraId="745039B0">
      <w:pPr>
        <w:widowControl w:val="0"/>
        <w:overflowPunct w:val="0"/>
        <w:snapToGrid/>
        <w:spacing w:line="408" w:lineRule="auto"/>
        <w:ind w:firstLine="558" w:firstLineChars="200"/>
        <w:jc w:val="both"/>
        <w:outlineLvl w:val="1"/>
        <w:rPr>
          <w:rFonts w:hint="eastAsia" w:ascii="仿宋" w:hAnsi="仿宋" w:eastAsia="仿宋" w:cs="仿宋"/>
          <w:b/>
          <w:bCs/>
          <w:color w:val="auto"/>
          <w:spacing w:val="-2"/>
          <w:position w:val="26"/>
          <w:sz w:val="28"/>
          <w:szCs w:val="28"/>
          <w:lang w:eastAsia="zh-CN"/>
        </w:rPr>
      </w:pPr>
      <w:bookmarkStart w:id="140" w:name="bookmark30"/>
      <w:bookmarkEnd w:id="140"/>
      <w:bookmarkStart w:id="141" w:name="_Toc181558016"/>
      <w:bookmarkStart w:id="142" w:name="_Toc182904010"/>
      <w:r>
        <w:rPr>
          <w:rFonts w:hint="eastAsia" w:ascii="仿宋" w:hAnsi="仿宋" w:eastAsia="仿宋" w:cs="仿宋"/>
          <w:b/>
          <w:bCs/>
          <w:color w:val="auto"/>
          <w:spacing w:val="-1"/>
          <w:sz w:val="28"/>
          <w:szCs w:val="28"/>
          <w:lang w:eastAsia="zh-CN"/>
          <w14:textOutline w14:w="5105" w14:cap="sq" w14:cmpd="sng" w14:algn="ctr">
            <w14:solidFill>
              <w14:srgbClr w14:val="000000"/>
            </w14:solidFill>
            <w14:prstDash w14:val="solid"/>
            <w14:bevel/>
          </w14:textOutline>
        </w:rPr>
        <w:t>（九）评价工作开展情况</w:t>
      </w:r>
      <w:bookmarkEnd w:id="141"/>
      <w:bookmarkEnd w:id="142"/>
    </w:p>
    <w:p w14:paraId="44C20BA0">
      <w:pPr>
        <w:widowControl w:val="0"/>
        <w:overflowPunct w:val="0"/>
        <w:snapToGrid/>
        <w:spacing w:line="408" w:lineRule="auto"/>
        <w:ind w:firstLine="564" w:firstLineChars="200"/>
        <w:jc w:val="both"/>
        <w:rPr>
          <w:rFonts w:hint="eastAsia" w:ascii="仿宋" w:hAnsi="仿宋" w:eastAsia="仿宋" w:cs="仿宋"/>
          <w:color w:val="auto"/>
          <w:spacing w:val="1"/>
          <w:sz w:val="28"/>
          <w:szCs w:val="28"/>
          <w:lang w:eastAsia="zh-CN"/>
        </w:rPr>
      </w:pPr>
      <w:r>
        <w:rPr>
          <w:rFonts w:hint="eastAsia" w:ascii="仿宋" w:hAnsi="仿宋" w:eastAsia="仿宋" w:cs="仿宋"/>
          <w:color w:val="auto"/>
          <w:spacing w:val="1"/>
          <w:sz w:val="28"/>
          <w:szCs w:val="28"/>
          <w:lang w:eastAsia="zh-CN"/>
        </w:rPr>
        <w:t>1.按要求对2023年度部门整体绩效评价工作进行调研方案设计；</w:t>
      </w:r>
    </w:p>
    <w:p w14:paraId="6344C82C">
      <w:pPr>
        <w:widowControl w:val="0"/>
        <w:overflowPunct w:val="0"/>
        <w:snapToGrid/>
        <w:spacing w:line="408" w:lineRule="auto"/>
        <w:ind w:firstLine="564"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1"/>
          <w:sz w:val="28"/>
          <w:szCs w:val="28"/>
          <w:lang w:eastAsia="zh-CN"/>
        </w:rPr>
        <w:t>2.绩效评价工作组成员到泉州市洛江区应急管理局进行实地调研和座谈，查阅单位有关档案，收集数据、资料等，依据评</w:t>
      </w:r>
      <w:r>
        <w:rPr>
          <w:rFonts w:hint="eastAsia" w:ascii="仿宋" w:hAnsi="仿宋" w:eastAsia="仿宋" w:cs="仿宋"/>
          <w:color w:val="auto"/>
          <w:spacing w:val="3"/>
          <w:sz w:val="28"/>
          <w:szCs w:val="28"/>
          <w:lang w:eastAsia="zh-CN"/>
        </w:rPr>
        <w:t>价工作规范，制订评价工作方案；</w:t>
      </w:r>
    </w:p>
    <w:p w14:paraId="60C0320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3.拟定2023年度部门整体绩效评价指标体系，与泉州市洛江区财政局相关部门商讨指标体系，根据反馈意见，修订绩效评价指标体系；</w:t>
      </w:r>
    </w:p>
    <w:p w14:paraId="484BFB8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4.根据修订后的指标体系以及绩效评价过程中出现的问题，绩效评价工作组与泉州市洛江区财政局和泉州市洛江区应急管理局进行讨论，补充搜集绩效评价所需的数据和资料；</w:t>
      </w:r>
    </w:p>
    <w:p w14:paraId="25FE353A">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5.归纳、分析、综合数据与资料，对2023年度部门整体绩效进行分析，完成2023年度部门整体绩效评价报告初稿；</w:t>
      </w:r>
    </w:p>
    <w:p w14:paraId="244CC638">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43" w:name="_Toc10283"/>
      <w:r>
        <w:rPr>
          <w:rFonts w:hint="eastAsia" w:ascii="仿宋" w:hAnsi="仿宋" w:eastAsia="仿宋" w:cs="仿宋"/>
          <w:color w:val="auto"/>
          <w:spacing w:val="3"/>
          <w:sz w:val="28"/>
          <w:szCs w:val="28"/>
          <w:lang w:eastAsia="zh-CN"/>
        </w:rPr>
        <w:t>6.征询泉州市洛江区财政局的意见，对初稿进行修改</w:t>
      </w:r>
      <w:bookmarkEnd w:id="143"/>
      <w:r>
        <w:rPr>
          <w:rFonts w:hint="eastAsia" w:ascii="仿宋" w:hAnsi="仿宋" w:eastAsia="仿宋" w:cs="仿宋"/>
          <w:color w:val="auto"/>
          <w:spacing w:val="3"/>
          <w:sz w:val="28"/>
          <w:szCs w:val="28"/>
          <w:lang w:eastAsia="zh-CN"/>
        </w:rPr>
        <w:t>调整，完成《2023年度泉州市洛江区应急管理局部门整体支出绩效评价报告》修订稿；</w:t>
      </w:r>
    </w:p>
    <w:p w14:paraId="305D0525">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44" w:name="_Toc18250"/>
      <w:r>
        <w:rPr>
          <w:rFonts w:hint="eastAsia" w:ascii="仿宋" w:hAnsi="仿宋" w:eastAsia="仿宋" w:cs="仿宋"/>
          <w:color w:val="auto"/>
          <w:spacing w:val="3"/>
          <w:sz w:val="28"/>
          <w:szCs w:val="28"/>
          <w:lang w:eastAsia="zh-CN"/>
        </w:rPr>
        <w:t>7.组织专家评审。根据绩效评价报告修订稿，组织外部专家</w:t>
      </w:r>
      <w:bookmarkEnd w:id="144"/>
      <w:r>
        <w:rPr>
          <w:rFonts w:hint="eastAsia" w:ascii="仿宋" w:hAnsi="仿宋" w:eastAsia="仿宋" w:cs="仿宋"/>
          <w:color w:val="auto"/>
          <w:spacing w:val="3"/>
          <w:sz w:val="28"/>
          <w:szCs w:val="28"/>
          <w:lang w:eastAsia="zh-CN"/>
        </w:rPr>
        <w:t>对报告进行专家评审，根据专家评审意见对报告进行再次优化；</w:t>
      </w:r>
    </w:p>
    <w:p w14:paraId="7B9B3C1F">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145" w:name="_Toc26015"/>
      <w:r>
        <w:rPr>
          <w:rFonts w:hint="eastAsia" w:ascii="仿宋" w:hAnsi="仿宋" w:eastAsia="仿宋" w:cs="仿宋"/>
          <w:color w:val="auto"/>
          <w:spacing w:val="3"/>
          <w:sz w:val="28"/>
          <w:szCs w:val="28"/>
          <w:lang w:eastAsia="zh-CN"/>
        </w:rPr>
        <w:t>8.提交绩效评价报告。根据各方意见对评价报告进行优化完善定稿</w:t>
      </w:r>
      <w:bookmarkEnd w:id="145"/>
      <w:r>
        <w:rPr>
          <w:rFonts w:hint="eastAsia" w:ascii="仿宋" w:hAnsi="仿宋" w:eastAsia="仿宋" w:cs="仿宋"/>
          <w:color w:val="auto"/>
          <w:spacing w:val="3"/>
          <w:sz w:val="28"/>
          <w:szCs w:val="28"/>
          <w:lang w:eastAsia="zh-CN"/>
        </w:rPr>
        <w:t>；对评价报告装订成册，在规定时间内提交评价报告终稿。</w:t>
      </w:r>
      <w:bookmarkStart w:id="146" w:name="bookmark32"/>
      <w:bookmarkEnd w:id="146"/>
      <w:bookmarkStart w:id="147" w:name="bookmark33"/>
      <w:bookmarkEnd w:id="147"/>
      <w:bookmarkStart w:id="148" w:name="bookmark31"/>
      <w:bookmarkEnd w:id="148"/>
    </w:p>
    <w:p w14:paraId="0D5E6FBE">
      <w:pPr>
        <w:widowControl w:val="0"/>
        <w:overflowPunct w:val="0"/>
        <w:snapToGrid/>
        <w:spacing w:line="408" w:lineRule="auto"/>
        <w:ind w:firstLine="550" w:firstLineChars="200"/>
        <w:outlineLvl w:val="0"/>
        <w:rPr>
          <w:rFonts w:hint="eastAsia" w:ascii="仿宋" w:hAnsi="仿宋" w:eastAsia="仿宋" w:cs="仿宋"/>
          <w:b/>
          <w:bCs/>
          <w:color w:val="auto"/>
          <w:sz w:val="28"/>
          <w:szCs w:val="28"/>
          <w:lang w:eastAsia="zh-CN"/>
        </w:rPr>
      </w:pPr>
      <w:bookmarkStart w:id="149" w:name="_Toc181558017"/>
      <w:bookmarkStart w:id="150" w:name="_Toc182904011"/>
      <w:r>
        <w:rPr>
          <w:rFonts w:hint="eastAsia" w:ascii="仿宋" w:hAnsi="仿宋" w:eastAsia="仿宋" w:cs="仿宋"/>
          <w:b/>
          <w:bCs/>
          <w:color w:val="auto"/>
          <w:spacing w:val="-3"/>
          <w:sz w:val="28"/>
          <w:szCs w:val="28"/>
          <w:lang w:eastAsia="zh-CN"/>
          <w14:textOutline w14:w="5105" w14:cap="sq" w14:cmpd="sng" w14:algn="ctr">
            <w14:solidFill>
              <w14:srgbClr w14:val="000000"/>
            </w14:solidFill>
            <w14:prstDash w14:val="solid"/>
            <w14:bevel/>
          </w14:textOutline>
        </w:rPr>
        <w:t>五、指标体系</w:t>
      </w:r>
      <w:bookmarkEnd w:id="149"/>
      <w:bookmarkEnd w:id="150"/>
    </w:p>
    <w:p w14:paraId="7AF196E0">
      <w:pPr>
        <w:widowControl w:val="0"/>
        <w:overflowPunct w:val="0"/>
        <w:snapToGrid/>
        <w:spacing w:line="408" w:lineRule="auto"/>
        <w:ind w:firstLine="558" w:firstLineChars="200"/>
        <w:jc w:val="both"/>
        <w:outlineLvl w:val="1"/>
        <w:rPr>
          <w:rFonts w:hint="eastAsia" w:ascii="仿宋" w:hAnsi="仿宋" w:eastAsia="仿宋" w:cs="仿宋"/>
          <w:b/>
          <w:color w:val="auto"/>
          <w:sz w:val="28"/>
          <w:szCs w:val="28"/>
          <w:lang w:eastAsia="zh-CN"/>
        </w:rPr>
      </w:pPr>
      <w:bookmarkStart w:id="151" w:name="_Toc182904012"/>
      <w:bookmarkStart w:id="152" w:name="_Toc181558018"/>
      <w:r>
        <w:rPr>
          <w:rFonts w:hint="eastAsia" w:ascii="仿宋" w:hAnsi="仿宋" w:eastAsia="仿宋" w:cs="仿宋"/>
          <w:b/>
          <w:color w:val="auto"/>
          <w:spacing w:val="-1"/>
          <w:sz w:val="28"/>
          <w:szCs w:val="28"/>
          <w:lang w:eastAsia="zh-CN"/>
          <w14:textOutline w14:w="5105" w14:cap="sq" w14:cmpd="sng" w14:algn="ctr">
            <w14:solidFill>
              <w14:srgbClr w14:val="333333"/>
            </w14:solidFill>
            <w14:prstDash w14:val="solid"/>
            <w14:bevel/>
          </w14:textOutline>
        </w:rPr>
        <w:t>（一）评价指标分值分布</w:t>
      </w:r>
      <w:bookmarkEnd w:id="151"/>
      <w:bookmarkEnd w:id="152"/>
    </w:p>
    <w:p w14:paraId="2135FAD3">
      <w:pPr>
        <w:widowControl w:val="0"/>
        <w:overflowPunct w:val="0"/>
        <w:snapToGrid/>
        <w:spacing w:line="408" w:lineRule="auto"/>
        <w:ind w:firstLine="556" w:firstLineChars="200"/>
        <w:jc w:val="both"/>
        <w:rPr>
          <w:rFonts w:hint="eastAsia" w:ascii="仿宋" w:hAnsi="仿宋" w:eastAsia="仿宋" w:cs="仿宋"/>
          <w:color w:val="auto"/>
          <w:spacing w:val="-1"/>
          <w:sz w:val="28"/>
          <w:szCs w:val="28"/>
          <w:lang w:eastAsia="zh-CN"/>
        </w:rPr>
      </w:pPr>
      <w:r>
        <w:rPr>
          <w:rFonts w:hint="eastAsia" w:ascii="仿宋" w:hAnsi="仿宋" w:eastAsia="仿宋" w:cs="仿宋"/>
          <w:color w:val="auto"/>
          <w:spacing w:val="-1"/>
          <w:sz w:val="28"/>
          <w:szCs w:val="28"/>
          <w:lang w:eastAsia="zh-CN"/>
        </w:rPr>
        <w:t>本次绩效评价指标体系总体依据《预算绩效评价共性指标体系框架》（财预〔2013〕53号）的相关规定设计，在参考“部门整体支出项目绩效评价指标体系”的一级和二级指标内容的前提下，结合部门当年度实际工作任务对三级指标进行细化和调整，并采用层次分析法，结合以往经验确定三级指标的权重。</w:t>
      </w:r>
    </w:p>
    <w:p w14:paraId="2EE43669">
      <w:pPr>
        <w:widowControl w:val="0"/>
        <w:overflowPunct w:val="0"/>
        <w:snapToGrid/>
        <w:spacing w:line="408" w:lineRule="auto"/>
        <w:ind w:firstLine="558" w:firstLineChars="200"/>
        <w:jc w:val="both"/>
        <w:outlineLvl w:val="1"/>
        <w:rPr>
          <w:rFonts w:hint="eastAsia" w:ascii="仿宋" w:hAnsi="仿宋" w:eastAsia="仿宋" w:cs="仿宋"/>
          <w:b/>
          <w:color w:val="auto"/>
          <w:spacing w:val="-1"/>
          <w:sz w:val="28"/>
          <w:szCs w:val="28"/>
          <w:lang w:eastAsia="zh-CN"/>
          <w14:textOutline w14:w="5105" w14:cap="sq" w14:cmpd="sng" w14:algn="ctr">
            <w14:solidFill>
              <w14:srgbClr w14:val="333333"/>
            </w14:solidFill>
            <w14:prstDash w14:val="solid"/>
            <w14:bevel/>
          </w14:textOutline>
        </w:rPr>
      </w:pPr>
      <w:bookmarkStart w:id="153" w:name="_Toc181558019"/>
      <w:bookmarkStart w:id="154" w:name="_Toc182904013"/>
      <w:r>
        <w:rPr>
          <w:rFonts w:hint="eastAsia" w:ascii="仿宋" w:hAnsi="仿宋" w:eastAsia="仿宋" w:cs="仿宋"/>
          <w:b/>
          <w:color w:val="auto"/>
          <w:spacing w:val="-1"/>
          <w:sz w:val="28"/>
          <w:szCs w:val="28"/>
          <w:lang w:eastAsia="zh-CN"/>
          <w14:textOutline w14:w="5105" w14:cap="sq" w14:cmpd="sng" w14:algn="ctr">
            <w14:solidFill>
              <w14:srgbClr w14:val="333333"/>
            </w14:solidFill>
            <w14:prstDash w14:val="solid"/>
            <w14:bevel/>
          </w14:textOutline>
        </w:rPr>
        <w:t>（二）评价等级</w:t>
      </w:r>
      <w:bookmarkEnd w:id="153"/>
      <w:bookmarkEnd w:id="154"/>
    </w:p>
    <w:p w14:paraId="0408381C">
      <w:pPr>
        <w:widowControl w:val="0"/>
        <w:overflowPunct w:val="0"/>
        <w:snapToGrid/>
        <w:spacing w:line="408" w:lineRule="auto"/>
        <w:ind w:firstLine="556" w:firstLineChars="200"/>
        <w:jc w:val="both"/>
        <w:rPr>
          <w:rFonts w:hint="eastAsia" w:ascii="仿宋" w:hAnsi="仿宋" w:eastAsia="仿宋" w:cs="仿宋"/>
          <w:color w:val="auto"/>
          <w:spacing w:val="-1"/>
          <w:sz w:val="28"/>
          <w:szCs w:val="28"/>
          <w:lang w:eastAsia="zh-CN"/>
        </w:rPr>
      </w:pPr>
      <w:bookmarkStart w:id="155" w:name="_Toc22776"/>
      <w:r>
        <w:rPr>
          <w:rFonts w:hint="eastAsia" w:ascii="仿宋" w:hAnsi="仿宋" w:eastAsia="仿宋" w:cs="仿宋"/>
          <w:color w:val="auto"/>
          <w:spacing w:val="-1"/>
          <w:sz w:val="28"/>
          <w:szCs w:val="28"/>
          <w:lang w:eastAsia="zh-CN"/>
        </w:rPr>
        <w:t>评价结果包括综合评分和评级，分为四个等级：高于或等于90（含）为“优”；80分（含）～90分为“良”；60分（含）～80分为“中”；低于60分为“差”</w:t>
      </w:r>
      <w:bookmarkEnd w:id="155"/>
      <w:r>
        <w:rPr>
          <w:rFonts w:hint="eastAsia" w:ascii="仿宋" w:hAnsi="仿宋" w:eastAsia="仿宋" w:cs="仿宋"/>
          <w:color w:val="auto"/>
          <w:spacing w:val="-1"/>
          <w:sz w:val="28"/>
          <w:szCs w:val="28"/>
          <w:lang w:eastAsia="zh-CN"/>
        </w:rPr>
        <w:t>。</w:t>
      </w:r>
    </w:p>
    <w:p w14:paraId="7E646506">
      <w:pPr>
        <w:widowControl w:val="0"/>
        <w:overflowPunct w:val="0"/>
        <w:spacing w:line="408" w:lineRule="auto"/>
        <w:ind w:firstLine="548" w:firstLineChars="200"/>
        <w:jc w:val="both"/>
        <w:rPr>
          <w:rFonts w:hint="eastAsia" w:ascii="仿宋" w:hAnsi="仿宋" w:eastAsia="仿宋" w:cs="仿宋"/>
          <w:bCs/>
          <w:spacing w:val="-3"/>
          <w:sz w:val="28"/>
          <w:szCs w:val="24"/>
          <w:lang w:eastAsia="zh-CN"/>
          <w14:textOutline w14:w="5105" w14:cap="sq" w14:cmpd="sng" w14:algn="ctr">
            <w14:solidFill>
              <w14:srgbClr w14:val="000000"/>
            </w14:solidFill>
            <w14:prstDash w14:val="solid"/>
            <w14:bevel/>
          </w14:textOutline>
        </w:rPr>
      </w:pPr>
      <w:r>
        <w:rPr>
          <w:rFonts w:hint="eastAsia" w:ascii="仿宋" w:hAnsi="仿宋" w:eastAsia="仿宋" w:cs="仿宋"/>
          <w:bCs/>
          <w:spacing w:val="-3"/>
          <w:sz w:val="28"/>
          <w:szCs w:val="24"/>
          <w:lang w:eastAsia="zh-CN"/>
          <w14:textOutline w14:w="5105" w14:cap="sq" w14:cmpd="sng" w14:algn="ctr">
            <w14:solidFill>
              <w14:srgbClr w14:val="000000"/>
            </w14:solidFill>
            <w14:prstDash w14:val="solid"/>
            <w14:bevel/>
          </w14:textOutline>
        </w:rPr>
        <w:t>2023</w:t>
      </w:r>
      <w:r>
        <w:rPr>
          <w:rFonts w:ascii="仿宋" w:hAnsi="仿宋" w:eastAsia="仿宋" w:cs="仿宋"/>
          <w:bCs/>
          <w:spacing w:val="-3"/>
          <w:sz w:val="28"/>
          <w:szCs w:val="24"/>
          <w:lang w:eastAsia="zh-CN"/>
          <w14:textOutline w14:w="5105" w14:cap="sq" w14:cmpd="sng" w14:algn="ctr">
            <w14:solidFill>
              <w14:srgbClr w14:val="000000"/>
            </w14:solidFill>
            <w14:prstDash w14:val="solid"/>
            <w14:bevel/>
          </w14:textOutline>
        </w:rPr>
        <w:t>年度</w:t>
      </w:r>
      <w:r>
        <w:rPr>
          <w:rFonts w:hint="eastAsia" w:ascii="仿宋" w:hAnsi="仿宋" w:eastAsia="仿宋" w:cs="仿宋"/>
          <w:bCs/>
          <w:spacing w:val="-3"/>
          <w:sz w:val="28"/>
          <w:szCs w:val="24"/>
          <w:lang w:eastAsia="zh-CN"/>
          <w14:textOutline w14:w="5105" w14:cap="sq" w14:cmpd="sng" w14:algn="ctr">
            <w14:solidFill>
              <w14:srgbClr w14:val="000000"/>
            </w14:solidFill>
            <w14:prstDash w14:val="solid"/>
            <w14:bevel/>
          </w14:textOutline>
        </w:rPr>
        <w:t>泉州市洛江区应急管理局</w:t>
      </w:r>
      <w:r>
        <w:rPr>
          <w:rFonts w:ascii="仿宋" w:hAnsi="仿宋" w:eastAsia="仿宋" w:cs="仿宋"/>
          <w:bCs/>
          <w:spacing w:val="-3"/>
          <w:sz w:val="28"/>
          <w:szCs w:val="24"/>
          <w:lang w:eastAsia="zh-CN"/>
          <w14:textOutline w14:w="5105" w14:cap="sq" w14:cmpd="sng" w14:algn="ctr">
            <w14:solidFill>
              <w14:srgbClr w14:val="000000"/>
            </w14:solidFill>
            <w14:prstDash w14:val="solid"/>
            <w14:bevel/>
          </w14:textOutline>
        </w:rPr>
        <w:t>部门整体支出绩效评价指标体系表</w:t>
      </w:r>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127"/>
        <w:gridCol w:w="1552"/>
        <w:gridCol w:w="2403"/>
        <w:gridCol w:w="3635"/>
      </w:tblGrid>
      <w:tr w14:paraId="3973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shd w:val="clear" w:color="auto" w:fill="D8D8D8" w:themeFill="background1" w:themeFillShade="D9"/>
            <w:vAlign w:val="center"/>
          </w:tcPr>
          <w:p w14:paraId="5BE46E3C">
            <w:pPr>
              <w:widowControl w:val="0"/>
              <w:overflowPunct w:val="0"/>
              <w:spacing w:line="408" w:lineRule="auto"/>
              <w:jc w:val="center"/>
              <w:rPr>
                <w:rFonts w:hint="eastAsia" w:ascii="仿宋" w:hAnsi="仿宋" w:eastAsia="仿宋"/>
                <w:b/>
                <w:sz w:val="18"/>
                <w:lang w:eastAsia="zh-CN"/>
              </w:rPr>
            </w:pPr>
            <w:r>
              <w:rPr>
                <w:rFonts w:hint="eastAsia" w:ascii="仿宋" w:hAnsi="仿宋" w:eastAsia="仿宋"/>
                <w:b/>
                <w:sz w:val="18"/>
                <w:lang w:eastAsia="zh-CN"/>
              </w:rPr>
              <w:t>一级指标</w:t>
            </w:r>
          </w:p>
        </w:tc>
        <w:tc>
          <w:tcPr>
            <w:tcW w:w="593" w:type="pct"/>
            <w:shd w:val="clear" w:color="auto" w:fill="D8D8D8" w:themeFill="background1" w:themeFillShade="D9"/>
            <w:vAlign w:val="center"/>
          </w:tcPr>
          <w:p w14:paraId="6565E4F0">
            <w:pPr>
              <w:widowControl w:val="0"/>
              <w:overflowPunct w:val="0"/>
              <w:spacing w:line="408" w:lineRule="auto"/>
              <w:jc w:val="center"/>
              <w:rPr>
                <w:rFonts w:hint="eastAsia" w:ascii="仿宋" w:hAnsi="仿宋" w:eastAsia="仿宋"/>
                <w:b/>
                <w:sz w:val="18"/>
                <w:lang w:eastAsia="zh-CN"/>
              </w:rPr>
            </w:pPr>
            <w:r>
              <w:rPr>
                <w:rFonts w:hint="eastAsia" w:ascii="仿宋" w:hAnsi="仿宋" w:eastAsia="仿宋"/>
                <w:b/>
                <w:sz w:val="18"/>
                <w:lang w:eastAsia="zh-CN"/>
              </w:rPr>
              <w:t>二级指标</w:t>
            </w:r>
          </w:p>
        </w:tc>
        <w:tc>
          <w:tcPr>
            <w:tcW w:w="815" w:type="pct"/>
            <w:shd w:val="clear" w:color="auto" w:fill="D8D8D8" w:themeFill="background1" w:themeFillShade="D9"/>
            <w:vAlign w:val="center"/>
          </w:tcPr>
          <w:p w14:paraId="110CAFAB">
            <w:pPr>
              <w:widowControl w:val="0"/>
              <w:overflowPunct w:val="0"/>
              <w:spacing w:line="408" w:lineRule="auto"/>
              <w:jc w:val="center"/>
              <w:rPr>
                <w:rFonts w:hint="eastAsia" w:ascii="仿宋" w:hAnsi="仿宋" w:eastAsia="仿宋"/>
                <w:b/>
                <w:sz w:val="18"/>
                <w:lang w:eastAsia="zh-CN"/>
              </w:rPr>
            </w:pPr>
            <w:r>
              <w:rPr>
                <w:rFonts w:hint="eastAsia" w:ascii="仿宋" w:hAnsi="仿宋" w:eastAsia="仿宋"/>
                <w:b/>
                <w:sz w:val="18"/>
                <w:lang w:eastAsia="zh-CN"/>
              </w:rPr>
              <w:t>三级指标</w:t>
            </w:r>
          </w:p>
        </w:tc>
        <w:tc>
          <w:tcPr>
            <w:tcW w:w="1260" w:type="pct"/>
            <w:shd w:val="clear" w:color="auto" w:fill="D8D8D8" w:themeFill="background1" w:themeFillShade="D9"/>
            <w:vAlign w:val="center"/>
          </w:tcPr>
          <w:p w14:paraId="2EBBFCDA">
            <w:pPr>
              <w:widowControl w:val="0"/>
              <w:overflowPunct w:val="0"/>
              <w:spacing w:line="408" w:lineRule="auto"/>
              <w:jc w:val="center"/>
              <w:rPr>
                <w:rFonts w:hint="eastAsia" w:ascii="仿宋" w:hAnsi="仿宋" w:eastAsia="仿宋"/>
                <w:b/>
                <w:sz w:val="18"/>
                <w:lang w:eastAsia="zh-CN"/>
              </w:rPr>
            </w:pPr>
            <w:r>
              <w:rPr>
                <w:rFonts w:hint="eastAsia" w:ascii="仿宋" w:hAnsi="仿宋" w:eastAsia="仿宋"/>
                <w:b/>
                <w:sz w:val="18"/>
                <w:lang w:eastAsia="zh-CN"/>
              </w:rPr>
              <w:t>指标解释</w:t>
            </w:r>
          </w:p>
        </w:tc>
        <w:tc>
          <w:tcPr>
            <w:tcW w:w="1904" w:type="pct"/>
            <w:shd w:val="clear" w:color="auto" w:fill="D8D8D8" w:themeFill="background1" w:themeFillShade="D9"/>
            <w:vAlign w:val="center"/>
          </w:tcPr>
          <w:p w14:paraId="7CE006D7">
            <w:pPr>
              <w:widowControl w:val="0"/>
              <w:overflowPunct w:val="0"/>
              <w:spacing w:line="408" w:lineRule="auto"/>
              <w:jc w:val="center"/>
              <w:rPr>
                <w:rFonts w:hint="eastAsia" w:ascii="仿宋" w:hAnsi="仿宋" w:eastAsia="仿宋"/>
                <w:b/>
                <w:sz w:val="18"/>
                <w:lang w:eastAsia="zh-CN"/>
              </w:rPr>
            </w:pPr>
            <w:r>
              <w:rPr>
                <w:rFonts w:hint="eastAsia" w:ascii="仿宋" w:hAnsi="仿宋" w:eastAsia="仿宋"/>
                <w:b/>
                <w:sz w:val="18"/>
                <w:lang w:eastAsia="zh-CN"/>
              </w:rPr>
              <w:t>评分标准</w:t>
            </w:r>
          </w:p>
        </w:tc>
      </w:tr>
      <w:tr w14:paraId="14517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restart"/>
            <w:shd w:val="clear" w:color="auto" w:fill="auto"/>
            <w:vAlign w:val="center"/>
          </w:tcPr>
          <w:p w14:paraId="18F23CA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投入(15%）</w:t>
            </w:r>
          </w:p>
        </w:tc>
        <w:tc>
          <w:tcPr>
            <w:tcW w:w="593" w:type="pct"/>
            <w:vMerge w:val="restart"/>
            <w:shd w:val="clear" w:color="auto" w:fill="auto"/>
            <w:vAlign w:val="center"/>
          </w:tcPr>
          <w:p w14:paraId="200D5AD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目标设定（6分）</w:t>
            </w:r>
          </w:p>
        </w:tc>
        <w:tc>
          <w:tcPr>
            <w:tcW w:w="815" w:type="pct"/>
            <w:shd w:val="clear" w:color="auto" w:fill="auto"/>
            <w:vAlign w:val="center"/>
          </w:tcPr>
          <w:p w14:paraId="3B6295D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绩效目标合理性（3分）</w:t>
            </w:r>
          </w:p>
        </w:tc>
        <w:tc>
          <w:tcPr>
            <w:tcW w:w="1260" w:type="pct"/>
            <w:shd w:val="clear" w:color="auto" w:fill="auto"/>
            <w:vAlign w:val="center"/>
          </w:tcPr>
          <w:p w14:paraId="501C1C1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部门所设立的整体绩效目标依据是否充分，是否符合客观实际，用以反映和考核部门整体绩效目标与部门履职、年度工作任务的相符性情况。</w:t>
            </w:r>
          </w:p>
        </w:tc>
        <w:tc>
          <w:tcPr>
            <w:tcW w:w="1904" w:type="pct"/>
            <w:shd w:val="clear" w:color="auto" w:fill="auto"/>
            <w:vAlign w:val="center"/>
          </w:tcPr>
          <w:p w14:paraId="616FAD1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是否符合国家法律法规；</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是否符合国民经济和社会发展总体规划；</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是否符合部门</w:t>
            </w:r>
            <w:r>
              <w:rPr>
                <w:rFonts w:ascii="仿宋" w:hAnsi="仿宋" w:eastAsia="仿宋"/>
                <w:bCs/>
                <w:sz w:val="18"/>
                <w:lang w:eastAsia="zh-CN"/>
              </w:rPr>
              <w:t>“</w:t>
            </w:r>
            <w:r>
              <w:rPr>
                <w:rFonts w:hint="eastAsia" w:ascii="仿宋" w:hAnsi="仿宋" w:eastAsia="仿宋"/>
                <w:bCs/>
                <w:sz w:val="18"/>
                <w:lang w:eastAsia="zh-CN"/>
              </w:rPr>
              <w:t>三定</w:t>
            </w:r>
            <w:r>
              <w:rPr>
                <w:rFonts w:ascii="仿宋" w:hAnsi="仿宋" w:eastAsia="仿宋"/>
                <w:bCs/>
                <w:sz w:val="18"/>
                <w:lang w:eastAsia="zh-CN"/>
              </w:rPr>
              <w:t>”</w:t>
            </w:r>
            <w:r>
              <w:rPr>
                <w:rFonts w:hint="eastAsia" w:ascii="仿宋" w:hAnsi="仿宋" w:eastAsia="仿宋"/>
                <w:bCs/>
                <w:sz w:val="18"/>
                <w:lang w:eastAsia="zh-CN"/>
              </w:rPr>
              <w:t>方案确定的职责；</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是否符合部门制定的中长期实施规划或年度工作计划。</w:t>
            </w:r>
            <w:r>
              <w:rPr>
                <w:rFonts w:hint="eastAsia" w:ascii="仿宋" w:hAnsi="仿宋" w:eastAsia="仿宋"/>
                <w:bCs/>
                <w:sz w:val="18"/>
                <w:lang w:eastAsia="zh-CN"/>
              </w:rPr>
              <w:br w:type="textWrapping"/>
            </w:r>
            <w:r>
              <w:rPr>
                <w:rFonts w:hint="eastAsia" w:ascii="仿宋" w:hAnsi="仿宋" w:eastAsia="仿宋"/>
                <w:bCs/>
                <w:sz w:val="18"/>
                <w:lang w:eastAsia="zh-CN"/>
              </w:rPr>
              <w:t>一项不符扣0.75分。</w:t>
            </w:r>
          </w:p>
        </w:tc>
      </w:tr>
      <w:tr w14:paraId="1DCA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5B8E8DDB">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06E4F9FB">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1956C97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绩效目标明确性（3分）</w:t>
            </w:r>
          </w:p>
        </w:tc>
        <w:tc>
          <w:tcPr>
            <w:tcW w:w="1260" w:type="pct"/>
            <w:shd w:val="clear" w:color="auto" w:fill="auto"/>
            <w:vAlign w:val="center"/>
          </w:tcPr>
          <w:p w14:paraId="317C4F79">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部门依据整体绩效目标所设定的绩效指标是否清晰、细化、可衡量，用以反映和考核部门整体绩效目标的明细化情况，并涵盖绩效目标全部内容，反映项目预期产出和效益。</w:t>
            </w:r>
          </w:p>
        </w:tc>
        <w:tc>
          <w:tcPr>
            <w:tcW w:w="1904" w:type="pct"/>
            <w:shd w:val="clear" w:color="auto" w:fill="auto"/>
            <w:vAlign w:val="center"/>
          </w:tcPr>
          <w:p w14:paraId="09019BF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是否将部门整体的绩效目标细化分解为具体的工作任务；</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是否通过清晰、可衡量的指标予以体现；</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是否与部门年度的任务数或计划数相对应；</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是否以本年度部门预算资金相匹配。</w:t>
            </w:r>
            <w:r>
              <w:rPr>
                <w:rFonts w:hint="eastAsia" w:ascii="仿宋" w:hAnsi="仿宋" w:eastAsia="仿宋"/>
                <w:bCs/>
                <w:sz w:val="18"/>
                <w:lang w:eastAsia="zh-CN"/>
              </w:rPr>
              <w:br w:type="textWrapping"/>
            </w:r>
            <w:r>
              <w:rPr>
                <w:rFonts w:hint="eastAsia" w:ascii="仿宋" w:hAnsi="仿宋" w:eastAsia="仿宋"/>
                <w:bCs/>
                <w:sz w:val="18"/>
                <w:lang w:eastAsia="zh-CN"/>
              </w:rPr>
              <w:t>一项不符扣0.75分。</w:t>
            </w:r>
          </w:p>
        </w:tc>
      </w:tr>
      <w:tr w14:paraId="31E9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11F8045B">
            <w:pPr>
              <w:widowControl w:val="0"/>
              <w:overflowPunct w:val="0"/>
              <w:spacing w:line="408" w:lineRule="auto"/>
              <w:rPr>
                <w:rFonts w:hint="eastAsia" w:ascii="仿宋" w:hAnsi="仿宋" w:eastAsia="仿宋"/>
                <w:bCs/>
                <w:sz w:val="18"/>
                <w:lang w:eastAsia="zh-CN"/>
              </w:rPr>
            </w:pPr>
          </w:p>
        </w:tc>
        <w:tc>
          <w:tcPr>
            <w:tcW w:w="593" w:type="pct"/>
            <w:vMerge w:val="restart"/>
            <w:shd w:val="clear" w:color="auto" w:fill="auto"/>
            <w:vAlign w:val="center"/>
          </w:tcPr>
          <w:p w14:paraId="72CBD4A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预算配置（9分）</w:t>
            </w:r>
          </w:p>
        </w:tc>
        <w:tc>
          <w:tcPr>
            <w:tcW w:w="815" w:type="pct"/>
            <w:shd w:val="clear" w:color="auto" w:fill="auto"/>
            <w:vAlign w:val="center"/>
          </w:tcPr>
          <w:p w14:paraId="10A9C9F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在职人员控制率（3分）</w:t>
            </w:r>
          </w:p>
        </w:tc>
        <w:tc>
          <w:tcPr>
            <w:tcW w:w="1260" w:type="pct"/>
            <w:shd w:val="clear" w:color="auto" w:fill="auto"/>
            <w:vAlign w:val="center"/>
          </w:tcPr>
          <w:p w14:paraId="5CB68EC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部门本年度实际在职人员数与编制数的比率,用以反映和考核部门对人员成本的控制程度。</w:t>
            </w:r>
          </w:p>
        </w:tc>
        <w:tc>
          <w:tcPr>
            <w:tcW w:w="1904" w:type="pct"/>
            <w:shd w:val="clear" w:color="auto" w:fill="auto"/>
            <w:vAlign w:val="center"/>
          </w:tcPr>
          <w:p w14:paraId="628F638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评价要点：在职人员控制率=（在职人员数/编制数）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在职人员控制率</w:t>
            </w:r>
            <w:r>
              <w:rPr>
                <w:rFonts w:ascii="仿宋" w:hAnsi="仿宋" w:eastAsia="仿宋"/>
                <w:bCs/>
                <w:sz w:val="18"/>
                <w:lang w:eastAsia="zh-CN"/>
              </w:rPr>
              <w:t>≤</w:t>
            </w:r>
            <w:r>
              <w:rPr>
                <w:rFonts w:hint="eastAsia" w:ascii="仿宋" w:hAnsi="仿宋" w:eastAsia="仿宋"/>
                <w:bCs/>
                <w:sz w:val="18"/>
                <w:lang w:eastAsia="zh-CN"/>
              </w:rPr>
              <w:t>100%，得满分；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在职人员控制率≧115%，得0分；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100%＜在职人员控制率＜115%之间，得分=（115%－某部门在职人员控制率）/15%×指标分值。</w:t>
            </w:r>
          </w:p>
        </w:tc>
      </w:tr>
      <w:tr w14:paraId="5324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32F2D698">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291F5578">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321EA4A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变动率（3分）</w:t>
            </w:r>
          </w:p>
        </w:tc>
        <w:tc>
          <w:tcPr>
            <w:tcW w:w="1260" w:type="pct"/>
            <w:shd w:val="clear" w:color="auto" w:fill="auto"/>
            <w:vAlign w:val="center"/>
          </w:tcPr>
          <w:p w14:paraId="5CA050A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预算数与上年度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预算数的变动比率，用以反映和考核部门对控制重点行政成本的努力程度。三公经费变动率=[（本年度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总额-上年度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总额）/上年度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总额]×100%。</w:t>
            </w:r>
          </w:p>
        </w:tc>
        <w:tc>
          <w:tcPr>
            <w:tcW w:w="1904" w:type="pct"/>
            <w:shd w:val="clear" w:color="auto" w:fill="auto"/>
            <w:vAlign w:val="center"/>
          </w:tcPr>
          <w:p w14:paraId="0D42B4F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变动率</w:t>
            </w:r>
            <w:r>
              <w:rPr>
                <w:rFonts w:ascii="仿宋" w:hAnsi="仿宋" w:eastAsia="仿宋"/>
                <w:bCs/>
                <w:sz w:val="18"/>
                <w:lang w:eastAsia="zh-CN"/>
              </w:rPr>
              <w:t>≤</w:t>
            </w:r>
            <w:r>
              <w:rPr>
                <w:rFonts w:hint="eastAsia" w:ascii="仿宋" w:hAnsi="仿宋" w:eastAsia="仿宋"/>
                <w:bCs/>
                <w:sz w:val="18"/>
                <w:lang w:eastAsia="zh-CN"/>
              </w:rPr>
              <w:t>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变动率每超过10个百分点扣1分，扣完为止。</w:t>
            </w:r>
          </w:p>
        </w:tc>
      </w:tr>
      <w:tr w14:paraId="2C56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6BDC6180">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00956F4E">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7FDBA3E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结转结余变动率（3分）</w:t>
            </w:r>
          </w:p>
        </w:tc>
        <w:tc>
          <w:tcPr>
            <w:tcW w:w="1260" w:type="pct"/>
            <w:shd w:val="clear" w:color="auto" w:fill="auto"/>
            <w:vAlign w:val="center"/>
          </w:tcPr>
          <w:p w14:paraId="282CBBD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w:t>
            </w:r>
            <w:r>
              <w:rPr>
                <w:rFonts w:ascii="仿宋" w:hAnsi="仿宋" w:eastAsia="仿宋"/>
                <w:bCs/>
                <w:sz w:val="18"/>
                <w:lang w:eastAsia="zh-CN"/>
              </w:rPr>
              <w:t>“</w:t>
            </w:r>
            <w:r>
              <w:rPr>
                <w:rFonts w:hint="eastAsia" w:ascii="仿宋" w:hAnsi="仿宋" w:eastAsia="仿宋"/>
                <w:bCs/>
                <w:sz w:val="18"/>
                <w:lang w:eastAsia="zh-CN"/>
              </w:rPr>
              <w:t>结转结余</w:t>
            </w:r>
            <w:r>
              <w:rPr>
                <w:rFonts w:ascii="仿宋" w:hAnsi="仿宋" w:eastAsia="仿宋"/>
                <w:bCs/>
                <w:sz w:val="18"/>
                <w:lang w:eastAsia="zh-CN"/>
              </w:rPr>
              <w:t>”</w:t>
            </w:r>
            <w:r>
              <w:rPr>
                <w:rFonts w:hint="eastAsia" w:ascii="仿宋" w:hAnsi="仿宋" w:eastAsia="仿宋"/>
                <w:bCs/>
                <w:sz w:val="18"/>
                <w:lang w:eastAsia="zh-CN"/>
              </w:rPr>
              <w:t>金额与上年度</w:t>
            </w:r>
            <w:r>
              <w:rPr>
                <w:rFonts w:ascii="仿宋" w:hAnsi="仿宋" w:eastAsia="仿宋"/>
                <w:bCs/>
                <w:sz w:val="18"/>
                <w:lang w:eastAsia="zh-CN"/>
              </w:rPr>
              <w:t>“</w:t>
            </w:r>
            <w:r>
              <w:rPr>
                <w:rFonts w:hint="eastAsia" w:ascii="仿宋" w:hAnsi="仿宋" w:eastAsia="仿宋"/>
                <w:bCs/>
                <w:sz w:val="18"/>
                <w:lang w:eastAsia="zh-CN"/>
              </w:rPr>
              <w:t>结转结余</w:t>
            </w:r>
            <w:r>
              <w:rPr>
                <w:rFonts w:ascii="仿宋" w:hAnsi="仿宋" w:eastAsia="仿宋"/>
                <w:bCs/>
                <w:sz w:val="18"/>
                <w:lang w:eastAsia="zh-CN"/>
              </w:rPr>
              <w:t>”</w:t>
            </w:r>
            <w:r>
              <w:rPr>
                <w:rFonts w:hint="eastAsia" w:ascii="仿宋" w:hAnsi="仿宋" w:eastAsia="仿宋"/>
                <w:bCs/>
                <w:sz w:val="18"/>
                <w:lang w:eastAsia="zh-CN"/>
              </w:rPr>
              <w:t>金额的变动比率，用以反映和考核部门资金的结余程度。</w:t>
            </w:r>
          </w:p>
        </w:tc>
        <w:tc>
          <w:tcPr>
            <w:tcW w:w="1904" w:type="pct"/>
            <w:shd w:val="clear" w:color="auto" w:fill="auto"/>
            <w:vAlign w:val="center"/>
          </w:tcPr>
          <w:p w14:paraId="572E754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结转结余变动率=[（本年度累计结转结余资金总额-上年度累计结转结余资金总额）/上年度累计结转结余资金总额]×100%。</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结转结余变动率＜0，得满分；</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结转结余变动率≧0，不得分。</w:t>
            </w:r>
          </w:p>
        </w:tc>
      </w:tr>
      <w:tr w14:paraId="781F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restart"/>
            <w:shd w:val="clear" w:color="auto" w:fill="auto"/>
            <w:vAlign w:val="center"/>
          </w:tcPr>
          <w:p w14:paraId="2CC5286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过程（22%）</w:t>
            </w:r>
          </w:p>
        </w:tc>
        <w:tc>
          <w:tcPr>
            <w:tcW w:w="593" w:type="pct"/>
            <w:vMerge w:val="restart"/>
            <w:shd w:val="clear" w:color="auto" w:fill="auto"/>
            <w:vAlign w:val="center"/>
          </w:tcPr>
          <w:p w14:paraId="22AB973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预算执行（9分）</w:t>
            </w:r>
          </w:p>
        </w:tc>
        <w:tc>
          <w:tcPr>
            <w:tcW w:w="815" w:type="pct"/>
            <w:shd w:val="clear" w:color="auto" w:fill="auto"/>
            <w:vAlign w:val="center"/>
          </w:tcPr>
          <w:p w14:paraId="2BD3E6E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预算执行率（2分）</w:t>
            </w:r>
          </w:p>
        </w:tc>
        <w:tc>
          <w:tcPr>
            <w:tcW w:w="1260" w:type="pct"/>
            <w:shd w:val="clear" w:color="auto" w:fill="auto"/>
            <w:vAlign w:val="center"/>
          </w:tcPr>
          <w:p w14:paraId="7B4D026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项目预算资金是否按照计划执行，用以反映或考核项目预算执行情况（预算执行率=（实际支出资金/实际到位资金）</w:t>
            </w:r>
            <w:r>
              <w:rPr>
                <w:rFonts w:ascii="仿宋" w:hAnsi="仿宋" w:eastAsia="仿宋"/>
                <w:bCs/>
                <w:sz w:val="18"/>
                <w:lang w:eastAsia="zh-CN"/>
              </w:rPr>
              <w:t>×</w:t>
            </w:r>
            <w:r>
              <w:rPr>
                <w:rFonts w:hint="eastAsia" w:ascii="仿宋" w:hAnsi="仿宋" w:eastAsia="仿宋"/>
                <w:bCs/>
                <w:sz w:val="18"/>
                <w:lang w:eastAsia="zh-CN"/>
              </w:rPr>
              <w:t>100%）。</w:t>
            </w:r>
          </w:p>
        </w:tc>
        <w:tc>
          <w:tcPr>
            <w:tcW w:w="1904" w:type="pct"/>
            <w:shd w:val="clear" w:color="auto" w:fill="auto"/>
            <w:vAlign w:val="center"/>
          </w:tcPr>
          <w:p w14:paraId="546314B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90%≤预算执行率</w:t>
            </w:r>
            <w:r>
              <w:rPr>
                <w:rFonts w:ascii="仿宋" w:hAnsi="仿宋" w:eastAsia="仿宋"/>
                <w:bCs/>
                <w:sz w:val="18"/>
                <w:lang w:eastAsia="zh-CN"/>
              </w:rPr>
              <w:t>≤</w:t>
            </w:r>
            <w:r>
              <w:rPr>
                <w:rFonts w:hint="eastAsia" w:ascii="仿宋" w:hAnsi="仿宋" w:eastAsia="仿宋"/>
                <w:bCs/>
                <w:sz w:val="18"/>
                <w:lang w:eastAsia="zh-CN"/>
              </w:rPr>
              <w:t>100%，得2分；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70%≤预算执行率﹤90%，得1分；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预算执行率﹤70%，得0分；</w:t>
            </w:r>
          </w:p>
        </w:tc>
      </w:tr>
      <w:tr w14:paraId="1FC8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1DAAEEFB">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419EE0CF">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72345E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预算调整率（2分）</w:t>
            </w:r>
          </w:p>
        </w:tc>
        <w:tc>
          <w:tcPr>
            <w:tcW w:w="1260" w:type="pct"/>
            <w:shd w:val="clear" w:color="auto" w:fill="auto"/>
            <w:vAlign w:val="center"/>
          </w:tcPr>
          <w:p w14:paraId="6F3EA86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部门本年度预算调整数与预算数的比率,用以反映和考核部门预算的调整程度。</w:t>
            </w:r>
          </w:p>
        </w:tc>
        <w:tc>
          <w:tcPr>
            <w:tcW w:w="1904" w:type="pct"/>
            <w:shd w:val="clear" w:color="auto" w:fill="auto"/>
            <w:vAlign w:val="center"/>
          </w:tcPr>
          <w:p w14:paraId="51CF7BA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评价要点：支出预算调整率=（支出预算调整数/支出预算数）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预算调整率=0，得满分；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调整率≧10%，得0分；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0＜预算调整率＜10%,得分=（10%-预算调整率）/10%×该指标分值；</w:t>
            </w:r>
          </w:p>
        </w:tc>
      </w:tr>
      <w:tr w14:paraId="01AC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47A26ABC">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3CE583A4">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4BF8002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结转结余率（3分）</w:t>
            </w:r>
          </w:p>
        </w:tc>
        <w:tc>
          <w:tcPr>
            <w:tcW w:w="1260" w:type="pct"/>
            <w:shd w:val="clear" w:color="auto" w:fill="auto"/>
            <w:vAlign w:val="center"/>
          </w:tcPr>
          <w:p w14:paraId="042A75E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部门本年度结转结余总额与支出预算数的比率，反映和评价单位对本年度结转结余资金的实际控制程度。</w:t>
            </w:r>
          </w:p>
        </w:tc>
        <w:tc>
          <w:tcPr>
            <w:tcW w:w="1904" w:type="pct"/>
            <w:shd w:val="clear" w:color="auto" w:fill="auto"/>
            <w:vAlign w:val="center"/>
          </w:tcPr>
          <w:p w14:paraId="6BFA701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评价要点：结转结余率=结转结余总额/支出预算数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结转结余率=0，得满分；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结转结余率≧50%，得0分；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0%＜结转结余率＜50%，得分=（50%-结转结余率）/50%×该指标分值。</w:t>
            </w:r>
          </w:p>
        </w:tc>
      </w:tr>
      <w:tr w14:paraId="2666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6F301BE">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53968BBF">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517C014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公用经费控制率（2分）</w:t>
            </w:r>
          </w:p>
        </w:tc>
        <w:tc>
          <w:tcPr>
            <w:tcW w:w="1260" w:type="pct"/>
            <w:shd w:val="clear" w:color="auto" w:fill="auto"/>
            <w:vAlign w:val="center"/>
          </w:tcPr>
          <w:p w14:paraId="1D4A6B19">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部门本年度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实际支出数与预算安排数的比率,用以反映和考核部门对</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的实际控制程度。</w:t>
            </w:r>
          </w:p>
        </w:tc>
        <w:tc>
          <w:tcPr>
            <w:tcW w:w="1904" w:type="pct"/>
            <w:shd w:val="clear" w:color="auto" w:fill="auto"/>
            <w:vAlign w:val="center"/>
          </w:tcPr>
          <w:p w14:paraId="4AFB512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评价要点：公用经费控制率=（实际支出公用经费总额/预算安排公用经费总额）</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公用经费控制率≦100%，得满分；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公用经费控制率≧105%，得0分；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100%＜公用经费控制率&lt;105%，得分=（105%-公用经费控制率）/5%×该指标分值。</w:t>
            </w:r>
          </w:p>
        </w:tc>
      </w:tr>
      <w:tr w14:paraId="6ACA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826824E">
            <w:pPr>
              <w:widowControl w:val="0"/>
              <w:overflowPunct w:val="0"/>
              <w:spacing w:line="408" w:lineRule="auto"/>
              <w:rPr>
                <w:rFonts w:hint="eastAsia" w:ascii="仿宋" w:hAnsi="仿宋" w:eastAsia="仿宋"/>
                <w:bCs/>
                <w:sz w:val="18"/>
                <w:lang w:eastAsia="zh-CN"/>
              </w:rPr>
            </w:pPr>
          </w:p>
        </w:tc>
        <w:tc>
          <w:tcPr>
            <w:tcW w:w="593" w:type="pct"/>
            <w:vMerge w:val="restart"/>
            <w:shd w:val="clear" w:color="auto" w:fill="auto"/>
            <w:vAlign w:val="center"/>
          </w:tcPr>
          <w:p w14:paraId="6861A12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预算管理（13分）</w:t>
            </w:r>
          </w:p>
        </w:tc>
        <w:tc>
          <w:tcPr>
            <w:tcW w:w="815" w:type="pct"/>
            <w:shd w:val="clear" w:color="auto" w:fill="auto"/>
            <w:vAlign w:val="center"/>
          </w:tcPr>
          <w:p w14:paraId="0471606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管理制度健全性（1.5分）</w:t>
            </w:r>
          </w:p>
        </w:tc>
        <w:tc>
          <w:tcPr>
            <w:tcW w:w="1260" w:type="pct"/>
            <w:shd w:val="clear" w:color="auto" w:fill="auto"/>
            <w:vAlign w:val="center"/>
          </w:tcPr>
          <w:p w14:paraId="0C8CA24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部门为加强预算管理、规范财务行为而制定的管理制度是否健全完整，用以反映和考核部门预算管理制度对完成主要职责或促进事业发展的保障情况。</w:t>
            </w:r>
          </w:p>
        </w:tc>
        <w:tc>
          <w:tcPr>
            <w:tcW w:w="1904" w:type="pct"/>
            <w:shd w:val="clear" w:color="auto" w:fill="auto"/>
            <w:vAlign w:val="center"/>
          </w:tcPr>
          <w:p w14:paraId="0A39E9C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是否已制定或具有预算资金管理办法、内部财务管理制度、会计核算制度等管理制度；</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相关管理制度是否合法、合规、完整；</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相关管理制度是否得到有效执行。</w:t>
            </w:r>
            <w:r>
              <w:rPr>
                <w:rFonts w:hint="eastAsia" w:ascii="仿宋" w:hAnsi="仿宋" w:eastAsia="仿宋"/>
                <w:bCs/>
                <w:sz w:val="18"/>
                <w:lang w:eastAsia="zh-CN"/>
              </w:rPr>
              <w:br w:type="textWrapping"/>
            </w:r>
            <w:r>
              <w:rPr>
                <w:rFonts w:hint="eastAsia" w:ascii="仿宋" w:hAnsi="仿宋" w:eastAsia="仿宋"/>
                <w:bCs/>
                <w:sz w:val="18"/>
                <w:lang w:eastAsia="zh-CN"/>
              </w:rPr>
              <w:t>一项不符合扣0.5分。</w:t>
            </w:r>
          </w:p>
        </w:tc>
      </w:tr>
      <w:tr w14:paraId="6D09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EF4F029">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05AE1111">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1D16730">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政府采购管理（1分）</w:t>
            </w:r>
          </w:p>
        </w:tc>
        <w:tc>
          <w:tcPr>
            <w:tcW w:w="1260" w:type="pct"/>
            <w:shd w:val="clear" w:color="auto" w:fill="auto"/>
            <w:vAlign w:val="center"/>
          </w:tcPr>
          <w:p w14:paraId="59703DC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主要评价部门（单位）本年度政府采购是否执行政府采购相关规定和要求，用以反映和考核部门（单位）政府采购预算执行情况。</w:t>
            </w:r>
          </w:p>
        </w:tc>
        <w:tc>
          <w:tcPr>
            <w:tcW w:w="1904" w:type="pct"/>
            <w:shd w:val="clear" w:color="auto" w:fill="auto"/>
            <w:vAlign w:val="center"/>
          </w:tcPr>
          <w:p w14:paraId="41FEF4F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是否按照规定编制政府采购预算；</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是否编制了政府采购计划表，编制是否准确；</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政府采购预算资金申请是否合规；</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是否存在政府采购未按规定公开招标、违规采购等违规行为。</w:t>
            </w:r>
            <w:r>
              <w:rPr>
                <w:rFonts w:hint="eastAsia" w:ascii="仿宋" w:hAnsi="仿宋" w:eastAsia="仿宋"/>
                <w:bCs/>
                <w:sz w:val="18"/>
                <w:lang w:eastAsia="zh-CN"/>
              </w:rPr>
              <w:br w:type="textWrapping"/>
            </w:r>
            <w:r>
              <w:rPr>
                <w:rFonts w:hint="eastAsia" w:ascii="仿宋" w:hAnsi="仿宋" w:eastAsia="仿宋"/>
                <w:bCs/>
                <w:sz w:val="18"/>
                <w:lang w:eastAsia="zh-CN"/>
              </w:rPr>
              <w:t>一项不符合扣0.25分。</w:t>
            </w:r>
          </w:p>
        </w:tc>
      </w:tr>
      <w:tr w14:paraId="335C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5CFF3B04">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4687E91C">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6706BD2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会计核算规范性（4分）</w:t>
            </w:r>
          </w:p>
        </w:tc>
        <w:tc>
          <w:tcPr>
            <w:tcW w:w="1260" w:type="pct"/>
            <w:shd w:val="clear" w:color="auto" w:fill="auto"/>
            <w:vAlign w:val="center"/>
          </w:tcPr>
          <w:p w14:paraId="08933CD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主要评价部门（单位）财务会计核算是否规范，是否符合会计准则的相关规定，是否符合财务管理制度，用以反映和考核部门（单位）财务会计核算情况。</w:t>
            </w:r>
          </w:p>
        </w:tc>
        <w:tc>
          <w:tcPr>
            <w:tcW w:w="1904" w:type="pct"/>
            <w:shd w:val="clear" w:color="auto" w:fill="auto"/>
            <w:vAlign w:val="center"/>
          </w:tcPr>
          <w:p w14:paraId="1390C18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是否遵循会计准则，会计科目使用是否正确，记账凭证填写是否规范；</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会计报表、财务报告编制是否准确、及时；</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应缴财政款年末是否按规定年终清缴后无余额；</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是否存在截留、挤占、挪用、虚列支出的情况。</w:t>
            </w:r>
            <w:r>
              <w:rPr>
                <w:rFonts w:hint="eastAsia" w:ascii="仿宋" w:hAnsi="仿宋" w:eastAsia="仿宋"/>
                <w:bCs/>
                <w:sz w:val="18"/>
                <w:lang w:eastAsia="zh-CN"/>
              </w:rPr>
              <w:br w:type="textWrapping"/>
            </w:r>
            <w:r>
              <w:rPr>
                <w:rFonts w:hint="eastAsia" w:ascii="仿宋" w:hAnsi="仿宋" w:eastAsia="仿宋"/>
                <w:bCs/>
                <w:sz w:val="18"/>
                <w:lang w:eastAsia="zh-CN"/>
              </w:rPr>
              <w:t>一项不符扣1分，扣完为止。</w:t>
            </w:r>
          </w:p>
        </w:tc>
      </w:tr>
      <w:tr w14:paraId="375F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78F69298">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2662D2C6">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383CABA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预决算信息公开性（1分）</w:t>
            </w:r>
          </w:p>
        </w:tc>
        <w:tc>
          <w:tcPr>
            <w:tcW w:w="1260" w:type="pct"/>
            <w:shd w:val="clear" w:color="auto" w:fill="auto"/>
            <w:vAlign w:val="center"/>
          </w:tcPr>
          <w:p w14:paraId="0A92089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是否按照政府信息公开有关规定及预决算批复文件中要求的格式、时限公开相关预决算信息，用以反映和评价部门预决算管理的公开透明情况。</w:t>
            </w:r>
          </w:p>
        </w:tc>
        <w:tc>
          <w:tcPr>
            <w:tcW w:w="1904" w:type="pct"/>
            <w:shd w:val="clear" w:color="auto" w:fill="auto"/>
            <w:vAlign w:val="center"/>
          </w:tcPr>
          <w:p w14:paraId="1F5FC04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按要求的格式、时限公开预算（0.5分）；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按要求的格式、时限公开决算（0.5分）；</w:t>
            </w:r>
          </w:p>
        </w:tc>
      </w:tr>
      <w:tr w14:paraId="5F73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05B7F227">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7CD16A7A">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8EEBFE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合同管理规范性（1.5分）</w:t>
            </w:r>
          </w:p>
        </w:tc>
        <w:tc>
          <w:tcPr>
            <w:tcW w:w="1260" w:type="pct"/>
            <w:shd w:val="clear" w:color="auto" w:fill="auto"/>
            <w:vAlign w:val="center"/>
          </w:tcPr>
          <w:p w14:paraId="4A441AC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主要评价部门（单位）合同的签订是否符合《中华人民共和国民法典》的相关规定。</w:t>
            </w:r>
          </w:p>
        </w:tc>
        <w:tc>
          <w:tcPr>
            <w:tcW w:w="1904" w:type="pct"/>
            <w:shd w:val="clear" w:color="auto" w:fill="auto"/>
            <w:vAlign w:val="center"/>
          </w:tcPr>
          <w:p w14:paraId="31C4A17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单位的合同管理是否规范；</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内容和权责是否明确；</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双方是否按照合同条款，履行合同的权利和义务。</w:t>
            </w:r>
            <w:r>
              <w:rPr>
                <w:rFonts w:hint="eastAsia" w:ascii="仿宋" w:hAnsi="仿宋" w:eastAsia="仿宋"/>
                <w:bCs/>
                <w:sz w:val="18"/>
                <w:lang w:eastAsia="zh-CN"/>
              </w:rPr>
              <w:br w:type="textWrapping"/>
            </w:r>
            <w:r>
              <w:rPr>
                <w:rFonts w:hint="eastAsia" w:ascii="仿宋" w:hAnsi="仿宋" w:eastAsia="仿宋"/>
                <w:bCs/>
                <w:sz w:val="18"/>
                <w:lang w:eastAsia="zh-CN"/>
              </w:rPr>
              <w:t>一项不符扣0.5分，扣完为止。</w:t>
            </w:r>
          </w:p>
        </w:tc>
      </w:tr>
      <w:tr w14:paraId="37D9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345EAF9B">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2F83A520">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686291F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资产管理完整性（1分）</w:t>
            </w:r>
          </w:p>
        </w:tc>
        <w:tc>
          <w:tcPr>
            <w:tcW w:w="1260" w:type="pct"/>
            <w:shd w:val="clear" w:color="auto" w:fill="auto"/>
            <w:vAlign w:val="center"/>
          </w:tcPr>
          <w:p w14:paraId="2886ACA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主要评价部门（单位）对于单位资产的管理是否完整，是否做到账实相符。</w:t>
            </w:r>
          </w:p>
        </w:tc>
        <w:tc>
          <w:tcPr>
            <w:tcW w:w="1904" w:type="pct"/>
            <w:shd w:val="clear" w:color="auto" w:fill="auto"/>
            <w:vAlign w:val="center"/>
          </w:tcPr>
          <w:p w14:paraId="519AB9D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抽查主管单位和下级单位资产管理制度是否健全、完整、合法；</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抽查主管单位和下级单位资产管理是否账实相符；</w:t>
            </w:r>
            <w:r>
              <w:rPr>
                <w:rFonts w:hint="eastAsia" w:ascii="仿宋" w:hAnsi="仿宋" w:eastAsia="仿宋"/>
                <w:bCs/>
                <w:sz w:val="18"/>
                <w:lang w:eastAsia="zh-CN"/>
              </w:rPr>
              <w:br w:type="textWrapping"/>
            </w:r>
            <w:r>
              <w:rPr>
                <w:rFonts w:hint="eastAsia" w:ascii="仿宋" w:hAnsi="仿宋" w:eastAsia="仿宋"/>
                <w:bCs/>
                <w:sz w:val="18"/>
                <w:lang w:eastAsia="zh-CN"/>
              </w:rPr>
              <w:t>一项不符扣0.5分，扣完为止。</w:t>
            </w:r>
          </w:p>
        </w:tc>
      </w:tr>
      <w:tr w14:paraId="5706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069BF7BC">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287B9561">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281E78E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绩效自评合规性（3分）</w:t>
            </w:r>
          </w:p>
        </w:tc>
        <w:tc>
          <w:tcPr>
            <w:tcW w:w="1260" w:type="pct"/>
            <w:shd w:val="clear" w:color="auto" w:fill="auto"/>
            <w:vAlign w:val="center"/>
          </w:tcPr>
          <w:p w14:paraId="3411783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主要评价部门（单位）是否按要求开展绩效自评工作；绩效自评报告是否报送及时，绩效自评是否真实可靠。</w:t>
            </w:r>
          </w:p>
        </w:tc>
        <w:tc>
          <w:tcPr>
            <w:tcW w:w="1904" w:type="pct"/>
            <w:shd w:val="clear" w:color="auto" w:fill="auto"/>
            <w:vAlign w:val="center"/>
          </w:tcPr>
          <w:p w14:paraId="1D3D62D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是否按要求开展绩效自评工作；</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绩效自评报告是否报送及时；</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绩效自评报告是否完整，数据是否全面、真实、准确，绩效指标是否细化量化和科学合理；</w:t>
            </w:r>
            <w:r>
              <w:rPr>
                <w:rFonts w:hint="eastAsia" w:ascii="仿宋" w:hAnsi="仿宋" w:eastAsia="仿宋"/>
                <w:bCs/>
                <w:sz w:val="18"/>
                <w:lang w:eastAsia="zh-CN"/>
              </w:rPr>
              <w:br w:type="textWrapping"/>
            </w:r>
            <w:r>
              <w:rPr>
                <w:rFonts w:hint="eastAsia" w:ascii="仿宋" w:hAnsi="仿宋" w:eastAsia="仿宋"/>
                <w:bCs/>
                <w:sz w:val="18"/>
                <w:lang w:eastAsia="zh-CN"/>
              </w:rPr>
              <w:t>一项不符扣1分，扣完为止。</w:t>
            </w:r>
          </w:p>
        </w:tc>
      </w:tr>
      <w:tr w14:paraId="0821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restart"/>
            <w:shd w:val="clear" w:color="auto" w:fill="auto"/>
            <w:vAlign w:val="center"/>
          </w:tcPr>
          <w:p w14:paraId="170164B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产出（34%）</w:t>
            </w:r>
          </w:p>
        </w:tc>
        <w:tc>
          <w:tcPr>
            <w:tcW w:w="593" w:type="pct"/>
            <w:vMerge w:val="restart"/>
            <w:shd w:val="clear" w:color="auto" w:fill="auto"/>
            <w:vAlign w:val="center"/>
          </w:tcPr>
          <w:p w14:paraId="2B81B1C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产出数量</w:t>
            </w:r>
            <w:r>
              <w:rPr>
                <w:rFonts w:hint="eastAsia" w:ascii="仿宋" w:hAnsi="仿宋" w:eastAsia="仿宋"/>
                <w:bCs/>
                <w:sz w:val="18"/>
              </w:rPr>
              <w:t>（</w:t>
            </w:r>
            <w:r>
              <w:rPr>
                <w:rFonts w:hint="eastAsia" w:ascii="仿宋" w:hAnsi="仿宋" w:eastAsia="仿宋"/>
                <w:bCs/>
                <w:sz w:val="18"/>
                <w:lang w:eastAsia="zh-CN"/>
              </w:rPr>
              <w:t>18分）</w:t>
            </w:r>
          </w:p>
        </w:tc>
        <w:tc>
          <w:tcPr>
            <w:tcW w:w="815" w:type="pct"/>
            <w:shd w:val="clear" w:color="auto" w:fill="auto"/>
            <w:vAlign w:val="center"/>
          </w:tcPr>
          <w:p w14:paraId="298DC4F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安全隐患排查数量（3分）</w:t>
            </w:r>
          </w:p>
        </w:tc>
        <w:tc>
          <w:tcPr>
            <w:tcW w:w="1260" w:type="pct"/>
            <w:shd w:val="clear" w:color="auto" w:fill="auto"/>
            <w:vAlign w:val="center"/>
          </w:tcPr>
          <w:p w14:paraId="3ECAB909">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主要评价部门（单位）在企业安全生产检查的过程中排查安全隐患点的数量，用以考核部门在企业安全生产检查中的工作情况。</w:t>
            </w:r>
          </w:p>
        </w:tc>
        <w:tc>
          <w:tcPr>
            <w:tcW w:w="1904" w:type="pct"/>
            <w:shd w:val="clear" w:color="auto" w:fill="auto"/>
            <w:vAlign w:val="center"/>
          </w:tcPr>
          <w:p w14:paraId="02295EA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隐患排查数量</w:t>
            </w:r>
            <w:r>
              <w:rPr>
                <w:rFonts w:ascii="仿宋" w:hAnsi="仿宋" w:eastAsia="仿宋"/>
                <w:bCs/>
                <w:sz w:val="18"/>
                <w:lang w:eastAsia="zh-CN"/>
              </w:rPr>
              <w:t>≥</w:t>
            </w:r>
            <w:r>
              <w:rPr>
                <w:rFonts w:hint="eastAsia" w:ascii="仿宋" w:hAnsi="仿宋" w:eastAsia="仿宋"/>
                <w:bCs/>
                <w:sz w:val="18"/>
                <w:lang w:eastAsia="zh-CN"/>
              </w:rPr>
              <w:t>300项，得3分；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300项&gt;隐患排查项目</w:t>
            </w:r>
            <w:r>
              <w:rPr>
                <w:rFonts w:ascii="仿宋" w:hAnsi="仿宋" w:eastAsia="仿宋"/>
                <w:bCs/>
                <w:sz w:val="18"/>
                <w:lang w:eastAsia="zh-CN"/>
              </w:rPr>
              <w:t>≥</w:t>
            </w:r>
            <w:r>
              <w:rPr>
                <w:rFonts w:hint="eastAsia" w:ascii="仿宋" w:hAnsi="仿宋" w:eastAsia="仿宋"/>
                <w:bCs/>
                <w:sz w:val="18"/>
                <w:lang w:eastAsia="zh-CN"/>
              </w:rPr>
              <w:t>250项，得2分；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250项&gt;隐患排查项目</w:t>
            </w:r>
            <w:r>
              <w:rPr>
                <w:rFonts w:ascii="仿宋" w:hAnsi="仿宋" w:eastAsia="仿宋"/>
                <w:bCs/>
                <w:sz w:val="18"/>
                <w:lang w:eastAsia="zh-CN"/>
              </w:rPr>
              <w:t>≥</w:t>
            </w:r>
            <w:r>
              <w:rPr>
                <w:rFonts w:hint="eastAsia" w:ascii="仿宋" w:hAnsi="仿宋" w:eastAsia="仿宋"/>
                <w:bCs/>
                <w:sz w:val="18"/>
                <w:lang w:eastAsia="zh-CN"/>
              </w:rPr>
              <w:t>200项，得1分；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200项&gt;隐患排查项目，得0分。</w:t>
            </w:r>
          </w:p>
        </w:tc>
      </w:tr>
      <w:tr w14:paraId="1369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535567DA">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0E7DE626">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EF2EC0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累计辅导企业次数（3分）</w:t>
            </w:r>
          </w:p>
        </w:tc>
        <w:tc>
          <w:tcPr>
            <w:tcW w:w="1260" w:type="pct"/>
            <w:shd w:val="clear" w:color="auto" w:fill="auto"/>
            <w:vAlign w:val="center"/>
          </w:tcPr>
          <w:p w14:paraId="18550F60">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主要评价部门（单位）在企业安全生产检查的过程中组织专家累计辅导帮助企业排查发现安全隐患、制度缺失、体系运行不到位和不规范等问题的次数。</w:t>
            </w:r>
          </w:p>
        </w:tc>
        <w:tc>
          <w:tcPr>
            <w:tcW w:w="1904" w:type="pct"/>
            <w:shd w:val="clear" w:color="auto" w:fill="auto"/>
            <w:vAlign w:val="center"/>
          </w:tcPr>
          <w:p w14:paraId="123B990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辅导企业次数</w:t>
            </w:r>
            <w:r>
              <w:rPr>
                <w:rFonts w:ascii="仿宋" w:hAnsi="仿宋" w:eastAsia="仿宋"/>
                <w:bCs/>
                <w:sz w:val="18"/>
                <w:lang w:eastAsia="zh-CN"/>
              </w:rPr>
              <w:t>≥</w:t>
            </w:r>
            <w:r>
              <w:rPr>
                <w:rFonts w:hint="eastAsia" w:ascii="仿宋" w:hAnsi="仿宋" w:eastAsia="仿宋"/>
                <w:bCs/>
                <w:sz w:val="18"/>
                <w:lang w:eastAsia="zh-CN"/>
              </w:rPr>
              <w:t>80次，得3分；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80次&gt;辅导企业次数</w:t>
            </w:r>
            <w:r>
              <w:rPr>
                <w:rFonts w:ascii="仿宋" w:hAnsi="仿宋" w:eastAsia="仿宋"/>
                <w:bCs/>
                <w:sz w:val="18"/>
                <w:lang w:eastAsia="zh-CN"/>
              </w:rPr>
              <w:t>≥</w:t>
            </w:r>
            <w:r>
              <w:rPr>
                <w:rFonts w:hint="eastAsia" w:ascii="仿宋" w:hAnsi="仿宋" w:eastAsia="仿宋"/>
                <w:bCs/>
                <w:sz w:val="18"/>
                <w:lang w:eastAsia="zh-CN"/>
              </w:rPr>
              <w:t>70次，得2分；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70次&gt;辅导企业次数</w:t>
            </w:r>
            <w:r>
              <w:rPr>
                <w:rFonts w:ascii="仿宋" w:hAnsi="仿宋" w:eastAsia="仿宋"/>
                <w:bCs/>
                <w:sz w:val="18"/>
                <w:lang w:eastAsia="zh-CN"/>
              </w:rPr>
              <w:t>≥</w:t>
            </w:r>
            <w:r>
              <w:rPr>
                <w:rFonts w:hint="eastAsia" w:ascii="仿宋" w:hAnsi="仿宋" w:eastAsia="仿宋"/>
                <w:bCs/>
                <w:sz w:val="18"/>
                <w:lang w:eastAsia="zh-CN"/>
              </w:rPr>
              <w:t>60次，得1分；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60次&gt;辅导企业次数，得0分。</w:t>
            </w:r>
          </w:p>
        </w:tc>
      </w:tr>
      <w:tr w14:paraId="25A8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767B21E4">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6CD0216F">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79F980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累计建立标杆企业数量（3分）</w:t>
            </w:r>
          </w:p>
        </w:tc>
        <w:tc>
          <w:tcPr>
            <w:tcW w:w="1260" w:type="pct"/>
            <w:shd w:val="clear" w:color="auto" w:fill="auto"/>
            <w:vAlign w:val="center"/>
          </w:tcPr>
          <w:p w14:paraId="10985CB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主要评价部门（单位）在企业安全生产检查的过程中对优质标杆企业的培养程度。</w:t>
            </w:r>
          </w:p>
        </w:tc>
        <w:tc>
          <w:tcPr>
            <w:tcW w:w="1904" w:type="pct"/>
            <w:shd w:val="clear" w:color="auto" w:fill="auto"/>
            <w:vAlign w:val="center"/>
          </w:tcPr>
          <w:p w14:paraId="4029FBA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标杆企业数量</w:t>
            </w:r>
            <w:r>
              <w:rPr>
                <w:rFonts w:ascii="仿宋" w:hAnsi="仿宋" w:eastAsia="仿宋"/>
                <w:bCs/>
                <w:sz w:val="18"/>
                <w:lang w:eastAsia="zh-CN"/>
              </w:rPr>
              <w:t>≥</w:t>
            </w:r>
            <w:r>
              <w:rPr>
                <w:rFonts w:hint="eastAsia" w:ascii="仿宋" w:hAnsi="仿宋" w:eastAsia="仿宋"/>
                <w:bCs/>
                <w:sz w:val="18"/>
                <w:lang w:eastAsia="zh-CN"/>
              </w:rPr>
              <w:t>30家，得3分；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30家&gt;标杆企业数量</w:t>
            </w:r>
            <w:r>
              <w:rPr>
                <w:rFonts w:ascii="仿宋" w:hAnsi="仿宋" w:eastAsia="仿宋"/>
                <w:bCs/>
                <w:sz w:val="18"/>
                <w:lang w:eastAsia="zh-CN"/>
              </w:rPr>
              <w:t>≥</w:t>
            </w:r>
            <w:r>
              <w:rPr>
                <w:rFonts w:hint="eastAsia" w:ascii="仿宋" w:hAnsi="仿宋" w:eastAsia="仿宋"/>
                <w:bCs/>
                <w:sz w:val="18"/>
                <w:lang w:eastAsia="zh-CN"/>
              </w:rPr>
              <w:t>25家，得2分；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25家&gt;标杆企业数量</w:t>
            </w:r>
            <w:r>
              <w:rPr>
                <w:rFonts w:ascii="仿宋" w:hAnsi="仿宋" w:eastAsia="仿宋"/>
                <w:bCs/>
                <w:sz w:val="18"/>
                <w:lang w:eastAsia="zh-CN"/>
              </w:rPr>
              <w:t>≥</w:t>
            </w:r>
            <w:r>
              <w:rPr>
                <w:rFonts w:hint="eastAsia" w:ascii="仿宋" w:hAnsi="仿宋" w:eastAsia="仿宋"/>
                <w:bCs/>
                <w:sz w:val="18"/>
                <w:lang w:eastAsia="zh-CN"/>
              </w:rPr>
              <w:t>20家，得1分；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15家&gt;标杆企业数量，得0分。</w:t>
            </w:r>
          </w:p>
        </w:tc>
      </w:tr>
      <w:tr w14:paraId="50E0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DC6FD39">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45ED30B3">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3772175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累计动态执法监管企业数量（3分）</w:t>
            </w:r>
          </w:p>
        </w:tc>
        <w:tc>
          <w:tcPr>
            <w:tcW w:w="1260" w:type="pct"/>
            <w:shd w:val="clear" w:color="auto" w:fill="auto"/>
            <w:vAlign w:val="center"/>
          </w:tcPr>
          <w:p w14:paraId="2EF58BE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主要评价部门（单位）在企业安全生产检查的过程中对企业进行执法监管的累计数量。</w:t>
            </w:r>
          </w:p>
        </w:tc>
        <w:tc>
          <w:tcPr>
            <w:tcW w:w="1904" w:type="pct"/>
            <w:shd w:val="clear" w:color="auto" w:fill="auto"/>
            <w:vAlign w:val="center"/>
          </w:tcPr>
          <w:p w14:paraId="1D04814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动态监管企业数量</w:t>
            </w:r>
            <w:r>
              <w:rPr>
                <w:rFonts w:ascii="仿宋" w:hAnsi="仿宋" w:eastAsia="仿宋"/>
                <w:bCs/>
                <w:sz w:val="18"/>
                <w:lang w:eastAsia="zh-CN"/>
              </w:rPr>
              <w:t>≥</w:t>
            </w:r>
            <w:r>
              <w:rPr>
                <w:rFonts w:hint="eastAsia" w:ascii="仿宋" w:hAnsi="仿宋" w:eastAsia="仿宋"/>
                <w:bCs/>
                <w:sz w:val="18"/>
                <w:lang w:eastAsia="zh-CN"/>
              </w:rPr>
              <w:t>1000家，得3分；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1000家&gt;动态监管企业数量</w:t>
            </w:r>
            <w:r>
              <w:rPr>
                <w:rFonts w:ascii="仿宋" w:hAnsi="仿宋" w:eastAsia="仿宋"/>
                <w:bCs/>
                <w:sz w:val="18"/>
                <w:lang w:eastAsia="zh-CN"/>
              </w:rPr>
              <w:t>≥</w:t>
            </w:r>
            <w:r>
              <w:rPr>
                <w:rFonts w:hint="eastAsia" w:ascii="仿宋" w:hAnsi="仿宋" w:eastAsia="仿宋"/>
                <w:bCs/>
                <w:sz w:val="18"/>
                <w:lang w:eastAsia="zh-CN"/>
              </w:rPr>
              <w:t>950家，得2分；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950家&gt;动态监管企业数量</w:t>
            </w:r>
            <w:r>
              <w:rPr>
                <w:rFonts w:ascii="仿宋" w:hAnsi="仿宋" w:eastAsia="仿宋"/>
                <w:bCs/>
                <w:sz w:val="18"/>
                <w:lang w:eastAsia="zh-CN"/>
              </w:rPr>
              <w:t>≥</w:t>
            </w:r>
            <w:r>
              <w:rPr>
                <w:rFonts w:hint="eastAsia" w:ascii="仿宋" w:hAnsi="仿宋" w:eastAsia="仿宋"/>
                <w:bCs/>
                <w:sz w:val="18"/>
                <w:lang w:eastAsia="zh-CN"/>
              </w:rPr>
              <w:t>900家，得1分；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900家&gt;动态监管企业数量，得0分。</w:t>
            </w:r>
          </w:p>
        </w:tc>
      </w:tr>
      <w:tr w14:paraId="6B5E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51016D1">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75481FB9">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6AF5E73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防火消防专业队的人数（3分）</w:t>
            </w:r>
          </w:p>
        </w:tc>
        <w:tc>
          <w:tcPr>
            <w:tcW w:w="1260" w:type="pct"/>
            <w:shd w:val="clear" w:color="auto" w:fill="auto"/>
            <w:vAlign w:val="center"/>
          </w:tcPr>
          <w:p w14:paraId="76B39E6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主要评价部门（单位）在森林火灾防治上对森林防火消防专业队的建设情况。</w:t>
            </w:r>
          </w:p>
        </w:tc>
        <w:tc>
          <w:tcPr>
            <w:tcW w:w="1904" w:type="pct"/>
            <w:shd w:val="clear" w:color="auto" w:fill="auto"/>
            <w:vAlign w:val="center"/>
          </w:tcPr>
          <w:p w14:paraId="63D1315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人数</w:t>
            </w:r>
            <w:r>
              <w:rPr>
                <w:rFonts w:ascii="仿宋" w:hAnsi="仿宋" w:eastAsia="仿宋"/>
                <w:bCs/>
                <w:sz w:val="18"/>
                <w:lang w:eastAsia="zh-CN"/>
              </w:rPr>
              <w:t>≥</w:t>
            </w:r>
            <w:r>
              <w:rPr>
                <w:rFonts w:hint="eastAsia" w:ascii="仿宋" w:hAnsi="仿宋" w:eastAsia="仿宋"/>
                <w:bCs/>
                <w:sz w:val="18"/>
                <w:lang w:eastAsia="zh-CN"/>
              </w:rPr>
              <w:t>50人，得3分；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50人&gt;人数</w:t>
            </w:r>
            <w:r>
              <w:rPr>
                <w:rFonts w:ascii="仿宋" w:hAnsi="仿宋" w:eastAsia="仿宋"/>
                <w:bCs/>
                <w:sz w:val="18"/>
                <w:lang w:eastAsia="zh-CN"/>
              </w:rPr>
              <w:t>≥</w:t>
            </w:r>
            <w:r>
              <w:rPr>
                <w:rFonts w:hint="eastAsia" w:ascii="仿宋" w:hAnsi="仿宋" w:eastAsia="仿宋"/>
                <w:bCs/>
                <w:sz w:val="18"/>
                <w:lang w:eastAsia="zh-CN"/>
              </w:rPr>
              <w:t>45人，得2分；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45人&gt;人数</w:t>
            </w:r>
            <w:r>
              <w:rPr>
                <w:rFonts w:ascii="仿宋" w:hAnsi="仿宋" w:eastAsia="仿宋"/>
                <w:bCs/>
                <w:sz w:val="18"/>
                <w:lang w:eastAsia="zh-CN"/>
              </w:rPr>
              <w:t>≥</w:t>
            </w:r>
            <w:r>
              <w:rPr>
                <w:rFonts w:hint="eastAsia" w:ascii="仿宋" w:hAnsi="仿宋" w:eastAsia="仿宋"/>
                <w:bCs/>
                <w:sz w:val="18"/>
                <w:lang w:eastAsia="zh-CN"/>
              </w:rPr>
              <w:t>40人，得1分；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40人&gt;人数，得0分。</w:t>
            </w:r>
          </w:p>
        </w:tc>
      </w:tr>
      <w:tr w14:paraId="43CA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05F1E105">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2B522907">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9FCAB7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巩固提升避灾点的数量（3分）</w:t>
            </w:r>
          </w:p>
        </w:tc>
        <w:tc>
          <w:tcPr>
            <w:tcW w:w="1260" w:type="pct"/>
            <w:shd w:val="clear" w:color="auto" w:fill="auto"/>
            <w:vAlign w:val="center"/>
          </w:tcPr>
          <w:p w14:paraId="3D4AB75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主要评价部门（单位）对灾害防御能力的提升情况，对避灾点巩固提升的数量。</w:t>
            </w:r>
          </w:p>
        </w:tc>
        <w:tc>
          <w:tcPr>
            <w:tcW w:w="1904" w:type="pct"/>
            <w:shd w:val="clear" w:color="auto" w:fill="auto"/>
            <w:vAlign w:val="center"/>
          </w:tcPr>
          <w:p w14:paraId="7669616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巩固提升数量</w:t>
            </w:r>
            <w:r>
              <w:rPr>
                <w:rFonts w:ascii="仿宋" w:hAnsi="仿宋" w:eastAsia="仿宋"/>
                <w:bCs/>
                <w:sz w:val="18"/>
                <w:lang w:eastAsia="zh-CN"/>
              </w:rPr>
              <w:t>≥</w:t>
            </w:r>
            <w:r>
              <w:rPr>
                <w:rFonts w:hint="eastAsia" w:ascii="仿宋" w:hAnsi="仿宋" w:eastAsia="仿宋"/>
                <w:bCs/>
                <w:sz w:val="18"/>
                <w:lang w:eastAsia="zh-CN"/>
              </w:rPr>
              <w:t>10点，得3分；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10点&gt;巩固提升数量</w:t>
            </w:r>
            <w:r>
              <w:rPr>
                <w:rFonts w:ascii="仿宋" w:hAnsi="仿宋" w:eastAsia="仿宋"/>
                <w:bCs/>
                <w:sz w:val="18"/>
                <w:lang w:eastAsia="zh-CN"/>
              </w:rPr>
              <w:t>≥</w:t>
            </w:r>
            <w:r>
              <w:rPr>
                <w:rFonts w:hint="eastAsia" w:ascii="仿宋" w:hAnsi="仿宋" w:eastAsia="仿宋"/>
                <w:bCs/>
                <w:sz w:val="18"/>
                <w:lang w:eastAsia="zh-CN"/>
              </w:rPr>
              <w:t>8点，得2分；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8点&gt;巩固提升数量</w:t>
            </w:r>
            <w:r>
              <w:rPr>
                <w:rFonts w:ascii="仿宋" w:hAnsi="仿宋" w:eastAsia="仿宋"/>
                <w:bCs/>
                <w:sz w:val="18"/>
                <w:lang w:eastAsia="zh-CN"/>
              </w:rPr>
              <w:t>≥</w:t>
            </w:r>
            <w:r>
              <w:rPr>
                <w:rFonts w:hint="eastAsia" w:ascii="仿宋" w:hAnsi="仿宋" w:eastAsia="仿宋"/>
                <w:bCs/>
                <w:sz w:val="18"/>
                <w:lang w:eastAsia="zh-CN"/>
              </w:rPr>
              <w:t>6点，得1分；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6点&gt;巩固提升数量，得0分。</w:t>
            </w:r>
          </w:p>
        </w:tc>
      </w:tr>
      <w:tr w14:paraId="4318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0D04479">
            <w:pPr>
              <w:widowControl w:val="0"/>
              <w:overflowPunct w:val="0"/>
              <w:spacing w:line="408" w:lineRule="auto"/>
              <w:rPr>
                <w:rFonts w:hint="eastAsia" w:ascii="仿宋" w:hAnsi="仿宋" w:eastAsia="仿宋"/>
                <w:bCs/>
                <w:sz w:val="18"/>
                <w:lang w:eastAsia="zh-CN"/>
              </w:rPr>
            </w:pPr>
          </w:p>
        </w:tc>
        <w:tc>
          <w:tcPr>
            <w:tcW w:w="593" w:type="pct"/>
            <w:vMerge w:val="restart"/>
            <w:shd w:val="clear" w:color="auto" w:fill="auto"/>
            <w:vAlign w:val="center"/>
          </w:tcPr>
          <w:p w14:paraId="70DF915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产出质量（13分）</w:t>
            </w:r>
          </w:p>
        </w:tc>
        <w:tc>
          <w:tcPr>
            <w:tcW w:w="815" w:type="pct"/>
            <w:shd w:val="clear" w:color="auto" w:fill="auto"/>
            <w:vAlign w:val="center"/>
          </w:tcPr>
          <w:p w14:paraId="4BD8EB4A">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安全隐患整改率情况（3分）</w:t>
            </w:r>
          </w:p>
        </w:tc>
        <w:tc>
          <w:tcPr>
            <w:tcW w:w="1260" w:type="pct"/>
            <w:shd w:val="clear" w:color="auto" w:fill="auto"/>
            <w:vAlign w:val="center"/>
          </w:tcPr>
          <w:p w14:paraId="5BC7406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主要评价部门（单位）对企业进行检查之后的整改情况。</w:t>
            </w:r>
          </w:p>
        </w:tc>
        <w:tc>
          <w:tcPr>
            <w:tcW w:w="1904" w:type="pct"/>
            <w:shd w:val="clear" w:color="auto" w:fill="auto"/>
            <w:vAlign w:val="center"/>
          </w:tcPr>
          <w:p w14:paraId="05FFD84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隐患整改率</w:t>
            </w:r>
            <w:r>
              <w:rPr>
                <w:rFonts w:ascii="仿宋" w:hAnsi="仿宋" w:eastAsia="仿宋"/>
                <w:bCs/>
                <w:sz w:val="18"/>
                <w:lang w:eastAsia="zh-CN"/>
              </w:rPr>
              <w:t>≥</w:t>
            </w:r>
            <w:r>
              <w:rPr>
                <w:rFonts w:hint="eastAsia" w:ascii="仿宋" w:hAnsi="仿宋" w:eastAsia="仿宋"/>
                <w:bCs/>
                <w:sz w:val="18"/>
                <w:lang w:eastAsia="zh-CN"/>
              </w:rPr>
              <w:t>90%，得3分；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90%&gt;隐患整改率</w:t>
            </w:r>
            <w:r>
              <w:rPr>
                <w:rFonts w:ascii="仿宋" w:hAnsi="仿宋" w:eastAsia="仿宋"/>
                <w:bCs/>
                <w:sz w:val="18"/>
                <w:lang w:eastAsia="zh-CN"/>
              </w:rPr>
              <w:t>≥</w:t>
            </w:r>
            <w:r>
              <w:rPr>
                <w:rFonts w:hint="eastAsia" w:ascii="仿宋" w:hAnsi="仿宋" w:eastAsia="仿宋"/>
                <w:bCs/>
                <w:sz w:val="18"/>
                <w:lang w:eastAsia="zh-CN"/>
              </w:rPr>
              <w:t>85%，得2分；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85%&gt;隐患整改率</w:t>
            </w:r>
            <w:r>
              <w:rPr>
                <w:rFonts w:ascii="仿宋" w:hAnsi="仿宋" w:eastAsia="仿宋"/>
                <w:bCs/>
                <w:sz w:val="18"/>
                <w:lang w:eastAsia="zh-CN"/>
              </w:rPr>
              <w:t>≥</w:t>
            </w:r>
            <w:r>
              <w:rPr>
                <w:rFonts w:hint="eastAsia" w:ascii="仿宋" w:hAnsi="仿宋" w:eastAsia="仿宋"/>
                <w:bCs/>
                <w:sz w:val="18"/>
                <w:lang w:eastAsia="zh-CN"/>
              </w:rPr>
              <w:t>80%，得1分；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80%&gt;隐患整改率，得0分。</w:t>
            </w:r>
          </w:p>
        </w:tc>
      </w:tr>
      <w:tr w14:paraId="4D7C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186A4C4F">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40FE3576">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7355C3A2">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对专家的依赖情况（2分）</w:t>
            </w:r>
          </w:p>
        </w:tc>
        <w:tc>
          <w:tcPr>
            <w:tcW w:w="1260" w:type="pct"/>
            <w:shd w:val="clear" w:color="auto" w:fill="auto"/>
            <w:vAlign w:val="center"/>
          </w:tcPr>
          <w:p w14:paraId="3C3F20E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主要评价部门（单位）对企业进行安全生产检查过程中对专家的依赖程度。</w:t>
            </w:r>
          </w:p>
        </w:tc>
        <w:tc>
          <w:tcPr>
            <w:tcW w:w="1904" w:type="pct"/>
            <w:shd w:val="clear" w:color="auto" w:fill="auto"/>
            <w:vAlign w:val="center"/>
          </w:tcPr>
          <w:p w14:paraId="5CDE0BE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企业安全检查的过程中是否经常聘请专家；</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执法人员是否加强内部专业培训；</w:t>
            </w:r>
            <w:r>
              <w:rPr>
                <w:rFonts w:hint="eastAsia" w:ascii="仿宋" w:hAnsi="仿宋" w:eastAsia="仿宋"/>
                <w:bCs/>
                <w:sz w:val="18"/>
                <w:lang w:eastAsia="zh-CN"/>
              </w:rPr>
              <w:br w:type="textWrapping"/>
            </w:r>
            <w:r>
              <w:rPr>
                <w:rFonts w:hint="eastAsia" w:ascii="仿宋" w:hAnsi="仿宋" w:eastAsia="仿宋"/>
                <w:bCs/>
                <w:sz w:val="18"/>
                <w:lang w:eastAsia="zh-CN"/>
              </w:rPr>
              <w:t>一项不符合扣1分，扣完为止。</w:t>
            </w:r>
          </w:p>
        </w:tc>
      </w:tr>
      <w:tr w14:paraId="7920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54E01BAE">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3492BB01">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7C1CD23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对护林员的监督情况（2分）</w:t>
            </w:r>
          </w:p>
        </w:tc>
        <w:tc>
          <w:tcPr>
            <w:tcW w:w="1260" w:type="pct"/>
            <w:shd w:val="clear" w:color="auto" w:fill="auto"/>
            <w:vAlign w:val="center"/>
          </w:tcPr>
          <w:p w14:paraId="78B9019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主要评价部门（单位）对在森林防火防灾过程中，对护林员的监督程度。</w:t>
            </w:r>
          </w:p>
        </w:tc>
        <w:tc>
          <w:tcPr>
            <w:tcW w:w="1904" w:type="pct"/>
            <w:shd w:val="clear" w:color="auto" w:fill="auto"/>
            <w:vAlign w:val="center"/>
          </w:tcPr>
          <w:p w14:paraId="0C3D3FF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p>
          <w:p w14:paraId="24CC724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①是否对护林员日常的履职工作进行监督；</w:t>
            </w:r>
          </w:p>
          <w:p w14:paraId="5249BFF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②护林员是否完成日常工作。</w:t>
            </w:r>
          </w:p>
          <w:p w14:paraId="6C7FAD1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一项不符合扣</w:t>
            </w:r>
            <w:r>
              <w:rPr>
                <w:rFonts w:ascii="仿宋" w:hAnsi="仿宋" w:eastAsia="仿宋"/>
                <w:bCs/>
                <w:sz w:val="18"/>
                <w:lang w:eastAsia="zh-CN"/>
              </w:rPr>
              <w:t>1</w:t>
            </w:r>
            <w:r>
              <w:rPr>
                <w:rFonts w:hint="eastAsia" w:ascii="仿宋" w:hAnsi="仿宋" w:eastAsia="仿宋"/>
                <w:bCs/>
                <w:sz w:val="18"/>
                <w:lang w:eastAsia="zh-CN"/>
              </w:rPr>
              <w:t>分，扣完为止。</w:t>
            </w:r>
          </w:p>
        </w:tc>
      </w:tr>
      <w:tr w14:paraId="1604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3B51ACB0">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475ABB65">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7ED3FB4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对乡镇一级防火救灾建设的监督（3分）</w:t>
            </w:r>
          </w:p>
        </w:tc>
        <w:tc>
          <w:tcPr>
            <w:tcW w:w="1260" w:type="pct"/>
            <w:shd w:val="clear" w:color="auto" w:fill="auto"/>
            <w:vAlign w:val="center"/>
          </w:tcPr>
          <w:p w14:paraId="255B36E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主要评价部门（单位）对乡镇一级单位的森林防火救灾建设的监督情况。</w:t>
            </w:r>
          </w:p>
        </w:tc>
        <w:tc>
          <w:tcPr>
            <w:tcW w:w="1904" w:type="pct"/>
            <w:shd w:val="clear" w:color="auto" w:fill="auto"/>
            <w:vAlign w:val="center"/>
          </w:tcPr>
          <w:p w14:paraId="3756BFB2">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是否有走访乡镇一级单位；</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是否对半专业救火队的训练和建设进行监督；</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是否有对乡镇半专业救火队的备勤进行监督。</w:t>
            </w:r>
          </w:p>
        </w:tc>
      </w:tr>
      <w:tr w14:paraId="7FE3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7DA189E7">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39346C7D">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2B32BDC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群众救援响应速度（3分）</w:t>
            </w:r>
          </w:p>
        </w:tc>
        <w:tc>
          <w:tcPr>
            <w:tcW w:w="1260" w:type="pct"/>
            <w:shd w:val="clear" w:color="auto" w:fill="auto"/>
            <w:vAlign w:val="center"/>
          </w:tcPr>
          <w:p w14:paraId="54A6F78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主要评价部门（单位）在进行救灾抗灾群众救援时的响应时间情况。</w:t>
            </w:r>
          </w:p>
        </w:tc>
        <w:tc>
          <w:tcPr>
            <w:tcW w:w="1904" w:type="pct"/>
            <w:shd w:val="clear" w:color="auto" w:fill="auto"/>
            <w:vAlign w:val="center"/>
          </w:tcPr>
          <w:p w14:paraId="24738C8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响应速度</w:t>
            </w:r>
            <w:r>
              <w:rPr>
                <w:rFonts w:ascii="仿宋" w:hAnsi="仿宋" w:eastAsia="仿宋"/>
                <w:bCs/>
                <w:sz w:val="18"/>
                <w:lang w:eastAsia="zh-CN"/>
              </w:rPr>
              <w:t>≤</w:t>
            </w:r>
            <w:r>
              <w:rPr>
                <w:rFonts w:hint="eastAsia" w:ascii="仿宋" w:hAnsi="仿宋" w:eastAsia="仿宋"/>
                <w:bCs/>
                <w:sz w:val="18"/>
                <w:lang w:eastAsia="zh-CN"/>
              </w:rPr>
              <w:t>5分钟，得3分；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5分钟＜响应速度</w:t>
            </w:r>
            <w:r>
              <w:rPr>
                <w:rFonts w:ascii="仿宋" w:hAnsi="仿宋" w:eastAsia="仿宋"/>
                <w:bCs/>
                <w:sz w:val="18"/>
                <w:lang w:eastAsia="zh-CN"/>
              </w:rPr>
              <w:t>≤</w:t>
            </w:r>
            <w:r>
              <w:rPr>
                <w:rFonts w:hint="eastAsia" w:ascii="仿宋" w:hAnsi="仿宋" w:eastAsia="仿宋"/>
                <w:bCs/>
                <w:sz w:val="18"/>
                <w:lang w:eastAsia="zh-CN"/>
              </w:rPr>
              <w:t>10分钟，得2分；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10分钟＜响应速度</w:t>
            </w:r>
            <w:r>
              <w:rPr>
                <w:rFonts w:ascii="仿宋" w:hAnsi="仿宋" w:eastAsia="仿宋"/>
                <w:bCs/>
                <w:sz w:val="18"/>
                <w:lang w:eastAsia="zh-CN"/>
              </w:rPr>
              <w:t>≤</w:t>
            </w:r>
            <w:r>
              <w:rPr>
                <w:rFonts w:hint="eastAsia" w:ascii="仿宋" w:hAnsi="仿宋" w:eastAsia="仿宋"/>
                <w:bCs/>
                <w:sz w:val="18"/>
                <w:lang w:eastAsia="zh-CN"/>
              </w:rPr>
              <w:t>15分钟，得1分；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15分钟＜响应速度，得0分。</w:t>
            </w:r>
          </w:p>
        </w:tc>
      </w:tr>
      <w:tr w14:paraId="2183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69DD9F25">
            <w:pPr>
              <w:widowControl w:val="0"/>
              <w:overflowPunct w:val="0"/>
              <w:spacing w:line="408" w:lineRule="auto"/>
              <w:rPr>
                <w:rFonts w:hint="eastAsia" w:ascii="仿宋" w:hAnsi="仿宋" w:eastAsia="仿宋"/>
                <w:bCs/>
                <w:sz w:val="18"/>
                <w:lang w:eastAsia="zh-CN"/>
              </w:rPr>
            </w:pPr>
          </w:p>
        </w:tc>
        <w:tc>
          <w:tcPr>
            <w:tcW w:w="593" w:type="pct"/>
            <w:shd w:val="clear" w:color="auto" w:fill="auto"/>
            <w:vAlign w:val="center"/>
          </w:tcPr>
          <w:p w14:paraId="762F4FB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产出成本（3分）</w:t>
            </w:r>
          </w:p>
        </w:tc>
        <w:tc>
          <w:tcPr>
            <w:tcW w:w="815" w:type="pct"/>
            <w:shd w:val="clear" w:color="auto" w:fill="auto"/>
            <w:vAlign w:val="center"/>
          </w:tcPr>
          <w:p w14:paraId="10111FCE">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项目成本控制率（3分）</w:t>
            </w:r>
          </w:p>
        </w:tc>
        <w:tc>
          <w:tcPr>
            <w:tcW w:w="1260" w:type="pct"/>
            <w:shd w:val="clear" w:color="auto" w:fill="auto"/>
            <w:vAlign w:val="center"/>
          </w:tcPr>
          <w:p w14:paraId="7BFDE7E4">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主要评价部门（单位）在项目执行的过程中对项目投入成本的控制程度。</w:t>
            </w:r>
          </w:p>
        </w:tc>
        <w:tc>
          <w:tcPr>
            <w:tcW w:w="1904" w:type="pct"/>
            <w:shd w:val="clear" w:color="auto" w:fill="auto"/>
            <w:vAlign w:val="center"/>
          </w:tcPr>
          <w:p w14:paraId="56B60FA9">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成本控制率</w:t>
            </w:r>
            <w:r>
              <w:rPr>
                <w:rFonts w:ascii="仿宋" w:hAnsi="仿宋" w:eastAsia="仿宋"/>
                <w:bCs/>
                <w:sz w:val="18"/>
                <w:lang w:eastAsia="zh-CN"/>
              </w:rPr>
              <w:t>≤</w:t>
            </w:r>
            <w:r>
              <w:rPr>
                <w:rFonts w:hint="eastAsia" w:ascii="仿宋" w:hAnsi="仿宋" w:eastAsia="仿宋"/>
                <w:bCs/>
                <w:sz w:val="18"/>
                <w:lang w:eastAsia="zh-CN"/>
              </w:rPr>
              <w:t>100%，得3分；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100%＜成本控制率</w:t>
            </w:r>
            <w:r>
              <w:rPr>
                <w:rFonts w:ascii="仿宋" w:hAnsi="仿宋" w:eastAsia="仿宋"/>
                <w:bCs/>
                <w:sz w:val="18"/>
                <w:lang w:eastAsia="zh-CN"/>
              </w:rPr>
              <w:t>≤</w:t>
            </w:r>
            <w:r>
              <w:rPr>
                <w:rFonts w:hint="eastAsia" w:ascii="仿宋" w:hAnsi="仿宋" w:eastAsia="仿宋"/>
                <w:bCs/>
                <w:sz w:val="18"/>
                <w:lang w:eastAsia="zh-CN"/>
              </w:rPr>
              <w:t>103%，得2分；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103%＜成本控制率</w:t>
            </w:r>
            <w:r>
              <w:rPr>
                <w:rFonts w:ascii="仿宋" w:hAnsi="仿宋" w:eastAsia="仿宋"/>
                <w:bCs/>
                <w:sz w:val="18"/>
                <w:lang w:eastAsia="zh-CN"/>
              </w:rPr>
              <w:t>≤</w:t>
            </w:r>
            <w:r>
              <w:rPr>
                <w:rFonts w:hint="eastAsia" w:ascii="仿宋" w:hAnsi="仿宋" w:eastAsia="仿宋"/>
                <w:bCs/>
                <w:sz w:val="18"/>
                <w:lang w:eastAsia="zh-CN"/>
              </w:rPr>
              <w:t>106%，得1分；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106%＜成本控制率</w:t>
            </w:r>
            <w:r>
              <w:rPr>
                <w:rFonts w:ascii="仿宋" w:hAnsi="仿宋" w:eastAsia="仿宋"/>
                <w:bCs/>
                <w:sz w:val="18"/>
                <w:lang w:eastAsia="zh-CN"/>
              </w:rPr>
              <w:t>≤</w:t>
            </w:r>
            <w:r>
              <w:rPr>
                <w:rFonts w:hint="eastAsia" w:ascii="仿宋" w:hAnsi="仿宋" w:eastAsia="仿宋"/>
                <w:bCs/>
                <w:sz w:val="18"/>
                <w:lang w:eastAsia="zh-CN"/>
              </w:rPr>
              <w:t>109%，得0分。</w:t>
            </w:r>
          </w:p>
        </w:tc>
      </w:tr>
      <w:tr w14:paraId="3BEF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restart"/>
            <w:shd w:val="clear" w:color="auto" w:fill="auto"/>
            <w:vAlign w:val="center"/>
          </w:tcPr>
          <w:p w14:paraId="2C4884F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效益（29%）</w:t>
            </w:r>
          </w:p>
        </w:tc>
        <w:tc>
          <w:tcPr>
            <w:tcW w:w="593" w:type="pct"/>
            <w:vMerge w:val="restart"/>
            <w:shd w:val="clear" w:color="auto" w:fill="auto"/>
            <w:vAlign w:val="center"/>
          </w:tcPr>
          <w:p w14:paraId="7521F7C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社会效益（25分）</w:t>
            </w:r>
          </w:p>
        </w:tc>
        <w:tc>
          <w:tcPr>
            <w:tcW w:w="815" w:type="pct"/>
            <w:shd w:val="clear" w:color="auto" w:fill="auto"/>
            <w:vAlign w:val="center"/>
          </w:tcPr>
          <w:p w14:paraId="332B9DC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基层防汛能力标准化建设情况（5分）</w:t>
            </w:r>
          </w:p>
        </w:tc>
        <w:tc>
          <w:tcPr>
            <w:tcW w:w="1260" w:type="pct"/>
            <w:shd w:val="clear" w:color="auto" w:fill="auto"/>
            <w:vAlign w:val="center"/>
          </w:tcPr>
          <w:p w14:paraId="2B4FD6B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主要评价部门（单位）完成基层防汛能力标准化建设任务的村社数量。</w:t>
            </w:r>
          </w:p>
        </w:tc>
        <w:tc>
          <w:tcPr>
            <w:tcW w:w="1904" w:type="pct"/>
            <w:shd w:val="clear" w:color="auto" w:fill="auto"/>
            <w:vAlign w:val="center"/>
          </w:tcPr>
          <w:p w14:paraId="30EE2ADD">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村社数量</w:t>
            </w:r>
            <w:r>
              <w:rPr>
                <w:rFonts w:ascii="仿宋" w:hAnsi="仿宋" w:eastAsia="仿宋"/>
                <w:bCs/>
                <w:sz w:val="18"/>
                <w:lang w:eastAsia="zh-CN"/>
              </w:rPr>
              <w:t>≤</w:t>
            </w:r>
            <w:r>
              <w:rPr>
                <w:rFonts w:hint="eastAsia" w:ascii="仿宋" w:hAnsi="仿宋" w:eastAsia="仿宋"/>
                <w:bCs/>
                <w:sz w:val="18"/>
                <w:lang w:eastAsia="zh-CN"/>
              </w:rPr>
              <w:t>80个，得5分；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80个＜村社数量</w:t>
            </w:r>
            <w:r>
              <w:rPr>
                <w:rFonts w:ascii="仿宋" w:hAnsi="仿宋" w:eastAsia="仿宋"/>
                <w:bCs/>
                <w:sz w:val="18"/>
                <w:lang w:eastAsia="zh-CN"/>
              </w:rPr>
              <w:t>≤</w:t>
            </w:r>
            <w:r>
              <w:rPr>
                <w:rFonts w:hint="eastAsia" w:ascii="仿宋" w:hAnsi="仿宋" w:eastAsia="仿宋"/>
                <w:bCs/>
                <w:sz w:val="18"/>
                <w:lang w:eastAsia="zh-CN"/>
              </w:rPr>
              <w:t>70个，得4分；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70个＜村社数量</w:t>
            </w:r>
            <w:r>
              <w:rPr>
                <w:rFonts w:ascii="仿宋" w:hAnsi="仿宋" w:eastAsia="仿宋"/>
                <w:bCs/>
                <w:sz w:val="18"/>
                <w:lang w:eastAsia="zh-CN"/>
              </w:rPr>
              <w:t>≤</w:t>
            </w:r>
            <w:r>
              <w:rPr>
                <w:rFonts w:hint="eastAsia" w:ascii="仿宋" w:hAnsi="仿宋" w:eastAsia="仿宋"/>
                <w:bCs/>
                <w:sz w:val="18"/>
                <w:lang w:eastAsia="zh-CN"/>
              </w:rPr>
              <w:t>60个，得3分；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60个＜村社数量</w:t>
            </w:r>
            <w:r>
              <w:rPr>
                <w:rFonts w:ascii="仿宋" w:hAnsi="仿宋" w:eastAsia="仿宋"/>
                <w:bCs/>
                <w:sz w:val="18"/>
                <w:lang w:eastAsia="zh-CN"/>
              </w:rPr>
              <w:t>≤</w:t>
            </w:r>
            <w:r>
              <w:rPr>
                <w:rFonts w:hint="eastAsia" w:ascii="仿宋" w:hAnsi="仿宋" w:eastAsia="仿宋"/>
                <w:bCs/>
                <w:sz w:val="18"/>
                <w:lang w:eastAsia="zh-CN"/>
              </w:rPr>
              <w:t>50个，得2分；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50个＜村社数量</w:t>
            </w:r>
            <w:r>
              <w:rPr>
                <w:rFonts w:ascii="仿宋" w:hAnsi="仿宋" w:eastAsia="仿宋"/>
                <w:bCs/>
                <w:sz w:val="18"/>
                <w:lang w:eastAsia="zh-CN"/>
              </w:rPr>
              <w:t>≤</w:t>
            </w:r>
            <w:r>
              <w:rPr>
                <w:rFonts w:hint="eastAsia" w:ascii="仿宋" w:hAnsi="仿宋" w:eastAsia="仿宋"/>
                <w:bCs/>
                <w:sz w:val="18"/>
                <w:lang w:eastAsia="zh-CN"/>
              </w:rPr>
              <w:t>40个，得1分。</w:t>
            </w:r>
            <w:r>
              <w:rPr>
                <w:rFonts w:hint="eastAsia" w:ascii="仿宋" w:hAnsi="仿宋" w:eastAsia="仿宋"/>
                <w:bCs/>
                <w:sz w:val="18"/>
                <w:lang w:eastAsia="zh-CN"/>
              </w:rPr>
              <w:br w:type="textWrapping"/>
            </w:r>
            <w:r>
              <w:rPr>
                <w:rFonts w:ascii="仿宋" w:hAnsi="仿宋" w:eastAsia="仿宋"/>
                <w:bCs/>
                <w:sz w:val="18"/>
                <w:lang w:eastAsia="zh-CN"/>
              </w:rPr>
              <w:t>⑥</w:t>
            </w:r>
            <w:r>
              <w:rPr>
                <w:rFonts w:hint="eastAsia" w:ascii="仿宋" w:hAnsi="仿宋" w:eastAsia="仿宋"/>
                <w:bCs/>
                <w:sz w:val="18"/>
                <w:lang w:eastAsia="zh-CN"/>
              </w:rPr>
              <w:t>40个＜村社数量，得0分</w:t>
            </w:r>
          </w:p>
        </w:tc>
      </w:tr>
      <w:tr w14:paraId="025D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0B0FA316">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71F04C58">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2AADC581">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防火防汛安全生产宣传力度（4分）</w:t>
            </w:r>
          </w:p>
        </w:tc>
        <w:tc>
          <w:tcPr>
            <w:tcW w:w="1260" w:type="pct"/>
            <w:shd w:val="clear" w:color="auto" w:fill="auto"/>
            <w:vAlign w:val="center"/>
          </w:tcPr>
          <w:p w14:paraId="677EB150">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主要评价部门（单位）在防火防汛安全生产等方面的宣传力度。</w:t>
            </w:r>
          </w:p>
        </w:tc>
        <w:tc>
          <w:tcPr>
            <w:tcW w:w="1904" w:type="pct"/>
            <w:shd w:val="clear" w:color="auto" w:fill="auto"/>
            <w:vAlign w:val="center"/>
          </w:tcPr>
          <w:p w14:paraId="026546E6">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宣传力度大，得4分；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宣传力度较大，得3分；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宣传力度适中，得2分；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宣传力度不足，得1分；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没进行相关宣传，得0分。</w:t>
            </w:r>
          </w:p>
        </w:tc>
      </w:tr>
      <w:tr w14:paraId="39DB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3B7AEBC4">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75B385FB">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327EED7">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联勤中心社会救助的次数（4分）</w:t>
            </w:r>
          </w:p>
        </w:tc>
        <w:tc>
          <w:tcPr>
            <w:tcW w:w="1260" w:type="pct"/>
            <w:shd w:val="clear" w:color="auto" w:fill="auto"/>
            <w:vAlign w:val="center"/>
          </w:tcPr>
          <w:p w14:paraId="2E025CF0">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社会应急救援联勤中心参与对社会群众救助的次数。</w:t>
            </w:r>
          </w:p>
        </w:tc>
        <w:tc>
          <w:tcPr>
            <w:tcW w:w="1904" w:type="pct"/>
            <w:shd w:val="clear" w:color="auto" w:fill="auto"/>
            <w:vAlign w:val="center"/>
          </w:tcPr>
          <w:p w14:paraId="2BB42AD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救助次数</w:t>
            </w:r>
            <w:r>
              <w:rPr>
                <w:rFonts w:ascii="仿宋" w:hAnsi="仿宋" w:eastAsia="仿宋"/>
                <w:bCs/>
                <w:sz w:val="18"/>
                <w:lang w:eastAsia="zh-CN"/>
              </w:rPr>
              <w:t>≥</w:t>
            </w:r>
            <w:r>
              <w:rPr>
                <w:rFonts w:hint="eastAsia" w:ascii="仿宋" w:hAnsi="仿宋" w:eastAsia="仿宋"/>
                <w:bCs/>
                <w:sz w:val="18"/>
                <w:lang w:eastAsia="zh-CN"/>
              </w:rPr>
              <w:t>300次，得4分；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300次&gt;救助次数</w:t>
            </w:r>
            <w:r>
              <w:rPr>
                <w:rFonts w:ascii="仿宋" w:hAnsi="仿宋" w:eastAsia="仿宋"/>
                <w:bCs/>
                <w:sz w:val="18"/>
                <w:lang w:eastAsia="zh-CN"/>
              </w:rPr>
              <w:t>≥</w:t>
            </w:r>
            <w:r>
              <w:rPr>
                <w:rFonts w:hint="eastAsia" w:ascii="仿宋" w:hAnsi="仿宋" w:eastAsia="仿宋"/>
                <w:bCs/>
                <w:sz w:val="18"/>
                <w:lang w:eastAsia="zh-CN"/>
              </w:rPr>
              <w:t>250次，得3分；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250次&gt;救助次数</w:t>
            </w:r>
            <w:r>
              <w:rPr>
                <w:rFonts w:ascii="仿宋" w:hAnsi="仿宋" w:eastAsia="仿宋"/>
                <w:bCs/>
                <w:sz w:val="18"/>
                <w:lang w:eastAsia="zh-CN"/>
              </w:rPr>
              <w:t>≥</w:t>
            </w:r>
            <w:r>
              <w:rPr>
                <w:rFonts w:hint="eastAsia" w:ascii="仿宋" w:hAnsi="仿宋" w:eastAsia="仿宋"/>
                <w:bCs/>
                <w:sz w:val="18"/>
                <w:lang w:eastAsia="zh-CN"/>
              </w:rPr>
              <w:t>200次，得2分；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200次&gt;救助次数</w:t>
            </w:r>
            <w:r>
              <w:rPr>
                <w:rFonts w:ascii="仿宋" w:hAnsi="仿宋" w:eastAsia="仿宋"/>
                <w:bCs/>
                <w:sz w:val="18"/>
                <w:lang w:eastAsia="zh-CN"/>
              </w:rPr>
              <w:t>≥</w:t>
            </w:r>
            <w:r>
              <w:rPr>
                <w:rFonts w:hint="eastAsia" w:ascii="仿宋" w:hAnsi="仿宋" w:eastAsia="仿宋"/>
                <w:bCs/>
                <w:sz w:val="18"/>
                <w:lang w:eastAsia="zh-CN"/>
              </w:rPr>
              <w:t>150次，得1分；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150次&gt;救助次数，得0分。</w:t>
            </w:r>
          </w:p>
        </w:tc>
      </w:tr>
      <w:tr w14:paraId="2417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17BC7D08">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35156483">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10BDCFCF">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企业安全意识的提高情况（4分）</w:t>
            </w:r>
          </w:p>
        </w:tc>
        <w:tc>
          <w:tcPr>
            <w:tcW w:w="1260" w:type="pct"/>
            <w:shd w:val="clear" w:color="auto" w:fill="auto"/>
            <w:vAlign w:val="center"/>
          </w:tcPr>
          <w:p w14:paraId="5CD9DFF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用于评价辖区内企业安全生产意识的提高情况</w:t>
            </w:r>
          </w:p>
        </w:tc>
        <w:tc>
          <w:tcPr>
            <w:tcW w:w="1904" w:type="pct"/>
            <w:shd w:val="clear" w:color="auto" w:fill="auto"/>
            <w:vAlign w:val="center"/>
          </w:tcPr>
          <w:p w14:paraId="2D72B1B2">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有大幅度提高，得4分；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有较大提高，得3分；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有一定程度提高，得2分；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小幅度提高，得1分；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没提高，得0分。</w:t>
            </w:r>
          </w:p>
        </w:tc>
      </w:tr>
      <w:tr w14:paraId="05E5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2FF57F19">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7819ABF5">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0BE6D9F5">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安全宣传教育引导次数（4分）</w:t>
            </w:r>
          </w:p>
        </w:tc>
        <w:tc>
          <w:tcPr>
            <w:tcW w:w="1260" w:type="pct"/>
            <w:shd w:val="clear" w:color="auto" w:fill="auto"/>
            <w:vAlign w:val="center"/>
          </w:tcPr>
          <w:p w14:paraId="32443A89">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主要评价部门（单位）对企业生产安全教育及防火防灾等安全教育的宣传力度。</w:t>
            </w:r>
          </w:p>
        </w:tc>
        <w:tc>
          <w:tcPr>
            <w:tcW w:w="1904" w:type="pct"/>
            <w:shd w:val="clear" w:color="auto" w:fill="auto"/>
            <w:vAlign w:val="center"/>
          </w:tcPr>
          <w:p w14:paraId="7E866BE3">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宣传引导次数</w:t>
            </w:r>
            <w:r>
              <w:rPr>
                <w:rFonts w:ascii="仿宋" w:hAnsi="仿宋" w:eastAsia="仿宋"/>
                <w:bCs/>
                <w:sz w:val="18"/>
                <w:lang w:eastAsia="zh-CN"/>
              </w:rPr>
              <w:t>≥</w:t>
            </w:r>
            <w:r>
              <w:rPr>
                <w:rFonts w:hint="eastAsia" w:ascii="仿宋" w:hAnsi="仿宋" w:eastAsia="仿宋"/>
                <w:bCs/>
                <w:sz w:val="18"/>
                <w:lang w:eastAsia="zh-CN"/>
              </w:rPr>
              <w:t>40次，得4分；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40次&gt;宣传引导次数</w:t>
            </w:r>
            <w:r>
              <w:rPr>
                <w:rFonts w:ascii="仿宋" w:hAnsi="仿宋" w:eastAsia="仿宋"/>
                <w:bCs/>
                <w:sz w:val="18"/>
                <w:lang w:eastAsia="zh-CN"/>
              </w:rPr>
              <w:t>≥</w:t>
            </w:r>
            <w:r>
              <w:rPr>
                <w:rFonts w:hint="eastAsia" w:ascii="仿宋" w:hAnsi="仿宋" w:eastAsia="仿宋"/>
                <w:bCs/>
                <w:sz w:val="18"/>
                <w:lang w:eastAsia="zh-CN"/>
              </w:rPr>
              <w:t>35次，得3分；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35次&gt;宣传引导次数</w:t>
            </w:r>
            <w:r>
              <w:rPr>
                <w:rFonts w:ascii="仿宋" w:hAnsi="仿宋" w:eastAsia="仿宋"/>
                <w:bCs/>
                <w:sz w:val="18"/>
                <w:lang w:eastAsia="zh-CN"/>
              </w:rPr>
              <w:t>≥</w:t>
            </w:r>
            <w:r>
              <w:rPr>
                <w:rFonts w:hint="eastAsia" w:ascii="仿宋" w:hAnsi="仿宋" w:eastAsia="仿宋"/>
                <w:bCs/>
                <w:sz w:val="18"/>
                <w:lang w:eastAsia="zh-CN"/>
              </w:rPr>
              <w:t>30次，得2分；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30次&gt;宣传引导次数</w:t>
            </w:r>
            <w:r>
              <w:rPr>
                <w:rFonts w:ascii="仿宋" w:hAnsi="仿宋" w:eastAsia="仿宋"/>
                <w:bCs/>
                <w:sz w:val="18"/>
                <w:lang w:eastAsia="zh-CN"/>
              </w:rPr>
              <w:t>≥</w:t>
            </w:r>
            <w:r>
              <w:rPr>
                <w:rFonts w:hint="eastAsia" w:ascii="仿宋" w:hAnsi="仿宋" w:eastAsia="仿宋"/>
                <w:bCs/>
                <w:sz w:val="18"/>
                <w:lang w:eastAsia="zh-CN"/>
              </w:rPr>
              <w:t>25次，得1分。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25次&gt;宣传引导次数，得0分。</w:t>
            </w:r>
          </w:p>
        </w:tc>
      </w:tr>
      <w:tr w14:paraId="4C65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096EFB2A">
            <w:pPr>
              <w:widowControl w:val="0"/>
              <w:overflowPunct w:val="0"/>
              <w:spacing w:line="408" w:lineRule="auto"/>
              <w:rPr>
                <w:rFonts w:hint="eastAsia" w:ascii="仿宋" w:hAnsi="仿宋" w:eastAsia="仿宋"/>
                <w:bCs/>
                <w:sz w:val="18"/>
                <w:lang w:eastAsia="zh-CN"/>
              </w:rPr>
            </w:pPr>
          </w:p>
        </w:tc>
        <w:tc>
          <w:tcPr>
            <w:tcW w:w="593" w:type="pct"/>
            <w:vMerge w:val="continue"/>
            <w:shd w:val="clear" w:color="auto" w:fill="auto"/>
            <w:vAlign w:val="center"/>
          </w:tcPr>
          <w:p w14:paraId="01A62B91">
            <w:pPr>
              <w:widowControl w:val="0"/>
              <w:overflowPunct w:val="0"/>
              <w:spacing w:line="408" w:lineRule="auto"/>
              <w:rPr>
                <w:rFonts w:hint="eastAsia" w:ascii="仿宋" w:hAnsi="仿宋" w:eastAsia="仿宋"/>
                <w:bCs/>
                <w:sz w:val="18"/>
                <w:lang w:eastAsia="zh-CN"/>
              </w:rPr>
            </w:pPr>
          </w:p>
        </w:tc>
        <w:tc>
          <w:tcPr>
            <w:tcW w:w="815" w:type="pct"/>
            <w:shd w:val="clear" w:color="auto" w:fill="auto"/>
            <w:vAlign w:val="center"/>
          </w:tcPr>
          <w:p w14:paraId="5EE1FAB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企业安全隐患的排查力度（4分）</w:t>
            </w:r>
          </w:p>
        </w:tc>
        <w:tc>
          <w:tcPr>
            <w:tcW w:w="1260" w:type="pct"/>
            <w:shd w:val="clear" w:color="auto" w:fill="auto"/>
            <w:vAlign w:val="center"/>
          </w:tcPr>
          <w:p w14:paraId="1E5C42A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主要评价部门（单位）在企业安全生产检查的过程中排查安全隐患点的力度，对企业安全隐患的排查力度是否有所提高。</w:t>
            </w:r>
          </w:p>
        </w:tc>
        <w:tc>
          <w:tcPr>
            <w:tcW w:w="1904" w:type="pct"/>
            <w:shd w:val="clear" w:color="auto" w:fill="auto"/>
            <w:vAlign w:val="center"/>
          </w:tcPr>
          <w:p w14:paraId="5475F5DB">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有大幅度提高，得4分；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有较大提高，得3分；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有一定程度提高，得2分；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小幅度提高，得1分；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没提高，得0分。</w:t>
            </w:r>
          </w:p>
        </w:tc>
      </w:tr>
      <w:tr w14:paraId="718D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28" w:type="pct"/>
            <w:vMerge w:val="continue"/>
            <w:shd w:val="clear" w:color="auto" w:fill="auto"/>
            <w:vAlign w:val="center"/>
          </w:tcPr>
          <w:p w14:paraId="3E25B850">
            <w:pPr>
              <w:widowControl w:val="0"/>
              <w:overflowPunct w:val="0"/>
              <w:spacing w:line="408" w:lineRule="auto"/>
              <w:rPr>
                <w:rFonts w:hint="eastAsia" w:ascii="仿宋" w:hAnsi="仿宋" w:eastAsia="仿宋"/>
                <w:bCs/>
                <w:sz w:val="18"/>
                <w:lang w:eastAsia="zh-CN"/>
              </w:rPr>
            </w:pPr>
          </w:p>
        </w:tc>
        <w:tc>
          <w:tcPr>
            <w:tcW w:w="593" w:type="pct"/>
            <w:shd w:val="clear" w:color="auto" w:fill="auto"/>
            <w:vAlign w:val="center"/>
          </w:tcPr>
          <w:p w14:paraId="481CB5F2">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满意度（4分）</w:t>
            </w:r>
          </w:p>
        </w:tc>
        <w:tc>
          <w:tcPr>
            <w:tcW w:w="815" w:type="pct"/>
            <w:shd w:val="clear" w:color="auto" w:fill="auto"/>
            <w:vAlign w:val="center"/>
          </w:tcPr>
          <w:p w14:paraId="107CD970">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群众对应急管理局的满意度情况（4分）</w:t>
            </w:r>
          </w:p>
        </w:tc>
        <w:tc>
          <w:tcPr>
            <w:tcW w:w="1260" w:type="pct"/>
            <w:shd w:val="clear" w:color="auto" w:fill="auto"/>
            <w:vAlign w:val="center"/>
          </w:tcPr>
          <w:p w14:paraId="20AE4CF8">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主要评价群众对于应急管理局的工作是否感到满意。</w:t>
            </w:r>
          </w:p>
        </w:tc>
        <w:tc>
          <w:tcPr>
            <w:tcW w:w="1904" w:type="pct"/>
            <w:shd w:val="clear" w:color="auto" w:fill="auto"/>
            <w:vAlign w:val="center"/>
          </w:tcPr>
          <w:p w14:paraId="59CB912C">
            <w:pPr>
              <w:widowControl w:val="0"/>
              <w:overflowPunct w:val="0"/>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非常满意；</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基本满意；</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有一定投诉；</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不满意。</w:t>
            </w:r>
            <w:r>
              <w:rPr>
                <w:rFonts w:hint="eastAsia" w:ascii="仿宋" w:hAnsi="仿宋" w:eastAsia="仿宋"/>
                <w:bCs/>
                <w:sz w:val="18"/>
                <w:lang w:eastAsia="zh-CN"/>
              </w:rPr>
              <w:br w:type="textWrapping"/>
            </w:r>
            <w:r>
              <w:rPr>
                <w:rFonts w:hint="eastAsia" w:ascii="仿宋" w:hAnsi="仿宋" w:eastAsia="仿宋"/>
                <w:bCs/>
                <w:sz w:val="18"/>
                <w:lang w:eastAsia="zh-CN"/>
              </w:rPr>
              <w:t>有非常满意4分，基本满意3分，有一定投诉2分，不满意1分。</w:t>
            </w:r>
          </w:p>
        </w:tc>
      </w:tr>
    </w:tbl>
    <w:p w14:paraId="13C1967D">
      <w:pPr>
        <w:widowControl w:val="0"/>
        <w:overflowPunct w:val="0"/>
        <w:snapToGrid/>
        <w:spacing w:line="408" w:lineRule="auto"/>
        <w:ind w:firstLine="574" w:firstLineChars="200"/>
        <w:outlineLvl w:val="0"/>
        <w:rPr>
          <w:rFonts w:hint="eastAsia" w:ascii="仿宋" w:hAnsi="仿宋" w:eastAsia="仿宋" w:cs="仿宋"/>
          <w:b/>
          <w:bCs/>
          <w:color w:val="auto"/>
          <w:spacing w:val="3"/>
          <w:sz w:val="28"/>
          <w:szCs w:val="28"/>
          <w:lang w:eastAsia="zh-CN"/>
        </w:rPr>
      </w:pPr>
      <w:bookmarkStart w:id="156" w:name="bookmark34"/>
      <w:bookmarkEnd w:id="156"/>
      <w:bookmarkStart w:id="157" w:name="_Toc181558020"/>
      <w:bookmarkStart w:id="158" w:name="_Toc182904014"/>
      <w:bookmarkStart w:id="159" w:name="_Toc11331"/>
      <w:r>
        <w:rPr>
          <w:rFonts w:hint="eastAsia" w:ascii="仿宋" w:hAnsi="仿宋" w:eastAsia="仿宋" w:cs="仿宋"/>
          <w:b/>
          <w:bCs/>
          <w:color w:val="auto"/>
          <w:spacing w:val="3"/>
          <w:sz w:val="28"/>
          <w:szCs w:val="28"/>
          <w:lang w:eastAsia="zh-CN"/>
        </w:rPr>
        <w:t>六、绩效指标分析</w:t>
      </w:r>
      <w:bookmarkEnd w:id="157"/>
      <w:bookmarkEnd w:id="158"/>
      <w:bookmarkEnd w:id="159"/>
    </w:p>
    <w:p w14:paraId="04B6F9B4">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的绩效指标体系涵盖了投入、过程、产出、效益和满意度等多个维度，旨在全面、系统地评估该局的工作绩效。以下是对各项指标分数、得分情况和完成情况的详细分析，并在此基础上提出存在的问题与改进建议。</w:t>
      </w:r>
    </w:p>
    <w:p w14:paraId="7A961C05">
      <w:pPr>
        <w:widowControl w:val="0"/>
        <w:overflowPunct w:val="0"/>
        <w:snapToGrid/>
        <w:spacing w:line="408" w:lineRule="auto"/>
        <w:ind w:firstLine="574" w:firstLineChars="200"/>
        <w:jc w:val="both"/>
        <w:outlineLvl w:val="1"/>
        <w:rPr>
          <w:rFonts w:hint="eastAsia" w:ascii="仿宋" w:hAnsi="仿宋" w:eastAsia="仿宋" w:cs="仿宋"/>
          <w:b/>
          <w:bCs/>
          <w:color w:val="auto"/>
          <w:spacing w:val="3"/>
          <w:sz w:val="28"/>
          <w:szCs w:val="28"/>
          <w:lang w:eastAsia="zh-CN"/>
        </w:rPr>
      </w:pPr>
      <w:bookmarkStart w:id="160" w:name="_Toc181558021"/>
      <w:bookmarkStart w:id="161" w:name="_Toc182904015"/>
      <w:r>
        <w:rPr>
          <w:rFonts w:ascii="仿宋" w:hAnsi="仿宋" w:eastAsia="仿宋" w:cs="仿宋"/>
          <w:b/>
          <w:bCs/>
          <w:color w:val="auto"/>
          <w:spacing w:val="3"/>
          <w:sz w:val="28"/>
          <w:szCs w:val="28"/>
          <w:lang w:eastAsia="zh-CN"/>
        </w:rPr>
        <w:t>（一）投入（总分1</w:t>
      </w:r>
      <w:r>
        <w:rPr>
          <w:rFonts w:hint="eastAsia" w:ascii="仿宋" w:hAnsi="仿宋" w:eastAsia="仿宋" w:cs="仿宋"/>
          <w:b/>
          <w:bCs/>
          <w:color w:val="auto"/>
          <w:spacing w:val="3"/>
          <w:sz w:val="28"/>
          <w:szCs w:val="28"/>
          <w:lang w:eastAsia="zh-CN"/>
        </w:rPr>
        <w:t>5</w:t>
      </w:r>
      <w:r>
        <w:rPr>
          <w:rFonts w:ascii="仿宋" w:hAnsi="仿宋" w:eastAsia="仿宋" w:cs="仿宋"/>
          <w:b/>
          <w:bCs/>
          <w:color w:val="auto"/>
          <w:spacing w:val="3"/>
          <w:sz w:val="28"/>
          <w:szCs w:val="28"/>
          <w:lang w:eastAsia="zh-CN"/>
        </w:rPr>
        <w:t>分，得分</w:t>
      </w:r>
      <w:r>
        <w:rPr>
          <w:rFonts w:hint="eastAsia" w:ascii="仿宋" w:hAnsi="仿宋" w:eastAsia="仿宋" w:cs="仿宋"/>
          <w:b/>
          <w:bCs/>
          <w:color w:val="auto"/>
          <w:spacing w:val="3"/>
          <w:sz w:val="28"/>
          <w:szCs w:val="28"/>
          <w:lang w:eastAsia="zh-CN"/>
        </w:rPr>
        <w:t>14</w:t>
      </w:r>
      <w:r>
        <w:rPr>
          <w:rFonts w:ascii="仿宋" w:hAnsi="仿宋" w:eastAsia="仿宋" w:cs="仿宋"/>
          <w:b/>
          <w:bCs/>
          <w:color w:val="auto"/>
          <w:spacing w:val="3"/>
          <w:sz w:val="28"/>
          <w:szCs w:val="28"/>
          <w:lang w:eastAsia="zh-CN"/>
        </w:rPr>
        <w:t>分）</w:t>
      </w:r>
      <w:bookmarkEnd w:id="160"/>
      <w:bookmarkEnd w:id="161"/>
    </w:p>
    <w:p w14:paraId="6BBDDD68">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62" w:name="_Toc182904016"/>
      <w:bookmarkStart w:id="163" w:name="_Toc181558022"/>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目标设定（总分</w:t>
      </w:r>
      <w:r>
        <w:rPr>
          <w:rFonts w:hint="eastAsia" w:ascii="仿宋" w:hAnsi="仿宋" w:eastAsia="仿宋" w:cs="仿宋"/>
          <w:color w:val="auto"/>
          <w:spacing w:val="3"/>
          <w:sz w:val="28"/>
          <w:szCs w:val="28"/>
          <w:lang w:eastAsia="zh-CN"/>
        </w:rPr>
        <w:t>6</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5</w:t>
      </w:r>
      <w:r>
        <w:rPr>
          <w:rFonts w:ascii="仿宋" w:hAnsi="仿宋" w:eastAsia="仿宋" w:cs="仿宋"/>
          <w:color w:val="auto"/>
          <w:spacing w:val="3"/>
          <w:sz w:val="28"/>
          <w:szCs w:val="28"/>
          <w:lang w:eastAsia="zh-CN"/>
        </w:rPr>
        <w:t>分）</w:t>
      </w:r>
      <w:bookmarkEnd w:id="162"/>
      <w:bookmarkEnd w:id="163"/>
    </w:p>
    <w:p w14:paraId="6DE3C6B4">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w:t>
      </w:r>
      <w:r>
        <w:rPr>
          <w:rFonts w:hint="eastAsia" w:ascii="仿宋" w:hAnsi="仿宋" w:eastAsia="仿宋" w:cs="仿宋"/>
          <w:color w:val="auto"/>
          <w:spacing w:val="3"/>
          <w:sz w:val="28"/>
          <w:szCs w:val="28"/>
          <w:lang w:eastAsia="zh-CN"/>
        </w:rPr>
        <w:t>绩效目标合理性（</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564AE532">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泉州市洛江区应急管理局根据工作职能制定了年度目标任务，</w:t>
      </w:r>
      <w:r>
        <w:rPr>
          <w:rFonts w:hint="eastAsia" w:ascii="仿宋" w:hAnsi="仿宋" w:eastAsia="仿宋" w:cs="仿宋"/>
          <w:color w:val="auto"/>
          <w:spacing w:val="3"/>
          <w:sz w:val="28"/>
          <w:szCs w:val="28"/>
          <w:lang w:eastAsia="zh-CN"/>
        </w:rPr>
        <w:t>认真贯彻习近平总书记关于安全生产重要论述，树牢安全发展理念，聚焦重点专项、重点项目、重点工作，全方位提升安全生产工作质效，为全面维护好人民群众生命财产安全和经济高质量发展、社会和谐稳定提供有力的安全生产保障</w:t>
      </w:r>
      <w:r>
        <w:rPr>
          <w:rFonts w:ascii="仿宋" w:hAnsi="仿宋" w:eastAsia="仿宋" w:cs="仿宋"/>
          <w:color w:val="auto"/>
          <w:spacing w:val="3"/>
          <w:sz w:val="28"/>
          <w:szCs w:val="28"/>
          <w:lang w:eastAsia="zh-CN"/>
        </w:rPr>
        <w:t>，且年度总体目标基本符合国家法律法规、国民经济和社会发展总体规划、部门“三定”方案确定的职责和部门。根据评分标准，本项得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1247881B">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绩效目标明确性（</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5D3D3E9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根据</w:t>
      </w:r>
      <w:r>
        <w:rPr>
          <w:rFonts w:ascii="仿宋" w:hAnsi="仿宋" w:eastAsia="仿宋" w:cs="仿宋"/>
          <w:color w:val="auto"/>
          <w:spacing w:val="3"/>
          <w:sz w:val="28"/>
          <w:szCs w:val="28"/>
          <w:lang w:eastAsia="zh-CN"/>
        </w:rPr>
        <w:t>泉州市洛江区应急管理局</w:t>
      </w:r>
      <w:r>
        <w:rPr>
          <w:rFonts w:hint="eastAsia" w:ascii="仿宋" w:hAnsi="仿宋" w:eastAsia="仿宋" w:cs="仿宋"/>
          <w:color w:val="auto"/>
          <w:spacing w:val="3"/>
          <w:sz w:val="28"/>
          <w:szCs w:val="28"/>
          <w:lang w:eastAsia="zh-CN"/>
        </w:rPr>
        <w:t>提供的部门整体绩效目标表</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有部门绩效指标的目标值设置的不明确，</w:t>
      </w:r>
      <w:bookmarkStart w:id="164" w:name="_Hlk181531046"/>
      <w:r>
        <w:rPr>
          <w:rFonts w:hint="eastAsia" w:ascii="仿宋" w:hAnsi="仿宋" w:eastAsia="仿宋" w:cs="仿宋"/>
          <w:color w:val="auto"/>
          <w:spacing w:val="3"/>
          <w:sz w:val="28"/>
          <w:szCs w:val="28"/>
          <w:lang w:eastAsia="zh-CN"/>
        </w:rPr>
        <w:t>例如“提高安全生产水平”指标的目标值为“有所提升”，“资金使用合规性”的目标值为“合规”，该目标值设置并不具体明确，设置过于笼统宽泛，存在不足，</w:t>
      </w:r>
      <w:r>
        <w:rPr>
          <w:rFonts w:ascii="仿宋" w:hAnsi="仿宋" w:eastAsia="仿宋" w:cs="仿宋"/>
          <w:color w:val="auto"/>
          <w:spacing w:val="3"/>
          <w:sz w:val="28"/>
          <w:szCs w:val="28"/>
          <w:lang w:eastAsia="zh-CN"/>
        </w:rPr>
        <w:t>需进一步细化和优化绩效目标，以提高其明确性。</w:t>
      </w:r>
      <w:bookmarkEnd w:id="164"/>
      <w:r>
        <w:rPr>
          <w:rFonts w:ascii="仿宋" w:hAnsi="仿宋" w:eastAsia="仿宋" w:cs="仿宋"/>
          <w:color w:val="auto"/>
          <w:spacing w:val="3"/>
          <w:sz w:val="28"/>
          <w:szCs w:val="28"/>
          <w:lang w:eastAsia="zh-CN"/>
        </w:rPr>
        <w:t>此项扣</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分，该指标得</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1196E4F9">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65" w:name="_Toc182904017"/>
      <w:bookmarkStart w:id="166" w:name="_Toc181558023"/>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预算配置（总分</w:t>
      </w:r>
      <w:r>
        <w:rPr>
          <w:rFonts w:hint="eastAsia" w:ascii="仿宋" w:hAnsi="仿宋" w:eastAsia="仿宋" w:cs="仿宋"/>
          <w:color w:val="auto"/>
          <w:spacing w:val="3"/>
          <w:sz w:val="28"/>
          <w:szCs w:val="28"/>
          <w:lang w:eastAsia="zh-CN"/>
        </w:rPr>
        <w:t>9</w:t>
      </w:r>
      <w:r>
        <w:rPr>
          <w:rFonts w:ascii="仿宋" w:hAnsi="仿宋" w:eastAsia="仿宋" w:cs="仿宋"/>
          <w:color w:val="auto"/>
          <w:spacing w:val="3"/>
          <w:sz w:val="28"/>
          <w:szCs w:val="28"/>
          <w:lang w:eastAsia="zh-CN"/>
        </w:rPr>
        <w:t>分</w:t>
      </w:r>
      <w:r>
        <w:rPr>
          <w:rFonts w:hint="eastAsia" w:ascii="仿宋" w:hAnsi="仿宋" w:eastAsia="仿宋" w:cs="仿宋"/>
          <w:color w:val="auto"/>
          <w:spacing w:val="3"/>
          <w:sz w:val="28"/>
          <w:szCs w:val="28"/>
          <w:lang w:eastAsia="zh-CN"/>
        </w:rPr>
        <w:t>,得分9分</w:t>
      </w:r>
      <w:r>
        <w:rPr>
          <w:rFonts w:ascii="仿宋" w:hAnsi="仿宋" w:eastAsia="仿宋" w:cs="仿宋"/>
          <w:color w:val="auto"/>
          <w:spacing w:val="3"/>
          <w:sz w:val="28"/>
          <w:szCs w:val="28"/>
          <w:lang w:eastAsia="zh-CN"/>
        </w:rPr>
        <w:t>）</w:t>
      </w:r>
      <w:bookmarkEnd w:id="165"/>
      <w:bookmarkEnd w:id="166"/>
    </w:p>
    <w:p w14:paraId="64DAEE2F">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w:t>
      </w:r>
      <w:r>
        <w:rPr>
          <w:rFonts w:hint="eastAsia" w:ascii="仿宋" w:hAnsi="仿宋" w:eastAsia="仿宋" w:cs="仿宋"/>
          <w:color w:val="auto"/>
          <w:spacing w:val="3"/>
          <w:sz w:val="28"/>
          <w:szCs w:val="28"/>
          <w:lang w:eastAsia="zh-CN"/>
        </w:rPr>
        <w:t>在职人员控制率（</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3DF07716">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泉州市洛江区应急管理局2023年的编制数为</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人</w:t>
      </w:r>
      <w:r>
        <w:rPr>
          <w:rFonts w:hint="eastAsia" w:ascii="仿宋" w:hAnsi="仿宋" w:eastAsia="仿宋" w:cs="仿宋"/>
          <w:color w:val="auto"/>
          <w:spacing w:val="3"/>
          <w:sz w:val="28"/>
          <w:szCs w:val="28"/>
          <w:lang w:eastAsia="zh-CN"/>
        </w:rPr>
        <w:t>，截至2023年12月31日在编</w:t>
      </w:r>
      <w:r>
        <w:rPr>
          <w:rFonts w:ascii="仿宋" w:hAnsi="仿宋" w:eastAsia="仿宋" w:cs="仿宋"/>
          <w:color w:val="auto"/>
          <w:spacing w:val="3"/>
          <w:sz w:val="28"/>
          <w:szCs w:val="28"/>
          <w:lang w:eastAsia="zh-CN"/>
        </w:rPr>
        <w:t>人员数为</w:t>
      </w:r>
      <w:r>
        <w:rPr>
          <w:rFonts w:hint="eastAsia" w:ascii="仿宋" w:hAnsi="仿宋" w:eastAsia="仿宋" w:cs="仿宋"/>
          <w:color w:val="auto"/>
          <w:spacing w:val="3"/>
          <w:sz w:val="28"/>
          <w:szCs w:val="28"/>
          <w:lang w:eastAsia="zh-CN"/>
        </w:rPr>
        <w:t>28</w:t>
      </w:r>
      <w:r>
        <w:rPr>
          <w:rFonts w:ascii="仿宋" w:hAnsi="仿宋" w:eastAsia="仿宋" w:cs="仿宋"/>
          <w:color w:val="auto"/>
          <w:spacing w:val="3"/>
          <w:sz w:val="28"/>
          <w:szCs w:val="28"/>
          <w:lang w:eastAsia="zh-CN"/>
        </w:rPr>
        <w:t>人，在职人员控制率=（</w:t>
      </w:r>
      <w:r>
        <w:rPr>
          <w:rFonts w:hint="eastAsia" w:ascii="仿宋" w:hAnsi="仿宋" w:eastAsia="仿宋" w:cs="仿宋"/>
          <w:color w:val="auto"/>
          <w:spacing w:val="3"/>
          <w:sz w:val="28"/>
          <w:szCs w:val="28"/>
          <w:lang w:eastAsia="zh-CN"/>
        </w:rPr>
        <w:t>28</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）×100%=</w:t>
      </w:r>
      <w:r>
        <w:rPr>
          <w:rFonts w:hint="eastAsia" w:ascii="仿宋" w:hAnsi="仿宋" w:eastAsia="仿宋" w:cs="仿宋"/>
          <w:color w:val="auto"/>
          <w:spacing w:val="3"/>
          <w:sz w:val="28"/>
          <w:szCs w:val="28"/>
          <w:lang w:eastAsia="zh-CN"/>
        </w:rPr>
        <w:t>96.6</w:t>
      </w:r>
      <w:r>
        <w:rPr>
          <w:rFonts w:ascii="仿宋" w:hAnsi="仿宋" w:eastAsia="仿宋" w:cs="仿宋"/>
          <w:color w:val="auto"/>
          <w:spacing w:val="3"/>
          <w:sz w:val="28"/>
          <w:szCs w:val="28"/>
          <w:lang w:eastAsia="zh-CN"/>
        </w:rPr>
        <w:t>%。根据评分标准，该指标得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4D15640D">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（2）“三公经费”变动率（</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48AC377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w:t>
      </w:r>
      <w:r>
        <w:rPr>
          <w:rFonts w:hint="eastAsia" w:ascii="仿宋" w:hAnsi="仿宋" w:eastAsia="仿宋" w:cs="仿宋"/>
          <w:color w:val="auto"/>
          <w:spacing w:val="3"/>
          <w:sz w:val="28"/>
          <w:szCs w:val="28"/>
          <w:lang w:eastAsia="zh-CN"/>
        </w:rPr>
        <w:t>，2023年三公经费</w:t>
      </w:r>
      <w:r>
        <w:rPr>
          <w:rFonts w:ascii="仿宋" w:hAnsi="仿宋" w:eastAsia="仿宋" w:cs="仿宋"/>
          <w:color w:val="auto"/>
          <w:spacing w:val="3"/>
          <w:sz w:val="28"/>
          <w:szCs w:val="28"/>
          <w:lang w:eastAsia="zh-CN"/>
        </w:rPr>
        <w:t>4320</w:t>
      </w:r>
      <w:r>
        <w:rPr>
          <w:rFonts w:hint="eastAsia" w:ascii="仿宋" w:hAnsi="仿宋" w:eastAsia="仿宋" w:cs="仿宋"/>
          <w:color w:val="auto"/>
          <w:spacing w:val="3"/>
          <w:sz w:val="28"/>
          <w:szCs w:val="28"/>
          <w:lang w:eastAsia="zh-CN"/>
        </w:rPr>
        <w:t>元，上年度三公经费</w:t>
      </w:r>
      <w:r>
        <w:rPr>
          <w:rFonts w:ascii="仿宋" w:hAnsi="仿宋" w:eastAsia="仿宋" w:cs="仿宋"/>
          <w:color w:val="auto"/>
          <w:spacing w:val="3"/>
          <w:sz w:val="28"/>
          <w:szCs w:val="28"/>
          <w:lang w:eastAsia="zh-CN"/>
        </w:rPr>
        <w:t>6643</w:t>
      </w:r>
      <w:r>
        <w:rPr>
          <w:rFonts w:hint="eastAsia" w:ascii="仿宋" w:hAnsi="仿宋" w:eastAsia="仿宋" w:cs="仿宋"/>
          <w:color w:val="auto"/>
          <w:spacing w:val="3"/>
          <w:sz w:val="28"/>
          <w:szCs w:val="28"/>
          <w:lang w:eastAsia="zh-CN"/>
        </w:rPr>
        <w:t>元，三公经费变动率</w:t>
      </w:r>
      <w:r>
        <w:rPr>
          <w:rFonts w:ascii="仿宋" w:hAnsi="仿宋" w:eastAsia="仿宋" w:cs="仿宋"/>
          <w:color w:val="auto"/>
          <w:spacing w:val="3"/>
          <w:sz w:val="28"/>
          <w:szCs w:val="28"/>
          <w:lang w:eastAsia="zh-CN"/>
        </w:rPr>
        <w:t>=(4320-6643)/6643</w:t>
      </w:r>
      <w:r>
        <w:rPr>
          <w:rFonts w:hint="eastAsia" w:ascii="仿宋" w:hAnsi="仿宋" w:eastAsia="仿宋" w:cs="仿宋"/>
          <w:color w:val="auto"/>
          <w:spacing w:val="3"/>
          <w:sz w:val="28"/>
          <w:szCs w:val="28"/>
          <w:lang w:eastAsia="zh-CN"/>
        </w:rPr>
        <w:t>*100%=-34.97%</w:t>
      </w:r>
      <w:r>
        <w:rPr>
          <w:rFonts w:ascii="仿宋" w:hAnsi="仿宋" w:eastAsia="仿宋" w:cs="仿宋"/>
          <w:color w:val="auto"/>
          <w:spacing w:val="3"/>
          <w:sz w:val="28"/>
          <w:szCs w:val="28"/>
          <w:lang w:eastAsia="zh-CN"/>
        </w:rPr>
        <w:t>“三公经费”预算控制得当，未出现增长，符合财务管理要求。根据评分标准，该指标得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11D99E6A">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（3）结转结余变动率（</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649F007A">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根据泉州市洛江区应急管理局2023年部门资金结余情况表，2022年结转结余资金总额为73.26万元，2023年结转结余资金总额为39.7万元。结转结余变动率=(39.7-73.26)/</w:t>
      </w:r>
      <w:r>
        <w:rPr>
          <w:rFonts w:hint="eastAsia" w:ascii="仿宋" w:hAnsi="仿宋" w:eastAsia="仿宋" w:cs="仿宋"/>
          <w:color w:val="auto"/>
          <w:spacing w:val="3"/>
          <w:sz w:val="28"/>
          <w:szCs w:val="28"/>
          <w:lang w:eastAsia="zh-CN"/>
        </w:rPr>
        <w:t>73.26*100%</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-45.81</w:t>
      </w:r>
      <w:r>
        <w:rPr>
          <w:rFonts w:ascii="仿宋" w:hAnsi="仿宋" w:eastAsia="仿宋" w:cs="仿宋"/>
          <w:color w:val="auto"/>
          <w:spacing w:val="3"/>
          <w:sz w:val="28"/>
          <w:szCs w:val="28"/>
          <w:lang w:eastAsia="zh-CN"/>
        </w:rPr>
        <w:t>%。结转结余资金有所</w:t>
      </w:r>
      <w:r>
        <w:rPr>
          <w:rFonts w:hint="eastAsia" w:ascii="仿宋" w:hAnsi="仿宋" w:eastAsia="仿宋" w:cs="仿宋"/>
          <w:color w:val="auto"/>
          <w:spacing w:val="3"/>
          <w:sz w:val="28"/>
          <w:szCs w:val="28"/>
          <w:lang w:eastAsia="zh-CN"/>
        </w:rPr>
        <w:t>降低</w:t>
      </w:r>
      <w:r>
        <w:rPr>
          <w:rFonts w:ascii="仿宋" w:hAnsi="仿宋" w:eastAsia="仿宋" w:cs="仿宋"/>
          <w:color w:val="auto"/>
          <w:spacing w:val="3"/>
          <w:sz w:val="28"/>
          <w:szCs w:val="28"/>
          <w:lang w:eastAsia="zh-CN"/>
        </w:rPr>
        <w:t>，反映出资金</w:t>
      </w:r>
      <w:r>
        <w:rPr>
          <w:rFonts w:hint="eastAsia" w:ascii="仿宋" w:hAnsi="仿宋" w:eastAsia="仿宋" w:cs="仿宋"/>
          <w:color w:val="auto"/>
          <w:spacing w:val="3"/>
          <w:sz w:val="28"/>
          <w:szCs w:val="28"/>
          <w:lang w:eastAsia="zh-CN"/>
        </w:rPr>
        <w:t>管理及资</w:t>
      </w:r>
      <w:r>
        <w:rPr>
          <w:rFonts w:ascii="仿宋" w:hAnsi="仿宋" w:eastAsia="仿宋" w:cs="仿宋"/>
          <w:color w:val="auto"/>
          <w:spacing w:val="3"/>
          <w:sz w:val="28"/>
          <w:szCs w:val="28"/>
          <w:lang w:eastAsia="zh-CN"/>
        </w:rPr>
        <w:t>金使用的合理性和有效性。根据评分标准，本项得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42E23C76">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highlight w:val="yellow"/>
          <w:lang w:eastAsia="zh-CN"/>
        </w:rPr>
      </w:pPr>
      <w:bookmarkStart w:id="167" w:name="_Toc182904018"/>
      <w:bookmarkStart w:id="168" w:name="_Toc181558024"/>
      <w:r>
        <w:rPr>
          <w:rFonts w:ascii="仿宋" w:hAnsi="仿宋" w:eastAsia="仿宋" w:cs="仿宋"/>
          <w:b/>
          <w:color w:val="auto"/>
          <w:spacing w:val="3"/>
          <w:sz w:val="28"/>
          <w:szCs w:val="28"/>
          <w:lang w:eastAsia="zh-CN"/>
        </w:rPr>
        <w:t>（二）过程（总分</w:t>
      </w:r>
      <w:r>
        <w:rPr>
          <w:rFonts w:hint="eastAsia" w:ascii="仿宋" w:hAnsi="仿宋" w:eastAsia="仿宋" w:cs="仿宋"/>
          <w:b/>
          <w:color w:val="auto"/>
          <w:spacing w:val="3"/>
          <w:sz w:val="28"/>
          <w:szCs w:val="28"/>
          <w:lang w:eastAsia="zh-CN"/>
        </w:rPr>
        <w:t>22</w:t>
      </w:r>
      <w:r>
        <w:rPr>
          <w:rFonts w:ascii="仿宋" w:hAnsi="仿宋" w:eastAsia="仿宋" w:cs="仿宋"/>
          <w:b/>
          <w:color w:val="auto"/>
          <w:spacing w:val="3"/>
          <w:sz w:val="28"/>
          <w:szCs w:val="28"/>
          <w:lang w:eastAsia="zh-CN"/>
        </w:rPr>
        <w:t>分，得分</w:t>
      </w:r>
      <w:r>
        <w:rPr>
          <w:rFonts w:hint="eastAsia" w:ascii="仿宋" w:hAnsi="仿宋" w:eastAsia="仿宋" w:cs="仿宋"/>
          <w:b/>
          <w:color w:val="auto"/>
          <w:spacing w:val="3"/>
          <w:sz w:val="28"/>
          <w:szCs w:val="28"/>
          <w:lang w:eastAsia="zh-CN"/>
        </w:rPr>
        <w:t>17.9</w:t>
      </w:r>
      <w:r>
        <w:rPr>
          <w:rFonts w:ascii="仿宋" w:hAnsi="仿宋" w:eastAsia="仿宋" w:cs="仿宋"/>
          <w:b/>
          <w:color w:val="auto"/>
          <w:spacing w:val="3"/>
          <w:sz w:val="28"/>
          <w:szCs w:val="28"/>
          <w:lang w:eastAsia="zh-CN"/>
        </w:rPr>
        <w:t>分）</w:t>
      </w:r>
      <w:bookmarkEnd w:id="167"/>
      <w:bookmarkEnd w:id="168"/>
    </w:p>
    <w:p w14:paraId="7C36432B">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69" w:name="_Toc182904019"/>
      <w:bookmarkStart w:id="170" w:name="_Toc181558025"/>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预算执行（总分</w:t>
      </w:r>
      <w:r>
        <w:rPr>
          <w:rFonts w:hint="eastAsia" w:ascii="仿宋" w:hAnsi="仿宋" w:eastAsia="仿宋" w:cs="仿宋"/>
          <w:color w:val="auto"/>
          <w:spacing w:val="3"/>
          <w:sz w:val="28"/>
          <w:szCs w:val="28"/>
          <w:lang w:eastAsia="zh-CN"/>
        </w:rPr>
        <w:t>9</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6.9</w:t>
      </w:r>
      <w:r>
        <w:rPr>
          <w:rFonts w:ascii="仿宋" w:hAnsi="仿宋" w:eastAsia="仿宋" w:cs="仿宋"/>
          <w:color w:val="auto"/>
          <w:spacing w:val="3"/>
          <w:sz w:val="28"/>
          <w:szCs w:val="28"/>
          <w:lang w:eastAsia="zh-CN"/>
        </w:rPr>
        <w:t>分）</w:t>
      </w:r>
      <w:bookmarkEnd w:id="169"/>
      <w:bookmarkEnd w:id="170"/>
    </w:p>
    <w:p w14:paraId="48BBD3B0">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（1）预算执行率（</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68B4E592">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泉州市洛江区应急管理局2023年度支出完成数与支出预算数的比较显示，全年预算数为</w:t>
      </w:r>
      <w:r>
        <w:rPr>
          <w:rFonts w:hint="eastAsia" w:ascii="仿宋" w:hAnsi="仿宋" w:eastAsia="仿宋" w:cs="仿宋"/>
          <w:color w:val="auto"/>
          <w:spacing w:val="3"/>
          <w:sz w:val="28"/>
          <w:szCs w:val="28"/>
          <w:lang w:eastAsia="zh-CN"/>
        </w:rPr>
        <w:t>2,323.37</w:t>
      </w:r>
      <w:r>
        <w:rPr>
          <w:rFonts w:ascii="仿宋" w:hAnsi="仿宋" w:eastAsia="仿宋" w:cs="仿宋"/>
          <w:color w:val="auto"/>
          <w:spacing w:val="3"/>
          <w:sz w:val="28"/>
          <w:szCs w:val="28"/>
          <w:lang w:eastAsia="zh-CN"/>
        </w:rPr>
        <w:t>万元，全年支出执行数为</w:t>
      </w:r>
      <w:r>
        <w:rPr>
          <w:rFonts w:hint="eastAsia" w:ascii="仿宋" w:hAnsi="仿宋" w:eastAsia="仿宋" w:cs="仿宋"/>
          <w:color w:val="auto"/>
          <w:spacing w:val="3"/>
          <w:sz w:val="28"/>
          <w:szCs w:val="28"/>
          <w:lang w:eastAsia="zh-CN"/>
        </w:rPr>
        <w:t>2,266.41</w:t>
      </w:r>
      <w:r>
        <w:rPr>
          <w:rFonts w:ascii="仿宋" w:hAnsi="仿宋" w:eastAsia="仿宋" w:cs="仿宋"/>
          <w:color w:val="auto"/>
          <w:spacing w:val="3"/>
          <w:sz w:val="28"/>
          <w:szCs w:val="28"/>
          <w:lang w:eastAsia="zh-CN"/>
        </w:rPr>
        <w:t>万元，预算执行率=（全年支出执行数/全年预算数）×100%=（2,266.41/</w:t>
      </w:r>
      <w:r>
        <w:rPr>
          <w:rFonts w:hint="eastAsia" w:ascii="仿宋" w:hAnsi="仿宋" w:eastAsia="仿宋" w:cs="仿宋"/>
          <w:color w:val="auto"/>
          <w:spacing w:val="3"/>
          <w:sz w:val="28"/>
          <w:szCs w:val="28"/>
          <w:lang w:eastAsia="zh-CN"/>
        </w:rPr>
        <w:t>2,323.3</w:t>
      </w:r>
    </w:p>
    <w:p w14:paraId="7ED7FBAF">
      <w:pPr>
        <w:widowControl w:val="0"/>
        <w:overflowPunct w:val="0"/>
        <w:snapToGrid/>
        <w:spacing w:line="408" w:lineRule="auto"/>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7</w:t>
      </w:r>
      <w:r>
        <w:rPr>
          <w:rFonts w:ascii="仿宋" w:hAnsi="仿宋" w:eastAsia="仿宋" w:cs="仿宋"/>
          <w:color w:val="auto"/>
          <w:spacing w:val="3"/>
          <w:sz w:val="28"/>
          <w:szCs w:val="28"/>
          <w:lang w:eastAsia="zh-CN"/>
        </w:rPr>
        <w:t>）×100%=9</w:t>
      </w:r>
      <w:r>
        <w:rPr>
          <w:rFonts w:hint="eastAsia" w:ascii="仿宋" w:hAnsi="仿宋" w:eastAsia="仿宋" w:cs="仿宋"/>
          <w:color w:val="auto"/>
          <w:spacing w:val="3"/>
          <w:sz w:val="28"/>
          <w:szCs w:val="28"/>
          <w:lang w:eastAsia="zh-CN"/>
        </w:rPr>
        <w:t>7</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7</w:t>
      </w:r>
      <w:r>
        <w:rPr>
          <w:rFonts w:ascii="仿宋" w:hAnsi="仿宋" w:eastAsia="仿宋" w:cs="仿宋"/>
          <w:color w:val="auto"/>
          <w:spacing w:val="3"/>
          <w:sz w:val="28"/>
          <w:szCs w:val="28"/>
          <w:lang w:eastAsia="zh-CN"/>
        </w:rPr>
        <w:t>5%。预算执行率高达97.75%，执行效率高。根据评分标准，本项得</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3EDF6D1F">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（2）预算调整率（</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分）：得分为0分</w:t>
      </w:r>
    </w:p>
    <w:p w14:paraId="1C6A248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泉州市洛江区应急管理局全年预算数为</w:t>
      </w:r>
      <w:r>
        <w:rPr>
          <w:rFonts w:hint="eastAsia" w:ascii="仿宋" w:hAnsi="仿宋" w:eastAsia="仿宋" w:cs="仿宋"/>
          <w:color w:val="auto"/>
          <w:spacing w:val="3"/>
          <w:sz w:val="28"/>
          <w:szCs w:val="28"/>
          <w:lang w:eastAsia="zh-CN"/>
        </w:rPr>
        <w:t>2,323.37</w:t>
      </w:r>
      <w:r>
        <w:rPr>
          <w:rFonts w:ascii="仿宋" w:hAnsi="仿宋" w:eastAsia="仿宋" w:cs="仿宋"/>
          <w:color w:val="auto"/>
          <w:spacing w:val="3"/>
          <w:sz w:val="28"/>
          <w:szCs w:val="28"/>
          <w:lang w:eastAsia="zh-CN"/>
        </w:rPr>
        <w:t>万元，调整支出为</w:t>
      </w:r>
      <w:r>
        <w:rPr>
          <w:rFonts w:hint="eastAsia" w:ascii="仿宋" w:hAnsi="仿宋" w:eastAsia="仿宋" w:cs="仿宋"/>
          <w:color w:val="auto"/>
          <w:spacing w:val="3"/>
          <w:sz w:val="28"/>
          <w:szCs w:val="28"/>
          <w:lang w:eastAsia="zh-CN"/>
        </w:rPr>
        <w:t>804.61</w:t>
      </w:r>
      <w:r>
        <w:rPr>
          <w:rFonts w:ascii="仿宋" w:hAnsi="仿宋" w:eastAsia="仿宋" w:cs="仿宋"/>
          <w:color w:val="auto"/>
          <w:spacing w:val="3"/>
          <w:sz w:val="28"/>
          <w:szCs w:val="28"/>
          <w:lang w:eastAsia="zh-CN"/>
        </w:rPr>
        <w:t>万元，支出预算调整率为</w:t>
      </w:r>
      <w:r>
        <w:rPr>
          <w:rFonts w:hint="eastAsia" w:ascii="仿宋" w:hAnsi="仿宋" w:eastAsia="仿宋" w:cs="仿宋"/>
          <w:color w:val="auto"/>
          <w:spacing w:val="3"/>
          <w:sz w:val="28"/>
          <w:szCs w:val="28"/>
          <w:lang w:eastAsia="zh-CN"/>
        </w:rPr>
        <w:t>804.61</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2,323.37</w:t>
      </w:r>
      <w:r>
        <w:rPr>
          <w:rFonts w:ascii="仿宋" w:hAnsi="仿宋" w:eastAsia="仿宋" w:cs="仿宋"/>
          <w:color w:val="auto"/>
          <w:spacing w:val="3"/>
          <w:sz w:val="28"/>
          <w:szCs w:val="28"/>
          <w:lang w:eastAsia="zh-CN"/>
        </w:rPr>
        <w:t>×100%=</w:t>
      </w:r>
      <w:r>
        <w:rPr>
          <w:rFonts w:hint="eastAsia" w:ascii="仿宋" w:hAnsi="仿宋" w:eastAsia="仿宋" w:cs="仿宋"/>
          <w:color w:val="auto"/>
          <w:spacing w:val="3"/>
          <w:sz w:val="28"/>
          <w:szCs w:val="28"/>
          <w:lang w:eastAsia="zh-CN"/>
        </w:rPr>
        <w:t>34.63%</w:t>
      </w:r>
      <w:r>
        <w:rPr>
          <w:rFonts w:ascii="仿宋" w:hAnsi="仿宋" w:eastAsia="仿宋" w:cs="仿宋"/>
          <w:color w:val="auto"/>
          <w:spacing w:val="3"/>
          <w:sz w:val="28"/>
          <w:szCs w:val="28"/>
          <w:lang w:eastAsia="zh-CN"/>
        </w:rPr>
        <w:t>。由于单位年初预算无法具体反映年度开支事项，导致年中追加资金，使得预算调整率较高。预算调整率高达</w:t>
      </w:r>
      <w:r>
        <w:rPr>
          <w:rFonts w:hint="eastAsia" w:ascii="仿宋" w:hAnsi="仿宋" w:eastAsia="仿宋" w:cs="仿宋"/>
          <w:color w:val="auto"/>
          <w:spacing w:val="3"/>
          <w:sz w:val="28"/>
          <w:szCs w:val="28"/>
          <w:lang w:eastAsia="zh-CN"/>
        </w:rPr>
        <w:t>34.63%</w:t>
      </w:r>
      <w:r>
        <w:rPr>
          <w:rFonts w:ascii="仿宋" w:hAnsi="仿宋" w:eastAsia="仿宋" w:cs="仿宋"/>
          <w:color w:val="auto"/>
          <w:spacing w:val="3"/>
          <w:sz w:val="28"/>
          <w:szCs w:val="28"/>
          <w:lang w:eastAsia="zh-CN"/>
        </w:rPr>
        <w:t>，表明预算编制不够精准，需加强预算管理的科学性和预见性。根据评分标准，此项</w:t>
      </w:r>
      <w:r>
        <w:rPr>
          <w:rFonts w:hint="eastAsia" w:ascii="仿宋" w:hAnsi="仿宋" w:eastAsia="仿宋" w:cs="仿宋"/>
          <w:color w:val="auto"/>
          <w:spacing w:val="3"/>
          <w:sz w:val="28"/>
          <w:szCs w:val="28"/>
          <w:lang w:eastAsia="zh-CN"/>
        </w:rPr>
        <w:t>扣2分，得0分</w:t>
      </w:r>
      <w:r>
        <w:rPr>
          <w:rFonts w:ascii="仿宋" w:hAnsi="仿宋" w:eastAsia="仿宋" w:cs="仿宋"/>
          <w:color w:val="auto"/>
          <w:spacing w:val="3"/>
          <w:sz w:val="28"/>
          <w:szCs w:val="28"/>
          <w:lang w:eastAsia="zh-CN"/>
        </w:rPr>
        <w:t>。</w:t>
      </w:r>
    </w:p>
    <w:p w14:paraId="2F0899A7">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（3）结转结余率（</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分</w:t>
      </w:r>
    </w:p>
    <w:p w14:paraId="77FB5523">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泉州市洛江区应急管理局2023年结转结余资金总额为39.7万元，全年预算数为2323.38万元，结转结余率=（39.7/2323.38）×100%=1.</w:t>
      </w:r>
      <w:r>
        <w:rPr>
          <w:rFonts w:hint="eastAsia" w:ascii="仿宋" w:hAnsi="仿宋" w:eastAsia="仿宋" w:cs="仿宋"/>
          <w:color w:val="auto"/>
          <w:spacing w:val="3"/>
          <w:sz w:val="28"/>
          <w:szCs w:val="28"/>
          <w:lang w:eastAsia="zh-CN"/>
        </w:rPr>
        <w:t>71</w:t>
      </w:r>
      <w:r>
        <w:rPr>
          <w:rFonts w:ascii="仿宋" w:hAnsi="仿宋" w:eastAsia="仿宋" w:cs="仿宋"/>
          <w:color w:val="auto"/>
          <w:spacing w:val="3"/>
          <w:sz w:val="28"/>
          <w:szCs w:val="28"/>
          <w:lang w:eastAsia="zh-CN"/>
        </w:rPr>
        <w:t>%。根据评价指标(50%-1.</w:t>
      </w:r>
      <w:r>
        <w:rPr>
          <w:rFonts w:hint="eastAsia" w:ascii="仿宋" w:hAnsi="仿宋" w:eastAsia="仿宋" w:cs="仿宋"/>
          <w:color w:val="auto"/>
          <w:spacing w:val="3"/>
          <w:sz w:val="28"/>
          <w:szCs w:val="28"/>
          <w:lang w:eastAsia="zh-CN"/>
        </w:rPr>
        <w:t>71</w:t>
      </w:r>
      <w:r>
        <w:rPr>
          <w:rFonts w:ascii="仿宋" w:hAnsi="仿宋" w:eastAsia="仿宋" w:cs="仿宋"/>
          <w:color w:val="auto"/>
          <w:spacing w:val="3"/>
          <w:sz w:val="28"/>
          <w:szCs w:val="28"/>
          <w:lang w:eastAsia="zh-CN"/>
        </w:rPr>
        <w:t>%)/50%*3=</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分，本项得</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分。</w:t>
      </w:r>
    </w:p>
    <w:p w14:paraId="7FFE05C3">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（4）公用经费控制率（</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4F301954">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泉州市洛江区应急管理局2023年公用经费预算安排数为</w:t>
      </w:r>
      <w:r>
        <w:rPr>
          <w:rFonts w:hint="eastAsia" w:ascii="仿宋" w:hAnsi="仿宋" w:eastAsia="仿宋" w:cs="仿宋"/>
          <w:color w:val="auto"/>
          <w:spacing w:val="3"/>
          <w:sz w:val="28"/>
          <w:szCs w:val="28"/>
          <w:lang w:eastAsia="zh-CN"/>
        </w:rPr>
        <w:t>108.43</w:t>
      </w:r>
      <w:r>
        <w:rPr>
          <w:rFonts w:ascii="仿宋" w:hAnsi="仿宋" w:eastAsia="仿宋" w:cs="仿宋"/>
          <w:color w:val="auto"/>
          <w:spacing w:val="3"/>
          <w:sz w:val="28"/>
          <w:szCs w:val="28"/>
          <w:lang w:eastAsia="zh-CN"/>
        </w:rPr>
        <w:t>万元，实际支出为</w:t>
      </w:r>
      <w:r>
        <w:rPr>
          <w:rFonts w:hint="eastAsia" w:ascii="仿宋" w:hAnsi="仿宋" w:eastAsia="仿宋" w:cs="仿宋"/>
          <w:color w:val="auto"/>
          <w:spacing w:val="3"/>
          <w:sz w:val="28"/>
          <w:szCs w:val="28"/>
          <w:lang w:eastAsia="zh-CN"/>
        </w:rPr>
        <w:t>108.43</w:t>
      </w:r>
      <w:r>
        <w:rPr>
          <w:rFonts w:ascii="仿宋" w:hAnsi="仿宋" w:eastAsia="仿宋" w:cs="仿宋"/>
          <w:color w:val="auto"/>
          <w:spacing w:val="3"/>
          <w:sz w:val="28"/>
          <w:szCs w:val="28"/>
          <w:lang w:eastAsia="zh-CN"/>
        </w:rPr>
        <w:t>万元，公用经费控制率为</w:t>
      </w:r>
      <w:r>
        <w:rPr>
          <w:rFonts w:hint="eastAsia" w:ascii="仿宋" w:hAnsi="仿宋" w:eastAsia="仿宋" w:cs="仿宋"/>
          <w:color w:val="auto"/>
          <w:spacing w:val="3"/>
          <w:sz w:val="28"/>
          <w:szCs w:val="28"/>
          <w:lang w:eastAsia="zh-CN"/>
        </w:rPr>
        <w:t>100%</w:t>
      </w:r>
      <w:r>
        <w:rPr>
          <w:rFonts w:ascii="仿宋" w:hAnsi="仿宋" w:eastAsia="仿宋" w:cs="仿宋"/>
          <w:color w:val="auto"/>
          <w:spacing w:val="3"/>
          <w:sz w:val="28"/>
          <w:szCs w:val="28"/>
          <w:lang w:eastAsia="zh-CN"/>
        </w:rPr>
        <w:t>，公用经费控制得当，远低于控制标准。根据评分标准，此项得</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03487F5D">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71" w:name="_Toc182904020"/>
      <w:bookmarkStart w:id="172" w:name="_Toc181558026"/>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预算管理（总分</w:t>
      </w:r>
      <w:r>
        <w:rPr>
          <w:rFonts w:hint="eastAsia" w:ascii="仿宋" w:hAnsi="仿宋" w:eastAsia="仿宋" w:cs="仿宋"/>
          <w:color w:val="auto"/>
          <w:spacing w:val="3"/>
          <w:sz w:val="28"/>
          <w:szCs w:val="28"/>
          <w:lang w:eastAsia="zh-CN"/>
        </w:rPr>
        <w:t>13</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11</w:t>
      </w:r>
      <w:r>
        <w:rPr>
          <w:rFonts w:ascii="仿宋" w:hAnsi="仿宋" w:eastAsia="仿宋" w:cs="仿宋"/>
          <w:color w:val="auto"/>
          <w:spacing w:val="3"/>
          <w:sz w:val="28"/>
          <w:szCs w:val="28"/>
          <w:lang w:eastAsia="zh-CN"/>
        </w:rPr>
        <w:t>分）</w:t>
      </w:r>
      <w:bookmarkEnd w:id="171"/>
      <w:bookmarkEnd w:id="172"/>
    </w:p>
    <w:p w14:paraId="0F4AD014">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（1）管理制度健全性（</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w:t>
      </w:r>
    </w:p>
    <w:p w14:paraId="441D5913">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为加强财务管理和会计核算，规范财务行为，降低行政成本，防止国有资产流失，提高资金使用效益并强化财务监督，泉州市洛江区应急管理局于2020年</w:t>
      </w:r>
      <w:r>
        <w:rPr>
          <w:rFonts w:hint="eastAsia" w:ascii="仿宋" w:hAnsi="仿宋" w:eastAsia="仿宋" w:cs="仿宋"/>
          <w:color w:val="auto"/>
          <w:spacing w:val="3"/>
          <w:sz w:val="28"/>
          <w:szCs w:val="28"/>
          <w:lang w:eastAsia="zh-CN"/>
        </w:rPr>
        <w:t>6</w:t>
      </w:r>
      <w:r>
        <w:rPr>
          <w:rFonts w:ascii="仿宋" w:hAnsi="仿宋" w:eastAsia="仿宋" w:cs="仿宋"/>
          <w:color w:val="auto"/>
          <w:spacing w:val="3"/>
          <w:sz w:val="28"/>
          <w:szCs w:val="28"/>
          <w:lang w:eastAsia="zh-CN"/>
        </w:rPr>
        <w:t>月制定了《</w:t>
      </w:r>
      <w:r>
        <w:rPr>
          <w:rFonts w:hint="eastAsia" w:ascii="仿宋" w:hAnsi="仿宋" w:eastAsia="仿宋" w:cs="仿宋"/>
          <w:color w:val="auto"/>
          <w:spacing w:val="3"/>
          <w:sz w:val="28"/>
          <w:szCs w:val="28"/>
          <w:lang w:eastAsia="zh-CN"/>
        </w:rPr>
        <w:t>洛江区应急局财务内控制度暂行规定</w:t>
      </w:r>
      <w:r>
        <w:rPr>
          <w:rFonts w:ascii="仿宋" w:hAnsi="仿宋" w:eastAsia="仿宋" w:cs="仿宋"/>
          <w:color w:val="auto"/>
          <w:spacing w:val="3"/>
          <w:sz w:val="28"/>
          <w:szCs w:val="28"/>
          <w:lang w:eastAsia="zh-CN"/>
        </w:rPr>
        <w:t>》。该制度对预算管理、收支管理、固定资产管理、资金管理、审批管理、会计档案管理等进行了严格规定。根据评分标准，此项得</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w:t>
      </w:r>
    </w:p>
    <w:p w14:paraId="34EEF529">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（2）政府采购管理（</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4E3FF5C4">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洛江区应急管理局政府采购符合政府采购相关规定</w:t>
      </w:r>
      <w:r>
        <w:rPr>
          <w:rFonts w:ascii="仿宋" w:hAnsi="仿宋" w:eastAsia="仿宋" w:cs="仿宋"/>
          <w:color w:val="auto"/>
          <w:spacing w:val="3"/>
          <w:sz w:val="28"/>
          <w:szCs w:val="28"/>
          <w:lang w:eastAsia="zh-CN"/>
        </w:rPr>
        <w:t>，对采购程序、采购审批程序、采购方式</w:t>
      </w:r>
      <w:r>
        <w:rPr>
          <w:rFonts w:hint="eastAsia" w:ascii="仿宋" w:hAnsi="仿宋" w:eastAsia="仿宋" w:cs="仿宋"/>
          <w:color w:val="auto"/>
          <w:spacing w:val="3"/>
          <w:sz w:val="28"/>
          <w:szCs w:val="28"/>
          <w:lang w:eastAsia="zh-CN"/>
        </w:rPr>
        <w:t>符合规定</w:t>
      </w:r>
      <w:r>
        <w:rPr>
          <w:rFonts w:ascii="仿宋" w:hAnsi="仿宋" w:eastAsia="仿宋" w:cs="仿宋"/>
          <w:color w:val="auto"/>
          <w:spacing w:val="3"/>
          <w:sz w:val="28"/>
          <w:szCs w:val="28"/>
          <w:lang w:eastAsia="zh-CN"/>
        </w:rPr>
        <w:t>。根据评分标准，得</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分。</w:t>
      </w:r>
    </w:p>
    <w:p w14:paraId="06C4522C">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（3）会计核算规范性（</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34912007">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会计核算基本规范，</w:t>
      </w:r>
      <w:r>
        <w:rPr>
          <w:rFonts w:hint="eastAsia" w:ascii="仿宋" w:hAnsi="仿宋" w:eastAsia="仿宋" w:cs="仿宋"/>
          <w:color w:val="auto"/>
          <w:spacing w:val="3"/>
          <w:sz w:val="28"/>
          <w:szCs w:val="28"/>
          <w:lang w:eastAsia="zh-CN"/>
        </w:rPr>
        <w:t>但还存在不足之处。例如，</w:t>
      </w:r>
      <w:bookmarkStart w:id="173" w:name="_Hlk181531670"/>
      <w:r>
        <w:rPr>
          <w:rFonts w:hint="eastAsia" w:ascii="仿宋" w:hAnsi="仿宋" w:eastAsia="仿宋" w:cs="仿宋"/>
          <w:color w:val="auto"/>
          <w:spacing w:val="3"/>
          <w:sz w:val="28"/>
          <w:szCs w:val="28"/>
          <w:lang w:eastAsia="zh-CN"/>
        </w:rPr>
        <w:t>2023年洛江区应急局为消防大队代购消防机器人于2023年7月调拨至区消防大队，但在2023年12月的资产负债表上并未看到相应会计处理。截至2023年12月洛江区应急局固定资产台账中固定资产原值累计数与2023年12月资产负债表中固定资产原值金额存在差异。故会计处理存在不足之处</w:t>
      </w:r>
      <w:bookmarkEnd w:id="173"/>
      <w:r>
        <w:rPr>
          <w:rFonts w:ascii="仿宋" w:hAnsi="仿宋" w:eastAsia="仿宋" w:cs="仿宋"/>
          <w:color w:val="auto"/>
          <w:spacing w:val="3"/>
          <w:sz w:val="28"/>
          <w:szCs w:val="28"/>
          <w:lang w:eastAsia="zh-CN"/>
        </w:rPr>
        <w:t>。根据评分标准，此项扣</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3E866F4E">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（4）预决算信息公开性（</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4668D71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泉州市洛江区应急管理局</w:t>
      </w:r>
      <w:r>
        <w:rPr>
          <w:rFonts w:hint="eastAsia" w:ascii="仿宋" w:hAnsi="仿宋" w:eastAsia="仿宋" w:cs="仿宋"/>
          <w:color w:val="auto"/>
          <w:spacing w:val="3"/>
          <w:sz w:val="28"/>
          <w:szCs w:val="28"/>
          <w:lang w:eastAsia="zh-CN"/>
        </w:rPr>
        <w:t>有按照规定在政府信息公开网上公开相关的预算及决算信息</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3F11037F">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（5）合同管理规范性（</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w:t>
      </w:r>
    </w:p>
    <w:p w14:paraId="0ABFED11">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洛江区应急局在合同的签订管理方面，符合法律法规对合同的相关规定。在合同签订中有在合同中明确约定双方的权利和义务，有约定付款方式及付款进度等相关信息</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1.5</w:t>
      </w:r>
      <w:r>
        <w:rPr>
          <w:rFonts w:ascii="仿宋" w:hAnsi="仿宋" w:eastAsia="仿宋" w:cs="仿宋"/>
          <w:color w:val="auto"/>
          <w:spacing w:val="3"/>
          <w:sz w:val="28"/>
          <w:szCs w:val="28"/>
          <w:lang w:eastAsia="zh-CN"/>
        </w:rPr>
        <w:t>分。</w:t>
      </w:r>
    </w:p>
    <w:p w14:paraId="7FF6550D">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（6）资产管理完整性（</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2829D68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主管单位和下级单位资产管理制度较为健全</w:t>
      </w:r>
      <w:r>
        <w:rPr>
          <w:rFonts w:hint="eastAsia" w:ascii="仿宋" w:hAnsi="仿宋" w:eastAsia="仿宋" w:cs="仿宋"/>
          <w:color w:val="auto"/>
          <w:spacing w:val="3"/>
          <w:sz w:val="28"/>
          <w:szCs w:val="28"/>
          <w:lang w:eastAsia="zh-CN"/>
        </w:rPr>
        <w:t>，在资产管理方面符合财务会计的相关要求</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68189864">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（7）</w:t>
      </w:r>
      <w:r>
        <w:rPr>
          <w:rFonts w:hint="eastAsia" w:ascii="仿宋" w:hAnsi="仿宋" w:eastAsia="仿宋" w:cs="仿宋"/>
          <w:color w:val="auto"/>
          <w:spacing w:val="3"/>
          <w:sz w:val="28"/>
          <w:szCs w:val="28"/>
          <w:lang w:eastAsia="zh-CN"/>
        </w:rPr>
        <w:t>绩效自评合规性（</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：得分为2分</w:t>
      </w:r>
    </w:p>
    <w:p w14:paraId="129B24E0">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根据泉州市洛江区应急管理局提供的绩效自评报告及绩效自评表显示，泉州市洛江区应急管理局绩效自评存在不足之处。例如，“提高安全生产水平”指标的目标值为“有所提升”“资金使用合规性”的目标值为“合规”，该目标值设置并不具体明确，设置过于笼统宽泛，而该项目自评的依据性存在欠缺</w:t>
      </w:r>
      <w:r>
        <w:rPr>
          <w:rFonts w:ascii="仿宋" w:hAnsi="仿宋" w:eastAsia="仿宋" w:cs="仿宋"/>
          <w:color w:val="auto"/>
          <w:spacing w:val="3"/>
          <w:sz w:val="28"/>
          <w:szCs w:val="28"/>
          <w:lang w:eastAsia="zh-CN"/>
        </w:rPr>
        <w:t>。根据评分标准，</w:t>
      </w:r>
      <w:r>
        <w:rPr>
          <w:rFonts w:hint="eastAsia" w:ascii="仿宋" w:hAnsi="仿宋" w:eastAsia="仿宋" w:cs="仿宋"/>
          <w:color w:val="auto"/>
          <w:spacing w:val="3"/>
          <w:sz w:val="28"/>
          <w:szCs w:val="28"/>
          <w:lang w:eastAsia="zh-CN"/>
        </w:rPr>
        <w:t>此项扣1分，</w:t>
      </w:r>
      <w:r>
        <w:rPr>
          <w:rFonts w:ascii="仿宋" w:hAnsi="仿宋" w:eastAsia="仿宋" w:cs="仿宋"/>
          <w:color w:val="auto"/>
          <w:spacing w:val="3"/>
          <w:sz w:val="28"/>
          <w:szCs w:val="28"/>
          <w:lang w:eastAsia="zh-CN"/>
        </w:rPr>
        <w:t>得2分。</w:t>
      </w:r>
    </w:p>
    <w:p w14:paraId="64E2521B">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174" w:name="_Toc182904021"/>
      <w:bookmarkStart w:id="175" w:name="_Toc181558027"/>
      <w:r>
        <w:rPr>
          <w:rFonts w:hint="eastAsia" w:ascii="仿宋" w:hAnsi="仿宋" w:eastAsia="仿宋" w:cs="仿宋"/>
          <w:b/>
          <w:color w:val="auto"/>
          <w:spacing w:val="3"/>
          <w:sz w:val="28"/>
          <w:szCs w:val="28"/>
          <w:lang w:eastAsia="zh-CN"/>
        </w:rPr>
        <w:t>（三）产出（总分34分，得分30分）</w:t>
      </w:r>
      <w:bookmarkEnd w:id="174"/>
      <w:bookmarkEnd w:id="175"/>
    </w:p>
    <w:p w14:paraId="5974C081">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76" w:name="_Toc182904022"/>
      <w:bookmarkStart w:id="177" w:name="_Toc181558028"/>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产出数量（总分</w:t>
      </w:r>
      <w:r>
        <w:rPr>
          <w:rFonts w:hint="eastAsia" w:ascii="仿宋" w:hAnsi="仿宋" w:eastAsia="仿宋" w:cs="仿宋"/>
          <w:color w:val="auto"/>
          <w:spacing w:val="3"/>
          <w:sz w:val="28"/>
          <w:szCs w:val="28"/>
          <w:lang w:eastAsia="zh-CN"/>
        </w:rPr>
        <w:t>18</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18</w:t>
      </w:r>
      <w:r>
        <w:rPr>
          <w:rFonts w:ascii="仿宋" w:hAnsi="仿宋" w:eastAsia="仿宋" w:cs="仿宋"/>
          <w:color w:val="auto"/>
          <w:spacing w:val="3"/>
          <w:sz w:val="28"/>
          <w:szCs w:val="28"/>
          <w:lang w:eastAsia="zh-CN"/>
        </w:rPr>
        <w:t>分）</w:t>
      </w:r>
      <w:bookmarkEnd w:id="176"/>
      <w:bookmarkEnd w:id="177"/>
    </w:p>
    <w:p w14:paraId="6F0A07E0">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w:t>
      </w:r>
      <w:r>
        <w:rPr>
          <w:rFonts w:hint="eastAsia" w:ascii="仿宋" w:hAnsi="仿宋" w:eastAsia="仿宋" w:cs="仿宋"/>
          <w:color w:val="auto"/>
          <w:spacing w:val="3"/>
          <w:sz w:val="28"/>
          <w:szCs w:val="28"/>
          <w:lang w:eastAsia="zh-CN"/>
        </w:rPr>
        <w:t>安全隐患排查数量（</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6EDD159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w:t>
      </w:r>
      <w:r>
        <w:rPr>
          <w:rFonts w:hint="eastAsia" w:ascii="仿宋" w:hAnsi="仿宋" w:eastAsia="仿宋" w:cs="仿宋"/>
          <w:color w:val="auto"/>
          <w:spacing w:val="3"/>
          <w:sz w:val="28"/>
          <w:szCs w:val="28"/>
          <w:lang w:eastAsia="zh-CN"/>
        </w:rPr>
        <w:t>3年度洛江区应急管理局针对企业安全生产、打非治违、隐患排查开展数量</w:t>
      </w:r>
      <w:r>
        <w:rPr>
          <w:rFonts w:ascii="仿宋" w:hAnsi="仿宋" w:eastAsia="仿宋" w:cs="仿宋"/>
          <w:color w:val="auto"/>
          <w:spacing w:val="3"/>
          <w:sz w:val="28"/>
          <w:szCs w:val="28"/>
          <w:lang w:eastAsia="zh-CN"/>
        </w:rPr>
        <w:t>317家。根据评分标准，此项得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3292D79E">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累计辅导企业次数（</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46668910">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截至</w:t>
      </w: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洛江区应急管理局累计组织专家到企事业单位开展辅导</w:t>
      </w:r>
      <w:r>
        <w:rPr>
          <w:rFonts w:ascii="仿宋" w:hAnsi="仿宋" w:eastAsia="仿宋" w:cs="仿宋"/>
          <w:color w:val="auto"/>
          <w:spacing w:val="3"/>
          <w:sz w:val="28"/>
          <w:szCs w:val="28"/>
          <w:lang w:eastAsia="zh-CN"/>
        </w:rPr>
        <w:t>80</w:t>
      </w:r>
      <w:r>
        <w:rPr>
          <w:rFonts w:hint="eastAsia" w:ascii="仿宋" w:hAnsi="仿宋" w:eastAsia="仿宋" w:cs="仿宋"/>
          <w:color w:val="auto"/>
          <w:spacing w:val="3"/>
          <w:sz w:val="28"/>
          <w:szCs w:val="28"/>
          <w:lang w:eastAsia="zh-CN"/>
        </w:rPr>
        <w:t>多家次，帮助企业排查发现安全隐患、制度缺失、体系运行不到位和不规范等问题</w:t>
      </w:r>
      <w:r>
        <w:rPr>
          <w:rFonts w:ascii="仿宋" w:hAnsi="仿宋" w:eastAsia="仿宋" w:cs="仿宋"/>
          <w:color w:val="auto"/>
          <w:spacing w:val="3"/>
          <w:sz w:val="28"/>
          <w:szCs w:val="28"/>
          <w:lang w:eastAsia="zh-CN"/>
        </w:rPr>
        <w:t>700</w:t>
      </w:r>
      <w:r>
        <w:rPr>
          <w:rFonts w:hint="eastAsia" w:ascii="仿宋" w:hAnsi="仿宋" w:eastAsia="仿宋" w:cs="仿宋"/>
          <w:color w:val="auto"/>
          <w:spacing w:val="3"/>
          <w:sz w:val="28"/>
          <w:szCs w:val="28"/>
          <w:lang w:eastAsia="zh-CN"/>
        </w:rPr>
        <w:t>多条</w:t>
      </w:r>
      <w:r>
        <w:rPr>
          <w:rFonts w:ascii="仿宋" w:hAnsi="仿宋" w:eastAsia="仿宋" w:cs="仿宋"/>
          <w:color w:val="auto"/>
          <w:spacing w:val="3"/>
          <w:sz w:val="28"/>
          <w:szCs w:val="28"/>
          <w:lang w:eastAsia="zh-CN"/>
        </w:rPr>
        <w:t>。根据评分标准，得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66A4FB49">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累计建立标杆企业数量（</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6248FC81">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截至</w:t>
      </w: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洛江区应急管理局在培育标杆方面，共计培育精品企业</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家（泉州精镁科技有限公司、泉州天骄妇幼卫生用品有限公司）、市级标杆企业</w:t>
      </w:r>
      <w:r>
        <w:rPr>
          <w:rFonts w:ascii="仿宋" w:hAnsi="仿宋" w:eastAsia="仿宋" w:cs="仿宋"/>
          <w:color w:val="auto"/>
          <w:spacing w:val="3"/>
          <w:sz w:val="28"/>
          <w:szCs w:val="28"/>
          <w:lang w:eastAsia="zh-CN"/>
        </w:rPr>
        <w:t>10</w:t>
      </w:r>
      <w:r>
        <w:rPr>
          <w:rFonts w:hint="eastAsia" w:ascii="仿宋" w:hAnsi="仿宋" w:eastAsia="仿宋" w:cs="仿宋"/>
          <w:color w:val="auto"/>
          <w:spacing w:val="3"/>
          <w:sz w:val="28"/>
          <w:szCs w:val="28"/>
          <w:lang w:eastAsia="zh-CN"/>
        </w:rPr>
        <w:t>家、区级标杆企业</w:t>
      </w:r>
      <w:r>
        <w:rPr>
          <w:rFonts w:ascii="仿宋" w:hAnsi="仿宋" w:eastAsia="仿宋" w:cs="仿宋"/>
          <w:color w:val="auto"/>
          <w:spacing w:val="3"/>
          <w:sz w:val="28"/>
          <w:szCs w:val="28"/>
          <w:lang w:eastAsia="zh-CN"/>
        </w:rPr>
        <w:t>20</w:t>
      </w:r>
      <w:r>
        <w:rPr>
          <w:rFonts w:hint="eastAsia" w:ascii="仿宋" w:hAnsi="仿宋" w:eastAsia="仿宋" w:cs="仿宋"/>
          <w:color w:val="auto"/>
          <w:spacing w:val="3"/>
          <w:sz w:val="28"/>
          <w:szCs w:val="28"/>
          <w:lang w:eastAsia="zh-CN"/>
        </w:rPr>
        <w:t>家，建立“安全文明示范岗”岗位职责</w:t>
      </w:r>
      <w:r>
        <w:rPr>
          <w:rFonts w:ascii="仿宋" w:hAnsi="仿宋" w:eastAsia="仿宋" w:cs="仿宋"/>
          <w:color w:val="auto"/>
          <w:spacing w:val="3"/>
          <w:sz w:val="28"/>
          <w:szCs w:val="28"/>
          <w:lang w:eastAsia="zh-CN"/>
        </w:rPr>
        <w:t>7</w:t>
      </w:r>
      <w:r>
        <w:rPr>
          <w:rFonts w:hint="eastAsia" w:ascii="仿宋" w:hAnsi="仿宋" w:eastAsia="仿宋" w:cs="仿宋"/>
          <w:color w:val="auto"/>
          <w:spacing w:val="3"/>
          <w:sz w:val="28"/>
          <w:szCs w:val="28"/>
          <w:lang w:eastAsia="zh-CN"/>
        </w:rPr>
        <w:t>项规定、创建示范岗位</w:t>
      </w:r>
      <w:r>
        <w:rPr>
          <w:rFonts w:ascii="仿宋" w:hAnsi="仿宋" w:eastAsia="仿宋" w:cs="仿宋"/>
          <w:color w:val="auto"/>
          <w:spacing w:val="3"/>
          <w:sz w:val="28"/>
          <w:szCs w:val="28"/>
          <w:lang w:eastAsia="zh-CN"/>
        </w:rPr>
        <w:t>331</w:t>
      </w:r>
      <w:r>
        <w:rPr>
          <w:rFonts w:hint="eastAsia" w:ascii="仿宋" w:hAnsi="仿宋" w:eastAsia="仿宋" w:cs="仿宋"/>
          <w:color w:val="auto"/>
          <w:spacing w:val="3"/>
          <w:sz w:val="28"/>
          <w:szCs w:val="28"/>
          <w:lang w:eastAsia="zh-CN"/>
        </w:rPr>
        <w:t>个</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250BCAAA">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（4）</w:t>
      </w:r>
      <w:r>
        <w:rPr>
          <w:rFonts w:hint="eastAsia" w:ascii="仿宋" w:hAnsi="仿宋" w:eastAsia="仿宋" w:cs="仿宋"/>
          <w:color w:val="auto"/>
          <w:spacing w:val="3"/>
          <w:sz w:val="28"/>
          <w:szCs w:val="28"/>
          <w:lang w:eastAsia="zh-CN"/>
        </w:rPr>
        <w:t>累计动态执法监管企业数量（</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506AA184">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hint="eastAsia" w:ascii="仿宋" w:hAnsi="仿宋" w:eastAsia="仿宋" w:cs="仿宋"/>
          <w:color w:val="auto"/>
          <w:spacing w:val="3"/>
          <w:sz w:val="28"/>
          <w:szCs w:val="28"/>
          <w:lang w:eastAsia="zh-CN"/>
        </w:rPr>
        <w:t>截至</w:t>
      </w: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洛江区应急管理局在监管执法方面，</w:t>
      </w:r>
      <w:r>
        <w:rPr>
          <w:rFonts w:ascii="仿宋" w:hAnsi="仿宋" w:eastAsia="仿宋" w:cs="仿宋"/>
          <w:color w:val="auto"/>
          <w:spacing w:val="3"/>
          <w:sz w:val="28"/>
          <w:szCs w:val="28"/>
          <w:lang w:eastAsia="zh-CN"/>
        </w:rPr>
        <w:t>1160</w:t>
      </w:r>
      <w:r>
        <w:rPr>
          <w:rFonts w:hint="eastAsia" w:ascii="仿宋" w:hAnsi="仿宋" w:eastAsia="仿宋" w:cs="仿宋"/>
          <w:color w:val="auto"/>
          <w:spacing w:val="3"/>
          <w:sz w:val="28"/>
          <w:szCs w:val="28"/>
          <w:lang w:eastAsia="zh-CN"/>
        </w:rPr>
        <w:t>家企事业单位均实施“红橙黄蓝”动态监管，其中红色</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家、橙色</w:t>
      </w:r>
      <w:r>
        <w:rPr>
          <w:rFonts w:ascii="仿宋" w:hAnsi="仿宋" w:eastAsia="仿宋" w:cs="仿宋"/>
          <w:color w:val="auto"/>
          <w:spacing w:val="3"/>
          <w:sz w:val="28"/>
          <w:szCs w:val="28"/>
          <w:lang w:eastAsia="zh-CN"/>
        </w:rPr>
        <w:t>29</w:t>
      </w:r>
      <w:r>
        <w:rPr>
          <w:rFonts w:hint="eastAsia" w:ascii="仿宋" w:hAnsi="仿宋" w:eastAsia="仿宋" w:cs="仿宋"/>
          <w:color w:val="auto"/>
          <w:spacing w:val="3"/>
          <w:sz w:val="28"/>
          <w:szCs w:val="28"/>
          <w:lang w:eastAsia="zh-CN"/>
        </w:rPr>
        <w:t>家、黄色</w:t>
      </w:r>
      <w:r>
        <w:rPr>
          <w:rFonts w:ascii="仿宋" w:hAnsi="仿宋" w:eastAsia="仿宋" w:cs="仿宋"/>
          <w:color w:val="auto"/>
          <w:spacing w:val="3"/>
          <w:sz w:val="28"/>
          <w:szCs w:val="28"/>
          <w:lang w:eastAsia="zh-CN"/>
        </w:rPr>
        <w:t>307</w:t>
      </w:r>
      <w:r>
        <w:rPr>
          <w:rFonts w:hint="eastAsia" w:ascii="仿宋" w:hAnsi="仿宋" w:eastAsia="仿宋" w:cs="仿宋"/>
          <w:color w:val="auto"/>
          <w:spacing w:val="3"/>
          <w:sz w:val="28"/>
          <w:szCs w:val="28"/>
          <w:lang w:eastAsia="zh-CN"/>
        </w:rPr>
        <w:t>家、蓝色</w:t>
      </w:r>
      <w:r>
        <w:rPr>
          <w:rFonts w:ascii="仿宋" w:hAnsi="仿宋" w:eastAsia="仿宋" w:cs="仿宋"/>
          <w:color w:val="auto"/>
          <w:spacing w:val="3"/>
          <w:sz w:val="28"/>
          <w:szCs w:val="28"/>
          <w:lang w:eastAsia="zh-CN"/>
        </w:rPr>
        <w:t>822</w:t>
      </w:r>
      <w:r>
        <w:rPr>
          <w:rFonts w:hint="eastAsia" w:ascii="仿宋" w:hAnsi="仿宋" w:eastAsia="仿宋" w:cs="仿宋"/>
          <w:color w:val="auto"/>
          <w:spacing w:val="3"/>
          <w:sz w:val="28"/>
          <w:szCs w:val="28"/>
          <w:lang w:eastAsia="zh-CN"/>
        </w:rPr>
        <w:t>家</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25C322EA">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（5）</w:t>
      </w:r>
      <w:r>
        <w:rPr>
          <w:rFonts w:hint="eastAsia" w:ascii="仿宋" w:hAnsi="仿宋" w:eastAsia="仿宋" w:cs="仿宋"/>
          <w:color w:val="auto"/>
          <w:spacing w:val="3"/>
          <w:sz w:val="28"/>
          <w:szCs w:val="28"/>
          <w:lang w:eastAsia="zh-CN"/>
        </w:rPr>
        <w:t>防火消防专业队的人数（</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4A1F3C4E">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截至</w:t>
      </w: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年度洛江区应急管理局在森林防火消防专业队的建设方面，洛江区共建设</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支</w:t>
      </w:r>
      <w:r>
        <w:rPr>
          <w:rFonts w:ascii="仿宋" w:hAnsi="仿宋" w:eastAsia="仿宋" w:cs="仿宋"/>
          <w:color w:val="auto"/>
          <w:spacing w:val="3"/>
          <w:sz w:val="28"/>
          <w:szCs w:val="28"/>
          <w:lang w:eastAsia="zh-CN"/>
        </w:rPr>
        <w:t>50</w:t>
      </w:r>
      <w:r>
        <w:rPr>
          <w:rFonts w:hint="eastAsia" w:ascii="仿宋" w:hAnsi="仿宋" w:eastAsia="仿宋" w:cs="仿宋"/>
          <w:color w:val="auto"/>
          <w:spacing w:val="3"/>
          <w:sz w:val="28"/>
          <w:szCs w:val="28"/>
          <w:lang w:eastAsia="zh-CN"/>
        </w:rPr>
        <w:t>名区森林消防专业队员和</w:t>
      </w:r>
      <w:r>
        <w:rPr>
          <w:rFonts w:ascii="仿宋" w:hAnsi="仿宋" w:eastAsia="仿宋" w:cs="仿宋"/>
          <w:color w:val="auto"/>
          <w:spacing w:val="3"/>
          <w:sz w:val="28"/>
          <w:szCs w:val="28"/>
          <w:lang w:eastAsia="zh-CN"/>
        </w:rPr>
        <w:t>7</w:t>
      </w:r>
      <w:r>
        <w:rPr>
          <w:rFonts w:hint="eastAsia" w:ascii="仿宋" w:hAnsi="仿宋" w:eastAsia="仿宋" w:cs="仿宋"/>
          <w:color w:val="auto"/>
          <w:spacing w:val="3"/>
          <w:sz w:val="28"/>
          <w:szCs w:val="28"/>
          <w:lang w:eastAsia="zh-CN"/>
        </w:rPr>
        <w:t>支</w:t>
      </w:r>
      <w:r>
        <w:rPr>
          <w:rFonts w:ascii="仿宋" w:hAnsi="仿宋" w:eastAsia="仿宋" w:cs="仿宋"/>
          <w:color w:val="auto"/>
          <w:spacing w:val="3"/>
          <w:sz w:val="28"/>
          <w:szCs w:val="28"/>
          <w:lang w:eastAsia="zh-CN"/>
        </w:rPr>
        <w:t>255</w:t>
      </w:r>
      <w:r>
        <w:rPr>
          <w:rFonts w:hint="eastAsia" w:ascii="仿宋" w:hAnsi="仿宋" w:eastAsia="仿宋" w:cs="仿宋"/>
          <w:color w:val="auto"/>
          <w:spacing w:val="3"/>
          <w:sz w:val="28"/>
          <w:szCs w:val="28"/>
          <w:lang w:eastAsia="zh-CN"/>
        </w:rPr>
        <w:t>名半专业森林消防队员在重点关键时段前置驻防</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2B595940">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（6）</w:t>
      </w:r>
      <w:r>
        <w:rPr>
          <w:rFonts w:hint="eastAsia" w:ascii="仿宋" w:hAnsi="仿宋" w:eastAsia="仿宋" w:cs="仿宋"/>
          <w:color w:val="auto"/>
          <w:spacing w:val="3"/>
          <w:sz w:val="28"/>
          <w:szCs w:val="28"/>
          <w:lang w:eastAsia="zh-CN"/>
        </w:rPr>
        <w:t>巩固提升避灾点的数量（</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1DC1A8B8">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洛江区应急管理局共计巩固提升</w:t>
      </w:r>
      <w:r>
        <w:rPr>
          <w:rFonts w:ascii="仿宋" w:hAnsi="仿宋" w:eastAsia="仿宋" w:cs="仿宋"/>
          <w:color w:val="auto"/>
          <w:spacing w:val="3"/>
          <w:sz w:val="28"/>
          <w:szCs w:val="28"/>
          <w:lang w:eastAsia="zh-CN"/>
        </w:rPr>
        <w:t>11</w:t>
      </w:r>
      <w:r>
        <w:rPr>
          <w:rFonts w:hint="eastAsia" w:ascii="仿宋" w:hAnsi="仿宋" w:eastAsia="仿宋" w:cs="仿宋"/>
          <w:color w:val="auto"/>
          <w:spacing w:val="3"/>
          <w:sz w:val="28"/>
          <w:szCs w:val="28"/>
          <w:lang w:eastAsia="zh-CN"/>
        </w:rPr>
        <w:t>个自然灾害避灾点，进一步增强灾害防御能力，确保人民群众生命财产安全</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19D24291">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78" w:name="_Toc181558029"/>
      <w:bookmarkStart w:id="179" w:name="_Toc182904023"/>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产出质量（总分1</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9</w:t>
      </w:r>
      <w:r>
        <w:rPr>
          <w:rFonts w:ascii="仿宋" w:hAnsi="仿宋" w:eastAsia="仿宋" w:cs="仿宋"/>
          <w:color w:val="auto"/>
          <w:spacing w:val="3"/>
          <w:sz w:val="28"/>
          <w:szCs w:val="28"/>
          <w:lang w:eastAsia="zh-CN"/>
        </w:rPr>
        <w:t>分）</w:t>
      </w:r>
      <w:bookmarkEnd w:id="178"/>
      <w:bookmarkEnd w:id="179"/>
    </w:p>
    <w:p w14:paraId="32507FD4">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（1）</w:t>
      </w:r>
      <w:r>
        <w:rPr>
          <w:rFonts w:hint="eastAsia" w:ascii="仿宋" w:hAnsi="仿宋" w:eastAsia="仿宋" w:cs="仿宋"/>
          <w:color w:val="auto"/>
          <w:spacing w:val="3"/>
          <w:sz w:val="28"/>
          <w:szCs w:val="28"/>
          <w:lang w:eastAsia="zh-CN"/>
        </w:rPr>
        <w:t>安全隐患整改率情况（</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5544C8F9">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洛江区应急管理局在隐患排查方面，各企事业单位运用“三张清单”排查隐患</w:t>
      </w:r>
      <w:r>
        <w:rPr>
          <w:rFonts w:ascii="仿宋" w:hAnsi="仿宋" w:eastAsia="仿宋" w:cs="仿宋"/>
          <w:color w:val="auto"/>
          <w:spacing w:val="3"/>
          <w:sz w:val="28"/>
          <w:szCs w:val="28"/>
          <w:lang w:eastAsia="zh-CN"/>
        </w:rPr>
        <w:t>7011</w:t>
      </w:r>
      <w:r>
        <w:rPr>
          <w:rFonts w:hint="eastAsia" w:ascii="仿宋" w:hAnsi="仿宋" w:eastAsia="仿宋" w:cs="仿宋"/>
          <w:color w:val="auto"/>
          <w:spacing w:val="3"/>
          <w:sz w:val="28"/>
          <w:szCs w:val="28"/>
          <w:lang w:eastAsia="zh-CN"/>
        </w:rPr>
        <w:t>项，整改完成</w:t>
      </w:r>
      <w:r>
        <w:rPr>
          <w:rFonts w:ascii="仿宋" w:hAnsi="仿宋" w:eastAsia="仿宋" w:cs="仿宋"/>
          <w:color w:val="auto"/>
          <w:spacing w:val="3"/>
          <w:sz w:val="28"/>
          <w:szCs w:val="28"/>
          <w:lang w:eastAsia="zh-CN"/>
        </w:rPr>
        <w:t>6962</w:t>
      </w:r>
      <w:r>
        <w:rPr>
          <w:rFonts w:hint="eastAsia" w:ascii="仿宋" w:hAnsi="仿宋" w:eastAsia="仿宋" w:cs="仿宋"/>
          <w:color w:val="auto"/>
          <w:spacing w:val="3"/>
          <w:sz w:val="28"/>
          <w:szCs w:val="28"/>
          <w:lang w:eastAsia="zh-CN"/>
        </w:rPr>
        <w:t>项、整改率</w:t>
      </w:r>
      <w:r>
        <w:rPr>
          <w:rFonts w:ascii="仿宋" w:hAnsi="仿宋" w:eastAsia="仿宋" w:cs="仿宋"/>
          <w:color w:val="auto"/>
          <w:spacing w:val="3"/>
          <w:sz w:val="28"/>
          <w:szCs w:val="28"/>
          <w:lang w:eastAsia="zh-CN"/>
        </w:rPr>
        <w:t>99.3%。根据评分标准，此项得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7CCAE023">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对专家的依赖情况（</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0E059B8C">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2023年</w:t>
      </w:r>
      <w:r>
        <w:rPr>
          <w:rFonts w:hint="eastAsia" w:ascii="仿宋" w:hAnsi="仿宋" w:eastAsia="仿宋" w:cs="仿宋"/>
          <w:color w:val="auto"/>
          <w:spacing w:val="3"/>
          <w:sz w:val="28"/>
          <w:szCs w:val="28"/>
          <w:lang w:eastAsia="zh-CN"/>
        </w:rPr>
        <w:t>洛江区应急管理局在企业安全生产检查的过程中，要经常聘请专家与执法人员一同前往企业进行检查，对企业安全生产违法违规情况的排查对专家有较高的依赖度，执法大队应当加强内部培训，提高自身的专业储备</w:t>
      </w:r>
      <w:r>
        <w:rPr>
          <w:rFonts w:ascii="仿宋" w:hAnsi="仿宋" w:eastAsia="仿宋" w:cs="仿宋"/>
          <w:color w:val="auto"/>
          <w:spacing w:val="3"/>
          <w:sz w:val="28"/>
          <w:szCs w:val="28"/>
          <w:lang w:eastAsia="zh-CN"/>
        </w:rPr>
        <w:t>。根据评分标准，</w:t>
      </w:r>
      <w:r>
        <w:rPr>
          <w:rFonts w:hint="eastAsia" w:ascii="仿宋" w:hAnsi="仿宋" w:eastAsia="仿宋" w:cs="仿宋"/>
          <w:color w:val="auto"/>
          <w:spacing w:val="3"/>
          <w:sz w:val="28"/>
          <w:szCs w:val="28"/>
          <w:lang w:eastAsia="zh-CN"/>
        </w:rPr>
        <w:t>此项扣1分，</w:t>
      </w:r>
      <w:r>
        <w:rPr>
          <w:rFonts w:ascii="仿宋" w:hAnsi="仿宋" w:eastAsia="仿宋" w:cs="仿宋"/>
          <w:color w:val="auto"/>
          <w:spacing w:val="3"/>
          <w:sz w:val="28"/>
          <w:szCs w:val="28"/>
          <w:lang w:eastAsia="zh-CN"/>
        </w:rPr>
        <w:t>得</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082D1504">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对护林员的监督情况（</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448BF50C">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年洛江区应急管理局在森林防火的过程中对护林员的监督存在不足。乡镇一级护林员的责任心偏低，在巡山护林力度方面存在不足，大部分火情是由报警发现的，乡镇一级缺乏对护林员的监督</w:t>
      </w:r>
      <w:r>
        <w:rPr>
          <w:rFonts w:ascii="仿宋" w:hAnsi="仿宋" w:eastAsia="仿宋" w:cs="仿宋"/>
          <w:color w:val="auto"/>
          <w:spacing w:val="3"/>
          <w:sz w:val="28"/>
          <w:szCs w:val="28"/>
          <w:lang w:eastAsia="zh-CN"/>
        </w:rPr>
        <w:t>。根据评分标准此项</w:t>
      </w:r>
      <w:r>
        <w:rPr>
          <w:rFonts w:hint="eastAsia" w:ascii="仿宋" w:hAnsi="仿宋" w:eastAsia="仿宋" w:cs="仿宋"/>
          <w:color w:val="auto"/>
          <w:spacing w:val="3"/>
          <w:sz w:val="28"/>
          <w:szCs w:val="28"/>
          <w:lang w:eastAsia="zh-CN"/>
        </w:rPr>
        <w:t>扣1分，</w:t>
      </w:r>
      <w:r>
        <w:rPr>
          <w:rFonts w:ascii="仿宋" w:hAnsi="仿宋" w:eastAsia="仿宋" w:cs="仿宋"/>
          <w:color w:val="auto"/>
          <w:spacing w:val="3"/>
          <w:sz w:val="28"/>
          <w:szCs w:val="28"/>
          <w:lang w:eastAsia="zh-CN"/>
        </w:rPr>
        <w:t>得</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4844A8D9">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对乡镇一级防火救灾建设的监督（</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0D0E5E5C">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洛江区应急管理局在森林防火的过程中对半专业的森林防火救援队的建设监督存在不足。在乡镇一级当中对半专业森林防火救援队的训练与建设存在疏忽，在森林救火方面经常依赖于专业队的施救。同时在防火备勤期间，半专业队的备勤经常形同虚设，时有缺勤情况发生</w:t>
      </w:r>
      <w:r>
        <w:rPr>
          <w:rFonts w:ascii="仿宋" w:hAnsi="仿宋" w:eastAsia="仿宋" w:cs="仿宋"/>
          <w:color w:val="auto"/>
          <w:spacing w:val="3"/>
          <w:sz w:val="28"/>
          <w:szCs w:val="28"/>
          <w:lang w:eastAsia="zh-CN"/>
        </w:rPr>
        <w:t>。根据评分标准此项</w:t>
      </w:r>
      <w:r>
        <w:rPr>
          <w:rFonts w:hint="eastAsia" w:ascii="仿宋" w:hAnsi="仿宋" w:eastAsia="仿宋" w:cs="仿宋"/>
          <w:color w:val="auto"/>
          <w:spacing w:val="3"/>
          <w:sz w:val="28"/>
          <w:szCs w:val="28"/>
          <w:lang w:eastAsia="zh-CN"/>
        </w:rPr>
        <w:t>扣2分，</w:t>
      </w:r>
      <w:r>
        <w:rPr>
          <w:rFonts w:ascii="仿宋" w:hAnsi="仿宋" w:eastAsia="仿宋" w:cs="仿宋"/>
          <w:color w:val="auto"/>
          <w:spacing w:val="3"/>
          <w:sz w:val="28"/>
          <w:szCs w:val="28"/>
          <w:lang w:eastAsia="zh-CN"/>
        </w:rPr>
        <w:t>得</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分。</w:t>
      </w:r>
    </w:p>
    <w:p w14:paraId="7B469482">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5</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群众救援响应速度（</w:t>
      </w: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5DBC3C0E">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年洛江区应急管理局在群众救援响应的过程中，调度响应时间从</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分钟缩短至</w:t>
      </w:r>
      <w:r>
        <w:rPr>
          <w:rFonts w:ascii="仿宋" w:hAnsi="仿宋" w:eastAsia="仿宋" w:cs="仿宋"/>
          <w:color w:val="auto"/>
          <w:spacing w:val="3"/>
          <w:sz w:val="28"/>
          <w:szCs w:val="28"/>
          <w:lang w:eastAsia="zh-CN"/>
        </w:rPr>
        <w:t>5</w:t>
      </w:r>
      <w:r>
        <w:rPr>
          <w:rFonts w:hint="eastAsia" w:ascii="仿宋" w:hAnsi="仿宋" w:eastAsia="仿宋" w:cs="仿宋"/>
          <w:color w:val="auto"/>
          <w:spacing w:val="3"/>
          <w:sz w:val="28"/>
          <w:szCs w:val="28"/>
          <w:lang w:eastAsia="zh-CN"/>
        </w:rPr>
        <w:t>分钟，警情处置时间平均缩短</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分钟，实现调度快、响应快、处置快</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1958D69B">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80" w:name="_Toc182904024"/>
      <w:bookmarkStart w:id="181" w:name="_Toc181558030"/>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产出成本（总分</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bookmarkEnd w:id="180"/>
      <w:bookmarkEnd w:id="181"/>
    </w:p>
    <w:p w14:paraId="002DB2E8">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项目成本控制率（3分）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74352367">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2023年度洛江区应急管理局全年项目预算1,558.71万，全年实际项目支出1,501.74万，项目成本控制率为96.35%</w:t>
      </w:r>
      <w:r>
        <w:rPr>
          <w:rFonts w:ascii="仿宋" w:hAnsi="仿宋" w:eastAsia="仿宋" w:cs="仿宋"/>
          <w:color w:val="auto"/>
          <w:spacing w:val="3"/>
          <w:sz w:val="28"/>
          <w:szCs w:val="28"/>
          <w:lang w:eastAsia="zh-CN"/>
        </w:rPr>
        <w:t>。根据评分标准，此项得分</w:t>
      </w:r>
      <w:r>
        <w:rPr>
          <w:rFonts w:hint="eastAsia" w:ascii="仿宋" w:hAnsi="仿宋" w:eastAsia="仿宋" w:cs="仿宋"/>
          <w:color w:val="auto"/>
          <w:spacing w:val="3"/>
          <w:sz w:val="28"/>
          <w:szCs w:val="28"/>
          <w:lang w:eastAsia="zh-CN"/>
        </w:rPr>
        <w:t>3</w:t>
      </w:r>
      <w:r>
        <w:rPr>
          <w:rFonts w:ascii="仿宋" w:hAnsi="仿宋" w:eastAsia="仿宋" w:cs="仿宋"/>
          <w:color w:val="auto"/>
          <w:spacing w:val="3"/>
          <w:sz w:val="28"/>
          <w:szCs w:val="28"/>
          <w:lang w:eastAsia="zh-CN"/>
        </w:rPr>
        <w:t>分。</w:t>
      </w:r>
    </w:p>
    <w:p w14:paraId="359C1E4E">
      <w:pPr>
        <w:widowControl w:val="0"/>
        <w:overflowPunct w:val="0"/>
        <w:snapToGrid/>
        <w:spacing w:line="408" w:lineRule="auto"/>
        <w:ind w:firstLine="572" w:firstLineChars="200"/>
        <w:jc w:val="both"/>
        <w:outlineLvl w:val="1"/>
        <w:rPr>
          <w:rFonts w:hint="eastAsia" w:ascii="仿宋" w:hAnsi="仿宋" w:eastAsia="仿宋" w:cs="仿宋"/>
          <w:color w:val="auto"/>
          <w:spacing w:val="3"/>
          <w:sz w:val="28"/>
          <w:szCs w:val="28"/>
          <w:lang w:eastAsia="zh-CN"/>
        </w:rPr>
      </w:pPr>
      <w:bookmarkStart w:id="182" w:name="_Toc181558031"/>
      <w:bookmarkStart w:id="183" w:name="_Toc182904025"/>
      <w:r>
        <w:rPr>
          <w:rFonts w:ascii="仿宋" w:hAnsi="仿宋" w:eastAsia="仿宋" w:cs="仿宋"/>
          <w:color w:val="auto"/>
          <w:spacing w:val="3"/>
          <w:sz w:val="28"/>
          <w:szCs w:val="28"/>
          <w:lang w:eastAsia="zh-CN"/>
        </w:rPr>
        <w:t>（四）效益（</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29</w:t>
      </w:r>
      <w:r>
        <w:rPr>
          <w:rFonts w:ascii="仿宋" w:hAnsi="仿宋" w:eastAsia="仿宋" w:cs="仿宋"/>
          <w:color w:val="auto"/>
          <w:spacing w:val="3"/>
          <w:sz w:val="28"/>
          <w:szCs w:val="28"/>
          <w:lang w:eastAsia="zh-CN"/>
        </w:rPr>
        <w:t>分）</w:t>
      </w:r>
      <w:bookmarkEnd w:id="182"/>
      <w:bookmarkEnd w:id="183"/>
    </w:p>
    <w:p w14:paraId="4143702D">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84" w:name="_Toc181558032"/>
      <w:bookmarkStart w:id="185" w:name="_Toc182904026"/>
      <w:r>
        <w:rPr>
          <w:rFonts w:hint="eastAsia" w:ascii="仿宋" w:hAnsi="仿宋" w:eastAsia="仿宋" w:cs="仿宋"/>
          <w:color w:val="auto"/>
          <w:spacing w:val="3"/>
          <w:sz w:val="28"/>
          <w:szCs w:val="28"/>
          <w:lang w:eastAsia="zh-CN"/>
        </w:rPr>
        <w:t>1.</w:t>
      </w:r>
      <w:r>
        <w:rPr>
          <w:rFonts w:ascii="仿宋" w:hAnsi="仿宋" w:eastAsia="仿宋" w:cs="仿宋"/>
          <w:color w:val="auto"/>
          <w:spacing w:val="3"/>
          <w:sz w:val="28"/>
          <w:szCs w:val="28"/>
          <w:lang w:eastAsia="zh-CN"/>
        </w:rPr>
        <w:t>社会效益（总分</w:t>
      </w:r>
      <w:r>
        <w:rPr>
          <w:rFonts w:hint="eastAsia" w:ascii="仿宋" w:hAnsi="仿宋" w:eastAsia="仿宋" w:cs="仿宋"/>
          <w:color w:val="auto"/>
          <w:spacing w:val="3"/>
          <w:sz w:val="28"/>
          <w:szCs w:val="28"/>
          <w:lang w:eastAsia="zh-CN"/>
        </w:rPr>
        <w:t>25</w:t>
      </w:r>
      <w:r>
        <w:rPr>
          <w:rFonts w:ascii="仿宋" w:hAnsi="仿宋" w:eastAsia="仿宋" w:cs="仿宋"/>
          <w:color w:val="auto"/>
          <w:spacing w:val="3"/>
          <w:sz w:val="28"/>
          <w:szCs w:val="28"/>
          <w:lang w:eastAsia="zh-CN"/>
        </w:rPr>
        <w:t>分，得分</w:t>
      </w:r>
      <w:r>
        <w:rPr>
          <w:rFonts w:hint="eastAsia" w:ascii="仿宋" w:hAnsi="仿宋" w:eastAsia="仿宋" w:cs="仿宋"/>
          <w:color w:val="auto"/>
          <w:spacing w:val="3"/>
          <w:sz w:val="28"/>
          <w:szCs w:val="28"/>
          <w:lang w:eastAsia="zh-CN"/>
        </w:rPr>
        <w:t>25</w:t>
      </w:r>
      <w:r>
        <w:rPr>
          <w:rFonts w:ascii="仿宋" w:hAnsi="仿宋" w:eastAsia="仿宋" w:cs="仿宋"/>
          <w:color w:val="auto"/>
          <w:spacing w:val="3"/>
          <w:sz w:val="28"/>
          <w:szCs w:val="28"/>
          <w:lang w:eastAsia="zh-CN"/>
        </w:rPr>
        <w:t>分）</w:t>
      </w:r>
      <w:bookmarkEnd w:id="184"/>
      <w:bookmarkEnd w:id="185"/>
    </w:p>
    <w:p w14:paraId="53334005">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（1）</w:t>
      </w:r>
      <w:r>
        <w:rPr>
          <w:rFonts w:hint="eastAsia" w:ascii="仿宋" w:hAnsi="仿宋" w:eastAsia="仿宋" w:cs="仿宋"/>
          <w:color w:val="auto"/>
          <w:spacing w:val="3"/>
          <w:sz w:val="28"/>
          <w:szCs w:val="28"/>
          <w:lang w:eastAsia="zh-CN"/>
        </w:rPr>
        <w:t>基层防汛能力标准化建设情况（5分）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5</w:t>
      </w:r>
      <w:r>
        <w:rPr>
          <w:rFonts w:ascii="仿宋" w:hAnsi="仿宋" w:eastAsia="仿宋" w:cs="仿宋"/>
          <w:color w:val="auto"/>
          <w:spacing w:val="3"/>
          <w:sz w:val="28"/>
          <w:szCs w:val="28"/>
          <w:lang w:eastAsia="zh-CN"/>
        </w:rPr>
        <w:t>分</w:t>
      </w:r>
    </w:p>
    <w:p w14:paraId="702BD934">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2023年度洛江区应急管理局进一步加强防汛应急物资设备与应急抢险救援能力建设，多形式开展防灾减灾宣传与应急处置实战演练，推动基层防汛能力标准化建设工作再上新台阶。目前，全区</w:t>
      </w:r>
      <w:r>
        <w:rPr>
          <w:rFonts w:ascii="仿宋" w:hAnsi="仿宋" w:eastAsia="仿宋" w:cs="仿宋"/>
          <w:color w:val="auto"/>
          <w:spacing w:val="3"/>
          <w:sz w:val="28"/>
          <w:szCs w:val="28"/>
          <w:lang w:eastAsia="zh-CN"/>
        </w:rPr>
        <w:t>6</w:t>
      </w:r>
      <w:r>
        <w:rPr>
          <w:rFonts w:hint="eastAsia" w:ascii="仿宋" w:hAnsi="仿宋" w:eastAsia="仿宋" w:cs="仿宋"/>
          <w:color w:val="auto"/>
          <w:spacing w:val="3"/>
          <w:sz w:val="28"/>
          <w:szCs w:val="28"/>
          <w:lang w:eastAsia="zh-CN"/>
        </w:rPr>
        <w:t>个乡镇（街道）、</w:t>
      </w:r>
      <w:r>
        <w:rPr>
          <w:rFonts w:ascii="仿宋" w:hAnsi="仿宋" w:eastAsia="仿宋" w:cs="仿宋"/>
          <w:color w:val="auto"/>
          <w:spacing w:val="3"/>
          <w:sz w:val="28"/>
          <w:szCs w:val="28"/>
          <w:lang w:eastAsia="zh-CN"/>
        </w:rPr>
        <w:t>86</w:t>
      </w:r>
      <w:r>
        <w:rPr>
          <w:rFonts w:hint="eastAsia" w:ascii="仿宋" w:hAnsi="仿宋" w:eastAsia="仿宋" w:cs="仿宋"/>
          <w:color w:val="auto"/>
          <w:spacing w:val="3"/>
          <w:sz w:val="28"/>
          <w:szCs w:val="28"/>
          <w:lang w:eastAsia="zh-CN"/>
        </w:rPr>
        <w:t>个村（社区）均完成基层防汛能力标准化建设任务</w:t>
      </w:r>
      <w:r>
        <w:rPr>
          <w:rFonts w:ascii="仿宋" w:hAnsi="仿宋" w:eastAsia="仿宋" w:cs="仿宋"/>
          <w:color w:val="auto"/>
          <w:spacing w:val="3"/>
          <w:sz w:val="28"/>
          <w:szCs w:val="28"/>
          <w:lang w:eastAsia="zh-CN"/>
        </w:rPr>
        <w:t>。根据评分标准，此项得分</w:t>
      </w:r>
      <w:r>
        <w:rPr>
          <w:rFonts w:hint="eastAsia" w:ascii="仿宋" w:hAnsi="仿宋" w:eastAsia="仿宋" w:cs="仿宋"/>
          <w:color w:val="auto"/>
          <w:spacing w:val="3"/>
          <w:sz w:val="28"/>
          <w:szCs w:val="28"/>
          <w:lang w:eastAsia="zh-CN"/>
        </w:rPr>
        <w:t>5</w:t>
      </w:r>
      <w:r>
        <w:rPr>
          <w:rFonts w:ascii="仿宋" w:hAnsi="仿宋" w:eastAsia="仿宋" w:cs="仿宋"/>
          <w:color w:val="auto"/>
          <w:spacing w:val="3"/>
          <w:sz w:val="28"/>
          <w:szCs w:val="28"/>
          <w:lang w:eastAsia="zh-CN"/>
        </w:rPr>
        <w:t>分。</w:t>
      </w:r>
    </w:p>
    <w:p w14:paraId="5D38947A">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防火防汛安全生产宣传力度（4分）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5EA4FE6F">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hint="eastAsia" w:ascii="仿宋" w:hAnsi="仿宋" w:eastAsia="仿宋" w:cs="仿宋"/>
          <w:color w:val="auto"/>
          <w:spacing w:val="3"/>
          <w:sz w:val="28"/>
          <w:szCs w:val="28"/>
          <w:lang w:eastAsia="zh-CN"/>
        </w:rPr>
        <w:t>2023年度洛江区应急管理局在防火防汛安全生产宣传方面通过 “线上</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线下”相结合方式，举办培训会</w:t>
      </w:r>
      <w:r>
        <w:rPr>
          <w:rFonts w:ascii="仿宋" w:hAnsi="仿宋" w:eastAsia="仿宋" w:cs="仿宋"/>
          <w:color w:val="auto"/>
          <w:spacing w:val="3"/>
          <w:sz w:val="28"/>
          <w:szCs w:val="28"/>
          <w:lang w:eastAsia="zh-CN"/>
        </w:rPr>
        <w:t>26</w:t>
      </w:r>
      <w:r>
        <w:rPr>
          <w:rFonts w:hint="eastAsia" w:ascii="仿宋" w:hAnsi="仿宋" w:eastAsia="仿宋" w:cs="仿宋"/>
          <w:color w:val="auto"/>
          <w:spacing w:val="3"/>
          <w:sz w:val="28"/>
          <w:szCs w:val="28"/>
          <w:lang w:eastAsia="zh-CN"/>
        </w:rPr>
        <w:t>次、现场观摩会</w:t>
      </w:r>
      <w:r>
        <w:rPr>
          <w:rFonts w:ascii="仿宋" w:hAnsi="仿宋" w:eastAsia="仿宋" w:cs="仿宋"/>
          <w:color w:val="auto"/>
          <w:spacing w:val="3"/>
          <w:sz w:val="28"/>
          <w:szCs w:val="28"/>
          <w:lang w:eastAsia="zh-CN"/>
        </w:rPr>
        <w:t>14</w:t>
      </w:r>
      <w:r>
        <w:rPr>
          <w:rFonts w:hint="eastAsia" w:ascii="仿宋" w:hAnsi="仿宋" w:eastAsia="仿宋" w:cs="仿宋"/>
          <w:color w:val="auto"/>
          <w:spacing w:val="3"/>
          <w:sz w:val="28"/>
          <w:szCs w:val="28"/>
          <w:lang w:eastAsia="zh-CN"/>
        </w:rPr>
        <w:t>场，录制《安全是一种声音》、精品企业经验做法典型案例等标准化主题宣传片</w:t>
      </w:r>
      <w:r>
        <w:rPr>
          <w:rFonts w:ascii="仿宋" w:hAnsi="仿宋" w:eastAsia="仿宋" w:cs="仿宋"/>
          <w:color w:val="auto"/>
          <w:spacing w:val="3"/>
          <w:sz w:val="28"/>
          <w:szCs w:val="28"/>
          <w:lang w:eastAsia="zh-CN"/>
        </w:rPr>
        <w:t>。根据评分标准，此项得分</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7AC1DAA9">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（3）</w:t>
      </w:r>
      <w:r>
        <w:rPr>
          <w:rFonts w:hint="eastAsia" w:ascii="仿宋" w:hAnsi="仿宋" w:eastAsia="仿宋" w:cs="仿宋"/>
          <w:color w:val="auto"/>
          <w:spacing w:val="3"/>
          <w:sz w:val="28"/>
          <w:szCs w:val="28"/>
          <w:lang w:eastAsia="zh-CN"/>
        </w:rPr>
        <w:t>联勤中心社会救助的次数（4分）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79EE8CA3">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hint="eastAsia" w:ascii="仿宋" w:hAnsi="仿宋" w:eastAsia="仿宋" w:cs="仿宋"/>
          <w:color w:val="auto"/>
          <w:spacing w:val="3"/>
          <w:sz w:val="28"/>
          <w:szCs w:val="28"/>
          <w:lang w:eastAsia="zh-CN"/>
        </w:rPr>
        <w:t>2023年度洛江区应急管理局在联勤中心开展工作以来，分流全市社会救助类警情</w:t>
      </w:r>
      <w:r>
        <w:rPr>
          <w:rFonts w:ascii="仿宋" w:hAnsi="仿宋" w:eastAsia="仿宋" w:cs="仿宋"/>
          <w:color w:val="auto"/>
          <w:spacing w:val="3"/>
          <w:sz w:val="28"/>
          <w:szCs w:val="28"/>
          <w:lang w:eastAsia="zh-CN"/>
        </w:rPr>
        <w:t>300</w:t>
      </w:r>
      <w:r>
        <w:rPr>
          <w:rFonts w:hint="eastAsia" w:ascii="仿宋" w:hAnsi="仿宋" w:eastAsia="仿宋" w:cs="仿宋"/>
          <w:color w:val="auto"/>
          <w:spacing w:val="3"/>
          <w:sz w:val="28"/>
          <w:szCs w:val="28"/>
          <w:lang w:eastAsia="zh-CN"/>
        </w:rPr>
        <w:t>余起，救援队伍参与任务</w:t>
      </w:r>
      <w:r>
        <w:rPr>
          <w:rFonts w:ascii="仿宋" w:hAnsi="仿宋" w:eastAsia="仿宋" w:cs="仿宋"/>
          <w:color w:val="auto"/>
          <w:spacing w:val="3"/>
          <w:sz w:val="28"/>
          <w:szCs w:val="28"/>
          <w:lang w:eastAsia="zh-CN"/>
        </w:rPr>
        <w:t>28</w:t>
      </w:r>
      <w:r>
        <w:rPr>
          <w:rFonts w:hint="eastAsia" w:ascii="仿宋" w:hAnsi="仿宋" w:eastAsia="仿宋" w:cs="仿宋"/>
          <w:color w:val="auto"/>
          <w:spacing w:val="3"/>
          <w:sz w:val="28"/>
          <w:szCs w:val="28"/>
          <w:lang w:eastAsia="zh-CN"/>
        </w:rPr>
        <w:t>起、救助群众</w:t>
      </w:r>
      <w:r>
        <w:rPr>
          <w:rFonts w:ascii="仿宋" w:hAnsi="仿宋" w:eastAsia="仿宋" w:cs="仿宋"/>
          <w:color w:val="auto"/>
          <w:spacing w:val="3"/>
          <w:sz w:val="28"/>
          <w:szCs w:val="28"/>
          <w:lang w:eastAsia="zh-CN"/>
        </w:rPr>
        <w:t>263</w:t>
      </w:r>
      <w:r>
        <w:rPr>
          <w:rFonts w:hint="eastAsia" w:ascii="仿宋" w:hAnsi="仿宋" w:eastAsia="仿宋" w:cs="仿宋"/>
          <w:color w:val="auto"/>
          <w:spacing w:val="3"/>
          <w:sz w:val="28"/>
          <w:szCs w:val="28"/>
          <w:lang w:eastAsia="zh-CN"/>
        </w:rPr>
        <w:t>人，调度响应时间从</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分钟缩短至</w:t>
      </w:r>
      <w:r>
        <w:rPr>
          <w:rFonts w:ascii="仿宋" w:hAnsi="仿宋" w:eastAsia="仿宋" w:cs="仿宋"/>
          <w:color w:val="auto"/>
          <w:spacing w:val="3"/>
          <w:sz w:val="28"/>
          <w:szCs w:val="28"/>
          <w:lang w:eastAsia="zh-CN"/>
        </w:rPr>
        <w:t>5</w:t>
      </w:r>
      <w:r>
        <w:rPr>
          <w:rFonts w:hint="eastAsia" w:ascii="仿宋" w:hAnsi="仿宋" w:eastAsia="仿宋" w:cs="仿宋"/>
          <w:color w:val="auto"/>
          <w:spacing w:val="3"/>
          <w:sz w:val="28"/>
          <w:szCs w:val="28"/>
          <w:lang w:eastAsia="zh-CN"/>
        </w:rPr>
        <w:t>分钟，警情处置时间平均缩短</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分钟，实现调度快、响应快、处置快。</w:t>
      </w:r>
      <w:r>
        <w:rPr>
          <w:rFonts w:ascii="仿宋" w:hAnsi="仿宋" w:eastAsia="仿宋" w:cs="仿宋"/>
          <w:color w:val="auto"/>
          <w:spacing w:val="3"/>
          <w:sz w:val="28"/>
          <w:szCs w:val="28"/>
          <w:lang w:eastAsia="zh-CN"/>
        </w:rPr>
        <w:t>根据评分标准，此项得分</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4F96442C">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highlight w:val="yellow"/>
          <w:lang w:eastAsia="zh-CN"/>
        </w:rPr>
      </w:pPr>
      <w:r>
        <w:rPr>
          <w:rFonts w:ascii="仿宋" w:hAnsi="仿宋" w:eastAsia="仿宋" w:cs="仿宋"/>
          <w:color w:val="auto"/>
          <w:spacing w:val="3"/>
          <w:sz w:val="28"/>
          <w:szCs w:val="28"/>
          <w:lang w:eastAsia="zh-CN"/>
        </w:rPr>
        <w:t>（4）</w:t>
      </w:r>
      <w:r>
        <w:rPr>
          <w:rFonts w:hint="eastAsia" w:ascii="仿宋" w:hAnsi="仿宋" w:eastAsia="仿宋" w:cs="仿宋"/>
          <w:color w:val="auto"/>
          <w:spacing w:val="3"/>
          <w:sz w:val="28"/>
          <w:szCs w:val="28"/>
          <w:lang w:eastAsia="zh-CN"/>
        </w:rPr>
        <w:t>企业安全意识的提高情况（4分）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52C228A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2023年度洛江区应急管理局虽然有针对企业安全生产做充足的检查、宣传、培训工作。大部分的企业安全意识有较大程度的提高，在安全生产中能够有安全防范意识。</w:t>
      </w:r>
      <w:r>
        <w:rPr>
          <w:rFonts w:ascii="仿宋" w:hAnsi="仿宋" w:eastAsia="仿宋" w:cs="仿宋"/>
          <w:color w:val="auto"/>
          <w:spacing w:val="3"/>
          <w:sz w:val="28"/>
          <w:szCs w:val="28"/>
          <w:lang w:eastAsia="zh-CN"/>
        </w:rPr>
        <w:t>根据评分标准</w:t>
      </w:r>
      <w:r>
        <w:rPr>
          <w:rFonts w:hint="eastAsia" w:ascii="仿宋" w:hAnsi="仿宋" w:eastAsia="仿宋" w:cs="仿宋"/>
          <w:color w:val="auto"/>
          <w:spacing w:val="3"/>
          <w:sz w:val="28"/>
          <w:szCs w:val="28"/>
          <w:lang w:eastAsia="zh-CN"/>
        </w:rPr>
        <w:t>，</w:t>
      </w:r>
      <w:r>
        <w:rPr>
          <w:rFonts w:ascii="仿宋" w:hAnsi="仿宋" w:eastAsia="仿宋" w:cs="仿宋"/>
          <w:color w:val="auto"/>
          <w:spacing w:val="3"/>
          <w:sz w:val="28"/>
          <w:szCs w:val="28"/>
          <w:lang w:eastAsia="zh-CN"/>
        </w:rPr>
        <w:t>得分</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6FFD9EFD">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（5）安全宣传教育引导次数（4分）：得分为4分</w:t>
      </w:r>
    </w:p>
    <w:p w14:paraId="051C1452">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年度洛江区应急管理局在宣传引导方面，采取“线上</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线下”相结合方式，举办培训会</w:t>
      </w:r>
      <w:r>
        <w:rPr>
          <w:rFonts w:ascii="仿宋" w:hAnsi="仿宋" w:eastAsia="仿宋" w:cs="仿宋"/>
          <w:color w:val="auto"/>
          <w:spacing w:val="3"/>
          <w:sz w:val="28"/>
          <w:szCs w:val="28"/>
          <w:lang w:eastAsia="zh-CN"/>
        </w:rPr>
        <w:t>26</w:t>
      </w:r>
      <w:r>
        <w:rPr>
          <w:rFonts w:hint="eastAsia" w:ascii="仿宋" w:hAnsi="仿宋" w:eastAsia="仿宋" w:cs="仿宋"/>
          <w:color w:val="auto"/>
          <w:spacing w:val="3"/>
          <w:sz w:val="28"/>
          <w:szCs w:val="28"/>
          <w:lang w:eastAsia="zh-CN"/>
        </w:rPr>
        <w:t>次、现场观摩会</w:t>
      </w:r>
      <w:r>
        <w:rPr>
          <w:rFonts w:ascii="仿宋" w:hAnsi="仿宋" w:eastAsia="仿宋" w:cs="仿宋"/>
          <w:color w:val="auto"/>
          <w:spacing w:val="3"/>
          <w:sz w:val="28"/>
          <w:szCs w:val="28"/>
          <w:lang w:eastAsia="zh-CN"/>
        </w:rPr>
        <w:t>14</w:t>
      </w:r>
      <w:r>
        <w:rPr>
          <w:rFonts w:hint="eastAsia" w:ascii="仿宋" w:hAnsi="仿宋" w:eastAsia="仿宋" w:cs="仿宋"/>
          <w:color w:val="auto"/>
          <w:spacing w:val="3"/>
          <w:sz w:val="28"/>
          <w:szCs w:val="28"/>
          <w:lang w:eastAsia="zh-CN"/>
        </w:rPr>
        <w:t>场，录制《安全是一种声音》、精品企业经验做法典型案例等标准化主题宣传片。根据评分标准，此项得4分。</w:t>
      </w:r>
    </w:p>
    <w:p w14:paraId="19F37032">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（6）企业安全隐患的排查力度（</w:t>
      </w:r>
      <w:r>
        <w:rPr>
          <w:rFonts w:ascii="仿宋" w:hAnsi="仿宋" w:eastAsia="仿宋" w:cs="仿宋"/>
          <w:color w:val="auto"/>
          <w:spacing w:val="3"/>
          <w:sz w:val="28"/>
          <w:szCs w:val="28"/>
          <w:lang w:eastAsia="zh-CN"/>
        </w:rPr>
        <w:t>4</w:t>
      </w:r>
      <w:r>
        <w:rPr>
          <w:rFonts w:hint="eastAsia" w:ascii="仿宋" w:hAnsi="仿宋" w:eastAsia="仿宋" w:cs="仿宋"/>
          <w:color w:val="auto"/>
          <w:spacing w:val="3"/>
          <w:sz w:val="28"/>
          <w:szCs w:val="28"/>
          <w:lang w:eastAsia="zh-CN"/>
        </w:rPr>
        <w:t>分）：得分为4分</w:t>
      </w:r>
    </w:p>
    <w:p w14:paraId="68F16E0B">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2023年度</w:t>
      </w:r>
      <w:r>
        <w:rPr>
          <w:rFonts w:hint="eastAsia" w:ascii="仿宋" w:hAnsi="仿宋" w:eastAsia="仿宋" w:cs="仿宋"/>
          <w:color w:val="auto"/>
          <w:spacing w:val="3"/>
          <w:sz w:val="28"/>
          <w:szCs w:val="28"/>
          <w:lang w:eastAsia="zh-CN"/>
        </w:rPr>
        <w:t>洛江区应急管理局在隐患排查方面，各企事业单位运用“三张清单”排查隐患</w:t>
      </w:r>
      <w:r>
        <w:rPr>
          <w:rFonts w:ascii="仿宋" w:hAnsi="仿宋" w:eastAsia="仿宋" w:cs="仿宋"/>
          <w:color w:val="auto"/>
          <w:spacing w:val="3"/>
          <w:sz w:val="28"/>
          <w:szCs w:val="28"/>
          <w:lang w:eastAsia="zh-CN"/>
        </w:rPr>
        <w:t>7011</w:t>
      </w:r>
      <w:r>
        <w:rPr>
          <w:rFonts w:hint="eastAsia" w:ascii="仿宋" w:hAnsi="仿宋" w:eastAsia="仿宋" w:cs="仿宋"/>
          <w:color w:val="auto"/>
          <w:spacing w:val="3"/>
          <w:sz w:val="28"/>
          <w:szCs w:val="28"/>
          <w:lang w:eastAsia="zh-CN"/>
        </w:rPr>
        <w:t>项，严厉排查企业安全生产中存在的各类安全隐患事项，加强企业安全生产，提高对辖区内企业安全生产隐患排查力度</w:t>
      </w:r>
      <w:r>
        <w:rPr>
          <w:rFonts w:ascii="仿宋" w:hAnsi="仿宋" w:eastAsia="仿宋" w:cs="仿宋"/>
          <w:color w:val="auto"/>
          <w:spacing w:val="3"/>
          <w:sz w:val="28"/>
          <w:szCs w:val="28"/>
          <w:lang w:eastAsia="zh-CN"/>
        </w:rPr>
        <w:t>。根据评分标准，此项得</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7D9F1C68">
      <w:pPr>
        <w:widowControl w:val="0"/>
        <w:overflowPunct w:val="0"/>
        <w:snapToGrid/>
        <w:spacing w:line="408" w:lineRule="auto"/>
        <w:ind w:firstLine="572" w:firstLineChars="200"/>
        <w:jc w:val="both"/>
        <w:outlineLvl w:val="2"/>
        <w:rPr>
          <w:rFonts w:hint="eastAsia" w:ascii="仿宋" w:hAnsi="仿宋" w:eastAsia="仿宋" w:cs="仿宋"/>
          <w:color w:val="auto"/>
          <w:spacing w:val="3"/>
          <w:sz w:val="28"/>
          <w:szCs w:val="28"/>
          <w:lang w:eastAsia="zh-CN"/>
        </w:rPr>
      </w:pPr>
      <w:bookmarkStart w:id="186" w:name="_Toc182904027"/>
      <w:bookmarkStart w:id="187" w:name="_Toc181558033"/>
      <w:r>
        <w:rPr>
          <w:rFonts w:hint="eastAsia" w:ascii="仿宋" w:hAnsi="仿宋" w:eastAsia="仿宋" w:cs="仿宋"/>
          <w:color w:val="auto"/>
          <w:spacing w:val="3"/>
          <w:sz w:val="28"/>
          <w:szCs w:val="28"/>
          <w:lang w:eastAsia="zh-CN"/>
        </w:rPr>
        <w:t>2.</w:t>
      </w:r>
      <w:r>
        <w:rPr>
          <w:rFonts w:ascii="仿宋" w:hAnsi="仿宋" w:eastAsia="仿宋" w:cs="仿宋"/>
          <w:color w:val="auto"/>
          <w:spacing w:val="3"/>
          <w:sz w:val="28"/>
          <w:szCs w:val="28"/>
          <w:lang w:eastAsia="zh-CN"/>
        </w:rPr>
        <w:t>满意度（</w:t>
      </w:r>
      <w:r>
        <w:rPr>
          <w:rFonts w:hint="eastAsia" w:ascii="仿宋" w:hAnsi="仿宋" w:eastAsia="仿宋" w:cs="仿宋"/>
          <w:color w:val="auto"/>
          <w:spacing w:val="3"/>
          <w:sz w:val="28"/>
          <w:szCs w:val="28"/>
          <w:lang w:eastAsia="zh-CN"/>
        </w:rPr>
        <w:t>总分4</w:t>
      </w:r>
      <w:r>
        <w:rPr>
          <w:rFonts w:ascii="仿宋" w:hAnsi="仿宋" w:eastAsia="仿宋" w:cs="仿宋"/>
          <w:color w:val="auto"/>
          <w:spacing w:val="3"/>
          <w:sz w:val="28"/>
          <w:szCs w:val="28"/>
          <w:lang w:eastAsia="zh-CN"/>
        </w:rPr>
        <w:t>分</w:t>
      </w:r>
      <w:r>
        <w:rPr>
          <w:rFonts w:hint="eastAsia" w:ascii="仿宋" w:hAnsi="仿宋" w:eastAsia="仿宋" w:cs="仿宋"/>
          <w:color w:val="auto"/>
          <w:spacing w:val="3"/>
          <w:sz w:val="28"/>
          <w:szCs w:val="28"/>
          <w:lang w:eastAsia="zh-CN"/>
        </w:rPr>
        <w:t>，得分4分</w:t>
      </w:r>
      <w:r>
        <w:rPr>
          <w:rFonts w:ascii="仿宋" w:hAnsi="仿宋" w:eastAsia="仿宋" w:cs="仿宋"/>
          <w:color w:val="auto"/>
          <w:spacing w:val="3"/>
          <w:sz w:val="28"/>
          <w:szCs w:val="28"/>
          <w:lang w:eastAsia="zh-CN"/>
        </w:rPr>
        <w:t>）</w:t>
      </w:r>
      <w:bookmarkEnd w:id="186"/>
      <w:bookmarkEnd w:id="187"/>
    </w:p>
    <w:p w14:paraId="5C11BE63">
      <w:pPr>
        <w:widowControl w:val="0"/>
        <w:overflowPunct w:val="0"/>
        <w:snapToGrid/>
        <w:spacing w:line="408" w:lineRule="auto"/>
        <w:ind w:firstLine="572" w:firstLineChars="200"/>
        <w:jc w:val="both"/>
        <w:outlineLvl w:val="3"/>
        <w:rPr>
          <w:rFonts w:hint="eastAsia" w:ascii="仿宋" w:hAnsi="仿宋" w:eastAsia="仿宋" w:cs="仿宋"/>
          <w:color w:val="auto"/>
          <w:spacing w:val="3"/>
          <w:sz w:val="28"/>
          <w:szCs w:val="28"/>
          <w:highlight w:val="yellow"/>
          <w:lang w:eastAsia="zh-CN"/>
        </w:rPr>
      </w:pPr>
      <w:r>
        <w:rPr>
          <w:rFonts w:hint="eastAsia" w:ascii="仿宋" w:hAnsi="仿宋" w:eastAsia="仿宋" w:cs="仿宋"/>
          <w:color w:val="auto"/>
          <w:spacing w:val="3"/>
          <w:sz w:val="28"/>
          <w:szCs w:val="28"/>
          <w:lang w:eastAsia="zh-CN"/>
        </w:rPr>
        <w:t>（1）满意度（4分）</w:t>
      </w:r>
      <w:r>
        <w:rPr>
          <w:rFonts w:ascii="仿宋" w:hAnsi="仿宋" w:eastAsia="仿宋" w:cs="仿宋"/>
          <w:color w:val="auto"/>
          <w:spacing w:val="3"/>
          <w:sz w:val="28"/>
          <w:szCs w:val="28"/>
          <w:lang w:eastAsia="zh-CN"/>
        </w:rPr>
        <w:t>：得分为</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2FC1B881">
      <w:pPr>
        <w:widowControl w:val="0"/>
        <w:overflowPunct w:val="0"/>
        <w:snapToGrid/>
        <w:spacing w:line="408" w:lineRule="auto"/>
        <w:ind w:firstLine="572" w:firstLineChars="200"/>
        <w:jc w:val="both"/>
        <w:rPr>
          <w:rFonts w:hint="eastAsia" w:ascii="仿宋" w:hAnsi="仿宋" w:eastAsia="仿宋" w:cs="仿宋"/>
          <w:color w:val="auto"/>
          <w:spacing w:val="-2"/>
          <w:sz w:val="28"/>
          <w:szCs w:val="28"/>
          <w:lang w:eastAsia="zh-CN"/>
          <w14:textOutline w14:w="5105" w14:cap="sq" w14:cmpd="sng" w14:algn="ctr">
            <w14:solidFill>
              <w14:srgbClr w14:val="000000"/>
            </w14:solidFill>
            <w14:prstDash w14:val="solid"/>
            <w14:bevel/>
          </w14:textOutline>
        </w:rPr>
      </w:pPr>
      <w:r>
        <w:rPr>
          <w:rFonts w:ascii="仿宋" w:hAnsi="仿宋" w:eastAsia="仿宋" w:cs="仿宋"/>
          <w:color w:val="auto"/>
          <w:spacing w:val="3"/>
          <w:sz w:val="28"/>
          <w:szCs w:val="28"/>
          <w:lang w:eastAsia="zh-CN"/>
        </w:rPr>
        <w:t>绩效评价工作小组发放问卷调查表</w:t>
      </w:r>
      <w:r>
        <w:rPr>
          <w:rFonts w:hint="eastAsia" w:ascii="仿宋" w:hAnsi="仿宋" w:eastAsia="仿宋" w:cs="仿宋"/>
          <w:color w:val="auto"/>
          <w:spacing w:val="3"/>
          <w:sz w:val="28"/>
          <w:szCs w:val="28"/>
          <w:lang w:eastAsia="zh-CN"/>
        </w:rPr>
        <w:t>52</w:t>
      </w:r>
      <w:r>
        <w:rPr>
          <w:rFonts w:ascii="仿宋" w:hAnsi="仿宋" w:eastAsia="仿宋" w:cs="仿宋"/>
          <w:color w:val="auto"/>
          <w:spacing w:val="3"/>
          <w:sz w:val="28"/>
          <w:szCs w:val="28"/>
          <w:lang w:eastAsia="zh-CN"/>
        </w:rPr>
        <w:t>份，填写</w:t>
      </w:r>
      <w:r>
        <w:rPr>
          <w:rFonts w:hint="eastAsia" w:ascii="仿宋" w:hAnsi="仿宋" w:eastAsia="仿宋" w:cs="仿宋"/>
          <w:color w:val="auto"/>
          <w:spacing w:val="3"/>
          <w:sz w:val="28"/>
          <w:szCs w:val="28"/>
          <w:lang w:eastAsia="zh-CN"/>
        </w:rPr>
        <w:t>49</w:t>
      </w:r>
      <w:r>
        <w:rPr>
          <w:rFonts w:ascii="仿宋" w:hAnsi="仿宋" w:eastAsia="仿宋" w:cs="仿宋"/>
          <w:color w:val="auto"/>
          <w:spacing w:val="3"/>
          <w:sz w:val="28"/>
          <w:szCs w:val="28"/>
          <w:lang w:eastAsia="zh-CN"/>
        </w:rPr>
        <w:t>份</w:t>
      </w:r>
      <w:r>
        <w:rPr>
          <w:rFonts w:hint="eastAsia" w:ascii="仿宋" w:hAnsi="仿宋" w:eastAsia="仿宋" w:cs="仿宋"/>
          <w:color w:val="auto"/>
          <w:spacing w:val="3"/>
          <w:sz w:val="28"/>
          <w:szCs w:val="28"/>
          <w:lang w:eastAsia="zh-CN"/>
        </w:rPr>
        <w:t>（</w:t>
      </w:r>
      <w:r>
        <w:rPr>
          <w:rFonts w:ascii="仿宋" w:hAnsi="仿宋" w:eastAsia="仿宋" w:cs="仿宋"/>
          <w:color w:val="auto"/>
          <w:spacing w:val="3"/>
          <w:sz w:val="28"/>
          <w:szCs w:val="28"/>
          <w:lang w:eastAsia="zh-CN"/>
        </w:rPr>
        <w:t>问卷调查表见附件一</w:t>
      </w:r>
      <w:r>
        <w:rPr>
          <w:rFonts w:hint="eastAsia" w:ascii="仿宋" w:hAnsi="仿宋" w:eastAsia="仿宋" w:cs="仿宋"/>
          <w:color w:val="auto"/>
          <w:spacing w:val="3"/>
          <w:sz w:val="28"/>
          <w:szCs w:val="28"/>
          <w:lang w:eastAsia="zh-CN"/>
        </w:rPr>
        <w:t>）</w:t>
      </w:r>
      <w:r>
        <w:rPr>
          <w:rFonts w:ascii="仿宋" w:hAnsi="仿宋" w:eastAsia="仿宋" w:cs="仿宋"/>
          <w:color w:val="auto"/>
          <w:spacing w:val="3"/>
          <w:sz w:val="28"/>
          <w:szCs w:val="28"/>
          <w:lang w:eastAsia="zh-CN"/>
        </w:rPr>
        <w:t>,问卷调查结果为</w:t>
      </w:r>
      <w:r>
        <w:rPr>
          <w:rFonts w:hint="eastAsia" w:ascii="仿宋" w:hAnsi="仿宋" w:eastAsia="仿宋" w:cs="仿宋"/>
          <w:color w:val="auto"/>
          <w:spacing w:val="3"/>
          <w:sz w:val="28"/>
          <w:szCs w:val="28"/>
          <w:lang w:eastAsia="zh-CN"/>
        </w:rPr>
        <w:t>大部分人选择非常满意</w:t>
      </w:r>
      <w:r>
        <w:rPr>
          <w:rFonts w:ascii="仿宋" w:hAnsi="仿宋" w:eastAsia="仿宋" w:cs="仿宋"/>
          <w:color w:val="auto"/>
          <w:spacing w:val="3"/>
          <w:sz w:val="28"/>
          <w:szCs w:val="28"/>
          <w:lang w:eastAsia="zh-CN"/>
        </w:rPr>
        <w:t>。根据评分标准，此项得分</w:t>
      </w:r>
      <w:r>
        <w:rPr>
          <w:rFonts w:hint="eastAsia" w:ascii="仿宋" w:hAnsi="仿宋" w:eastAsia="仿宋" w:cs="仿宋"/>
          <w:color w:val="auto"/>
          <w:spacing w:val="3"/>
          <w:sz w:val="28"/>
          <w:szCs w:val="28"/>
          <w:lang w:eastAsia="zh-CN"/>
        </w:rPr>
        <w:t>4</w:t>
      </w:r>
      <w:r>
        <w:rPr>
          <w:rFonts w:ascii="仿宋" w:hAnsi="仿宋" w:eastAsia="仿宋" w:cs="仿宋"/>
          <w:color w:val="auto"/>
          <w:spacing w:val="3"/>
          <w:sz w:val="28"/>
          <w:szCs w:val="28"/>
          <w:lang w:eastAsia="zh-CN"/>
        </w:rPr>
        <w:t>分。</w:t>
      </w:r>
    </w:p>
    <w:p w14:paraId="35CFECDA">
      <w:pPr>
        <w:widowControl w:val="0"/>
        <w:overflowPunct w:val="0"/>
        <w:snapToGrid/>
        <w:spacing w:line="408" w:lineRule="auto"/>
        <w:ind w:firstLine="554" w:firstLineChars="200"/>
        <w:outlineLvl w:val="0"/>
        <w:rPr>
          <w:rFonts w:hint="eastAsia" w:ascii="仿宋" w:hAnsi="仿宋" w:eastAsia="仿宋" w:cs="仿宋"/>
          <w:b/>
          <w:color w:val="auto"/>
          <w:sz w:val="28"/>
          <w:szCs w:val="28"/>
          <w:lang w:eastAsia="zh-CN"/>
        </w:rPr>
      </w:pPr>
      <w:bookmarkStart w:id="188" w:name="bookmark35"/>
      <w:bookmarkEnd w:id="188"/>
      <w:bookmarkStart w:id="189" w:name="_Toc11487"/>
      <w:bookmarkStart w:id="190" w:name="_Toc182904028"/>
      <w:bookmarkStart w:id="191" w:name="_Toc181558034"/>
      <w:r>
        <w:rPr>
          <w:rFonts w:hint="eastAsia" w:ascii="仿宋" w:hAnsi="仿宋" w:eastAsia="仿宋" w:cs="仿宋"/>
          <w:b/>
          <w:color w:val="auto"/>
          <w:spacing w:val="-2"/>
          <w:sz w:val="28"/>
          <w:szCs w:val="28"/>
          <w:lang w:eastAsia="zh-CN"/>
          <w14:textOutline w14:w="5105" w14:cap="sq" w14:cmpd="sng" w14:algn="ctr">
            <w14:solidFill>
              <w14:srgbClr w14:val="333333"/>
            </w14:solidFill>
            <w14:prstDash w14:val="solid"/>
            <w14:bevel/>
          </w14:textOutline>
        </w:rPr>
        <w:t>七、评价结论及绩效分析</w:t>
      </w:r>
      <w:bookmarkEnd w:id="189"/>
      <w:bookmarkEnd w:id="190"/>
      <w:bookmarkEnd w:id="191"/>
    </w:p>
    <w:p w14:paraId="04BE45AF">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192" w:name="bookmark36"/>
      <w:bookmarkEnd w:id="192"/>
      <w:bookmarkStart w:id="193" w:name="_Toc181558035"/>
      <w:bookmarkStart w:id="194" w:name="_Toc182904029"/>
      <w:bookmarkStart w:id="195" w:name="_Toc19472"/>
      <w:r>
        <w:rPr>
          <w:rFonts w:hint="eastAsia" w:ascii="仿宋" w:hAnsi="仿宋" w:eastAsia="仿宋" w:cs="仿宋"/>
          <w:b/>
          <w:color w:val="auto"/>
          <w:spacing w:val="3"/>
          <w:sz w:val="28"/>
          <w:szCs w:val="28"/>
          <w:lang w:eastAsia="zh-CN"/>
        </w:rPr>
        <w:t>（一）绩效评价结论</w:t>
      </w:r>
      <w:bookmarkEnd w:id="193"/>
      <w:bookmarkEnd w:id="194"/>
      <w:bookmarkEnd w:id="195"/>
    </w:p>
    <w:p w14:paraId="1283FFE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评价小组通过评价指标体系及评分标准，从决策、管理、履职产出、履职效益以及满意度五个方面着手，对2023年度泉州市洛江区应急管理局部门整体支出进行客观评价，最终评分结果：总得分为90.9分，评价等级为“优”。</w:t>
      </w:r>
    </w:p>
    <w:p w14:paraId="6CFDE729">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196" w:name="_Toc11279"/>
      <w:bookmarkStart w:id="197" w:name="_Toc182904030"/>
      <w:bookmarkStart w:id="198" w:name="_Toc181558036"/>
      <w:r>
        <w:rPr>
          <w:rFonts w:hint="eastAsia" w:ascii="仿宋" w:hAnsi="仿宋" w:eastAsia="仿宋" w:cs="仿宋"/>
          <w:b/>
          <w:color w:val="auto"/>
          <w:spacing w:val="3"/>
          <w:sz w:val="28"/>
          <w:szCs w:val="28"/>
          <w:lang w:eastAsia="zh-CN"/>
        </w:rPr>
        <w:t>（二）扣分项目</w:t>
      </w:r>
      <w:bookmarkEnd w:id="196"/>
      <w:bookmarkEnd w:id="197"/>
      <w:bookmarkEnd w:id="198"/>
    </w:p>
    <w:p w14:paraId="6399F558">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2023年度泉州市洛江区应急管理局部门整体支出绩效评价扣分项目有绩效目标明确性扣1分，预算调整率扣2分，结转结余率扣0.1分，会计核算规范性扣1分，绩效自评合规性扣1分，对专家的依赖情况扣1分，对护林员的监督情况扣1分，对乡镇一级防火救灾建设的监督扣2分，共计扣9.1分。</w:t>
      </w:r>
    </w:p>
    <w:p w14:paraId="24662F13">
      <w:pPr>
        <w:widowControl w:val="0"/>
        <w:overflowPunct w:val="0"/>
        <w:snapToGrid/>
        <w:spacing w:line="408" w:lineRule="auto"/>
        <w:ind w:firstLine="550" w:firstLineChars="200"/>
        <w:outlineLvl w:val="0"/>
        <w:rPr>
          <w:rFonts w:hint="eastAsia" w:ascii="仿宋" w:hAnsi="仿宋" w:eastAsia="仿宋" w:cs="仿宋"/>
          <w:b/>
          <w:color w:val="auto"/>
          <w:spacing w:val="-1"/>
          <w:sz w:val="28"/>
          <w:szCs w:val="28"/>
          <w:lang w:eastAsia="zh-CN"/>
          <w14:textOutline w14:w="5105" w14:cap="sq" w14:cmpd="sng" w14:algn="ctr">
            <w14:solidFill>
              <w14:srgbClr w14:val="000000"/>
            </w14:solidFill>
            <w14:prstDash w14:val="solid"/>
            <w14:bevel/>
          </w14:textOutline>
        </w:rPr>
      </w:pPr>
      <w:bookmarkStart w:id="199" w:name="_Toc182904031"/>
      <w:bookmarkStart w:id="200" w:name="_Toc6291"/>
      <w:bookmarkStart w:id="201" w:name="_Toc181558037"/>
      <w:r>
        <w:rPr>
          <w:rFonts w:hint="eastAsia" w:ascii="仿宋" w:hAnsi="仿宋" w:eastAsia="仿宋" w:cs="仿宋"/>
          <w:b/>
          <w:color w:val="auto"/>
          <w:spacing w:val="-3"/>
          <w:sz w:val="28"/>
          <w:szCs w:val="28"/>
          <w:lang w:eastAsia="zh-CN"/>
          <w14:textOutline w14:w="5105" w14:cap="sq" w14:cmpd="sng" w14:algn="ctr">
            <w14:solidFill>
              <w14:srgbClr w14:val="000000"/>
            </w14:solidFill>
            <w14:prstDash w14:val="solid"/>
            <w14:bevel/>
          </w14:textOutline>
        </w:rPr>
        <w:t>八、</w:t>
      </w:r>
      <w:r>
        <w:rPr>
          <w:rFonts w:hint="eastAsia" w:ascii="仿宋" w:hAnsi="仿宋" w:eastAsia="仿宋" w:cs="仿宋"/>
          <w:b/>
          <w:color w:val="auto"/>
          <w:spacing w:val="-1"/>
          <w:sz w:val="28"/>
          <w:szCs w:val="28"/>
          <w:lang w:eastAsia="zh-CN"/>
          <w14:textOutline w14:w="5105" w14:cap="sq" w14:cmpd="sng" w14:algn="ctr">
            <w14:solidFill>
              <w14:srgbClr w14:val="000000"/>
            </w14:solidFill>
            <w14:prstDash w14:val="solid"/>
            <w14:bevel/>
          </w14:textOutline>
        </w:rPr>
        <w:t>主要成效</w:t>
      </w:r>
      <w:bookmarkEnd w:id="199"/>
      <w:bookmarkEnd w:id="200"/>
      <w:bookmarkEnd w:id="201"/>
    </w:p>
    <w:p w14:paraId="7F28BA46">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泉州市洛江区应急管理局取得的主要成效表现在：（一）隐患排查方面，各企事业单位运用“三张清单”排查隐患</w:t>
      </w:r>
      <w:r>
        <w:rPr>
          <w:rFonts w:ascii="仿宋" w:hAnsi="仿宋" w:eastAsia="仿宋" w:cs="仿宋"/>
          <w:color w:val="auto"/>
          <w:spacing w:val="3"/>
          <w:sz w:val="28"/>
          <w:szCs w:val="28"/>
          <w:lang w:eastAsia="zh-CN"/>
        </w:rPr>
        <w:t>7011</w:t>
      </w:r>
      <w:r>
        <w:rPr>
          <w:rFonts w:hint="eastAsia" w:ascii="仿宋" w:hAnsi="仿宋" w:eastAsia="仿宋" w:cs="仿宋"/>
          <w:color w:val="auto"/>
          <w:spacing w:val="3"/>
          <w:sz w:val="28"/>
          <w:szCs w:val="28"/>
          <w:lang w:eastAsia="zh-CN"/>
        </w:rPr>
        <w:t>项，整改完成</w:t>
      </w:r>
      <w:r>
        <w:rPr>
          <w:rFonts w:ascii="仿宋" w:hAnsi="仿宋" w:eastAsia="仿宋" w:cs="仿宋"/>
          <w:color w:val="auto"/>
          <w:spacing w:val="3"/>
          <w:sz w:val="28"/>
          <w:szCs w:val="28"/>
          <w:lang w:eastAsia="zh-CN"/>
        </w:rPr>
        <w:t>6962</w:t>
      </w:r>
      <w:r>
        <w:rPr>
          <w:rFonts w:hint="eastAsia" w:ascii="仿宋" w:hAnsi="仿宋" w:eastAsia="仿宋" w:cs="仿宋"/>
          <w:color w:val="auto"/>
          <w:spacing w:val="3"/>
          <w:sz w:val="28"/>
          <w:szCs w:val="28"/>
          <w:lang w:eastAsia="zh-CN"/>
        </w:rPr>
        <w:t>项、整改率</w:t>
      </w:r>
      <w:r>
        <w:rPr>
          <w:rFonts w:ascii="仿宋" w:hAnsi="仿宋" w:eastAsia="仿宋" w:cs="仿宋"/>
          <w:color w:val="auto"/>
          <w:spacing w:val="3"/>
          <w:sz w:val="28"/>
          <w:szCs w:val="28"/>
          <w:lang w:eastAsia="zh-CN"/>
        </w:rPr>
        <w:t>99.3%</w:t>
      </w:r>
      <w:r>
        <w:rPr>
          <w:rFonts w:hint="eastAsia" w:ascii="仿宋" w:hAnsi="仿宋" w:eastAsia="仿宋" w:cs="仿宋"/>
          <w:color w:val="auto"/>
          <w:spacing w:val="3"/>
          <w:sz w:val="28"/>
          <w:szCs w:val="28"/>
          <w:lang w:eastAsia="zh-CN"/>
        </w:rPr>
        <w:t>；并组织专家到企事业单位开展辅导</w:t>
      </w:r>
      <w:r>
        <w:rPr>
          <w:rFonts w:ascii="仿宋" w:hAnsi="仿宋" w:eastAsia="仿宋" w:cs="仿宋"/>
          <w:color w:val="auto"/>
          <w:spacing w:val="3"/>
          <w:sz w:val="28"/>
          <w:szCs w:val="28"/>
          <w:lang w:eastAsia="zh-CN"/>
        </w:rPr>
        <w:t>80</w:t>
      </w:r>
      <w:r>
        <w:rPr>
          <w:rFonts w:hint="eastAsia" w:ascii="仿宋" w:hAnsi="仿宋" w:eastAsia="仿宋" w:cs="仿宋"/>
          <w:color w:val="auto"/>
          <w:spacing w:val="3"/>
          <w:sz w:val="28"/>
          <w:szCs w:val="28"/>
          <w:lang w:eastAsia="zh-CN"/>
        </w:rPr>
        <w:t>多家次，帮助企业排查发现安全隐患、制度缺失、体系运行不到位和不规范等问题</w:t>
      </w:r>
      <w:r>
        <w:rPr>
          <w:rFonts w:ascii="仿宋" w:hAnsi="仿宋" w:eastAsia="仿宋" w:cs="仿宋"/>
          <w:color w:val="auto"/>
          <w:spacing w:val="3"/>
          <w:sz w:val="28"/>
          <w:szCs w:val="28"/>
          <w:lang w:eastAsia="zh-CN"/>
        </w:rPr>
        <w:t>700</w:t>
      </w:r>
      <w:r>
        <w:rPr>
          <w:rFonts w:hint="eastAsia" w:ascii="仿宋" w:hAnsi="仿宋" w:eastAsia="仿宋" w:cs="仿宋"/>
          <w:color w:val="auto"/>
          <w:spacing w:val="3"/>
          <w:sz w:val="28"/>
          <w:szCs w:val="28"/>
          <w:lang w:eastAsia="zh-CN"/>
        </w:rPr>
        <w:t>多条。（二）培育标杆方面，培育精品企业</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家（泉州精镁科技有限公司、泉州天骄妇幼卫生用品有限公司）、市级标杆企业</w:t>
      </w:r>
      <w:r>
        <w:rPr>
          <w:rFonts w:ascii="仿宋" w:hAnsi="仿宋" w:eastAsia="仿宋" w:cs="仿宋"/>
          <w:color w:val="auto"/>
          <w:spacing w:val="3"/>
          <w:sz w:val="28"/>
          <w:szCs w:val="28"/>
          <w:lang w:eastAsia="zh-CN"/>
        </w:rPr>
        <w:t>10</w:t>
      </w:r>
      <w:r>
        <w:rPr>
          <w:rFonts w:hint="eastAsia" w:ascii="仿宋" w:hAnsi="仿宋" w:eastAsia="仿宋" w:cs="仿宋"/>
          <w:color w:val="auto"/>
          <w:spacing w:val="3"/>
          <w:sz w:val="28"/>
          <w:szCs w:val="28"/>
          <w:lang w:eastAsia="zh-CN"/>
        </w:rPr>
        <w:t>家、区级标杆企业</w:t>
      </w:r>
      <w:r>
        <w:rPr>
          <w:rFonts w:ascii="仿宋" w:hAnsi="仿宋" w:eastAsia="仿宋" w:cs="仿宋"/>
          <w:color w:val="auto"/>
          <w:spacing w:val="3"/>
          <w:sz w:val="28"/>
          <w:szCs w:val="28"/>
          <w:lang w:eastAsia="zh-CN"/>
        </w:rPr>
        <w:t>20</w:t>
      </w:r>
      <w:r>
        <w:rPr>
          <w:rFonts w:hint="eastAsia" w:ascii="仿宋" w:hAnsi="仿宋" w:eastAsia="仿宋" w:cs="仿宋"/>
          <w:color w:val="auto"/>
          <w:spacing w:val="3"/>
          <w:sz w:val="28"/>
          <w:szCs w:val="28"/>
          <w:lang w:eastAsia="zh-CN"/>
        </w:rPr>
        <w:t>家，建立“安全文明示范岗”岗位职责</w:t>
      </w:r>
      <w:r>
        <w:rPr>
          <w:rFonts w:ascii="仿宋" w:hAnsi="仿宋" w:eastAsia="仿宋" w:cs="仿宋"/>
          <w:color w:val="auto"/>
          <w:spacing w:val="3"/>
          <w:sz w:val="28"/>
          <w:szCs w:val="28"/>
          <w:lang w:eastAsia="zh-CN"/>
        </w:rPr>
        <w:t>7</w:t>
      </w:r>
      <w:r>
        <w:rPr>
          <w:rFonts w:hint="eastAsia" w:ascii="仿宋" w:hAnsi="仿宋" w:eastAsia="仿宋" w:cs="仿宋"/>
          <w:color w:val="auto"/>
          <w:spacing w:val="3"/>
          <w:sz w:val="28"/>
          <w:szCs w:val="28"/>
          <w:lang w:eastAsia="zh-CN"/>
        </w:rPr>
        <w:t>项规定、创建示范岗位</w:t>
      </w:r>
      <w:r>
        <w:rPr>
          <w:rFonts w:ascii="仿宋" w:hAnsi="仿宋" w:eastAsia="仿宋" w:cs="仿宋"/>
          <w:color w:val="auto"/>
          <w:spacing w:val="3"/>
          <w:sz w:val="28"/>
          <w:szCs w:val="28"/>
          <w:lang w:eastAsia="zh-CN"/>
        </w:rPr>
        <w:t>331</w:t>
      </w:r>
      <w:r>
        <w:rPr>
          <w:rFonts w:hint="eastAsia" w:ascii="仿宋" w:hAnsi="仿宋" w:eastAsia="仿宋" w:cs="仿宋"/>
          <w:color w:val="auto"/>
          <w:spacing w:val="3"/>
          <w:sz w:val="28"/>
          <w:szCs w:val="28"/>
          <w:lang w:eastAsia="zh-CN"/>
        </w:rPr>
        <w:t>个。（三）监管执法方面，</w:t>
      </w:r>
      <w:r>
        <w:rPr>
          <w:rFonts w:ascii="仿宋" w:hAnsi="仿宋" w:eastAsia="仿宋" w:cs="仿宋"/>
          <w:color w:val="auto"/>
          <w:spacing w:val="3"/>
          <w:sz w:val="28"/>
          <w:szCs w:val="28"/>
          <w:lang w:eastAsia="zh-CN"/>
        </w:rPr>
        <w:t>1160</w:t>
      </w:r>
      <w:r>
        <w:rPr>
          <w:rFonts w:hint="eastAsia" w:ascii="仿宋" w:hAnsi="仿宋" w:eastAsia="仿宋" w:cs="仿宋"/>
          <w:color w:val="auto"/>
          <w:spacing w:val="3"/>
          <w:sz w:val="28"/>
          <w:szCs w:val="28"/>
          <w:lang w:eastAsia="zh-CN"/>
        </w:rPr>
        <w:t>家企事业单位均实施“红橙黄蓝”动态监管，其中红色</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家、橙色</w:t>
      </w:r>
      <w:r>
        <w:rPr>
          <w:rFonts w:ascii="仿宋" w:hAnsi="仿宋" w:eastAsia="仿宋" w:cs="仿宋"/>
          <w:color w:val="auto"/>
          <w:spacing w:val="3"/>
          <w:sz w:val="28"/>
          <w:szCs w:val="28"/>
          <w:lang w:eastAsia="zh-CN"/>
        </w:rPr>
        <w:t>29</w:t>
      </w:r>
      <w:r>
        <w:rPr>
          <w:rFonts w:hint="eastAsia" w:ascii="仿宋" w:hAnsi="仿宋" w:eastAsia="仿宋" w:cs="仿宋"/>
          <w:color w:val="auto"/>
          <w:spacing w:val="3"/>
          <w:sz w:val="28"/>
          <w:szCs w:val="28"/>
          <w:lang w:eastAsia="zh-CN"/>
        </w:rPr>
        <w:t>家、黄色</w:t>
      </w:r>
      <w:r>
        <w:rPr>
          <w:rFonts w:ascii="仿宋" w:hAnsi="仿宋" w:eastAsia="仿宋" w:cs="仿宋"/>
          <w:color w:val="auto"/>
          <w:spacing w:val="3"/>
          <w:sz w:val="28"/>
          <w:szCs w:val="28"/>
          <w:lang w:eastAsia="zh-CN"/>
        </w:rPr>
        <w:t>307</w:t>
      </w:r>
      <w:r>
        <w:rPr>
          <w:rFonts w:hint="eastAsia" w:ascii="仿宋" w:hAnsi="仿宋" w:eastAsia="仿宋" w:cs="仿宋"/>
          <w:color w:val="auto"/>
          <w:spacing w:val="3"/>
          <w:sz w:val="28"/>
          <w:szCs w:val="28"/>
          <w:lang w:eastAsia="zh-CN"/>
        </w:rPr>
        <w:t>家、蓝色</w:t>
      </w:r>
      <w:r>
        <w:rPr>
          <w:rFonts w:ascii="仿宋" w:hAnsi="仿宋" w:eastAsia="仿宋" w:cs="仿宋"/>
          <w:color w:val="auto"/>
          <w:spacing w:val="3"/>
          <w:sz w:val="28"/>
          <w:szCs w:val="28"/>
          <w:lang w:eastAsia="zh-CN"/>
        </w:rPr>
        <w:t>822</w:t>
      </w:r>
      <w:r>
        <w:rPr>
          <w:rFonts w:hint="eastAsia" w:ascii="仿宋" w:hAnsi="仿宋" w:eastAsia="仿宋" w:cs="仿宋"/>
          <w:color w:val="auto"/>
          <w:spacing w:val="3"/>
          <w:sz w:val="28"/>
          <w:szCs w:val="28"/>
          <w:lang w:eastAsia="zh-CN"/>
        </w:rPr>
        <w:t>家。加大安全生产标准化创建、运行情况执法检查力度，累计立案调查企业</w:t>
      </w:r>
      <w:r>
        <w:rPr>
          <w:rFonts w:ascii="仿宋" w:hAnsi="仿宋" w:eastAsia="仿宋" w:cs="仿宋"/>
          <w:color w:val="auto"/>
          <w:spacing w:val="3"/>
          <w:sz w:val="28"/>
          <w:szCs w:val="28"/>
          <w:lang w:eastAsia="zh-CN"/>
        </w:rPr>
        <w:t>27</w:t>
      </w:r>
      <w:r>
        <w:rPr>
          <w:rFonts w:hint="eastAsia" w:ascii="仿宋" w:hAnsi="仿宋" w:eastAsia="仿宋" w:cs="仿宋"/>
          <w:color w:val="auto"/>
          <w:spacing w:val="3"/>
          <w:sz w:val="28"/>
          <w:szCs w:val="28"/>
          <w:lang w:eastAsia="zh-CN"/>
        </w:rPr>
        <w:t>家次，处罚金额</w:t>
      </w:r>
      <w:r>
        <w:rPr>
          <w:rFonts w:ascii="仿宋" w:hAnsi="仿宋" w:eastAsia="仿宋" w:cs="仿宋"/>
          <w:color w:val="auto"/>
          <w:spacing w:val="3"/>
          <w:sz w:val="28"/>
          <w:szCs w:val="28"/>
          <w:lang w:eastAsia="zh-CN"/>
        </w:rPr>
        <w:t>46.8</w:t>
      </w:r>
      <w:r>
        <w:rPr>
          <w:rFonts w:hint="eastAsia" w:ascii="仿宋" w:hAnsi="仿宋" w:eastAsia="仿宋" w:cs="仿宋"/>
          <w:color w:val="auto"/>
          <w:spacing w:val="3"/>
          <w:sz w:val="28"/>
          <w:szCs w:val="28"/>
          <w:lang w:eastAsia="zh-CN"/>
        </w:rPr>
        <w:t>万元，约谈中介服务机构</w:t>
      </w:r>
      <w:r>
        <w:rPr>
          <w:rFonts w:ascii="仿宋" w:hAnsi="仿宋" w:eastAsia="仿宋" w:cs="仿宋"/>
          <w:color w:val="auto"/>
          <w:spacing w:val="3"/>
          <w:sz w:val="28"/>
          <w:szCs w:val="28"/>
          <w:lang w:eastAsia="zh-CN"/>
        </w:rPr>
        <w:t>2</w:t>
      </w:r>
      <w:r>
        <w:rPr>
          <w:rFonts w:hint="eastAsia" w:ascii="仿宋" w:hAnsi="仿宋" w:eastAsia="仿宋" w:cs="仿宋"/>
          <w:color w:val="auto"/>
          <w:spacing w:val="3"/>
          <w:sz w:val="28"/>
          <w:szCs w:val="28"/>
          <w:lang w:eastAsia="zh-CN"/>
        </w:rPr>
        <w:t>家，公布曝光标准化典型案例</w:t>
      </w:r>
      <w:r>
        <w:rPr>
          <w:rFonts w:ascii="仿宋" w:hAnsi="仿宋" w:eastAsia="仿宋" w:cs="仿宋"/>
          <w:color w:val="auto"/>
          <w:spacing w:val="3"/>
          <w:sz w:val="28"/>
          <w:szCs w:val="28"/>
          <w:lang w:eastAsia="zh-CN"/>
        </w:rPr>
        <w:t>8</w:t>
      </w:r>
      <w:r>
        <w:rPr>
          <w:rFonts w:hint="eastAsia" w:ascii="仿宋" w:hAnsi="仿宋" w:eastAsia="仿宋" w:cs="仿宋"/>
          <w:color w:val="auto"/>
          <w:spacing w:val="3"/>
          <w:sz w:val="28"/>
          <w:szCs w:val="28"/>
          <w:lang w:eastAsia="zh-CN"/>
        </w:rPr>
        <w:t>起。（四）宣传引导方面，采取“线上</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线下”相结合方式，举办培训会</w:t>
      </w:r>
      <w:r>
        <w:rPr>
          <w:rFonts w:ascii="仿宋" w:hAnsi="仿宋" w:eastAsia="仿宋" w:cs="仿宋"/>
          <w:color w:val="auto"/>
          <w:spacing w:val="3"/>
          <w:sz w:val="28"/>
          <w:szCs w:val="28"/>
          <w:lang w:eastAsia="zh-CN"/>
        </w:rPr>
        <w:t>26</w:t>
      </w:r>
      <w:r>
        <w:rPr>
          <w:rFonts w:hint="eastAsia" w:ascii="仿宋" w:hAnsi="仿宋" w:eastAsia="仿宋" w:cs="仿宋"/>
          <w:color w:val="auto"/>
          <w:spacing w:val="3"/>
          <w:sz w:val="28"/>
          <w:szCs w:val="28"/>
          <w:lang w:eastAsia="zh-CN"/>
        </w:rPr>
        <w:t>次、现场观摩会</w:t>
      </w:r>
      <w:r>
        <w:rPr>
          <w:rFonts w:ascii="仿宋" w:hAnsi="仿宋" w:eastAsia="仿宋" w:cs="仿宋"/>
          <w:color w:val="auto"/>
          <w:spacing w:val="3"/>
          <w:sz w:val="28"/>
          <w:szCs w:val="28"/>
          <w:lang w:eastAsia="zh-CN"/>
        </w:rPr>
        <w:t>14</w:t>
      </w:r>
      <w:r>
        <w:rPr>
          <w:rFonts w:hint="eastAsia" w:ascii="仿宋" w:hAnsi="仿宋" w:eastAsia="仿宋" w:cs="仿宋"/>
          <w:color w:val="auto"/>
          <w:spacing w:val="3"/>
          <w:sz w:val="28"/>
          <w:szCs w:val="28"/>
          <w:lang w:eastAsia="zh-CN"/>
        </w:rPr>
        <w:t>场，录制《安全是一种声音》、精品企业经验做法典型案例等标准化主题宣传片；推动企业主要负责人、安全管理人员、电气焊特种作业人员等考核持证</w:t>
      </w:r>
      <w:r>
        <w:rPr>
          <w:rFonts w:ascii="仿宋" w:hAnsi="仿宋" w:eastAsia="仿宋" w:cs="仿宋"/>
          <w:color w:val="auto"/>
          <w:spacing w:val="3"/>
          <w:sz w:val="28"/>
          <w:szCs w:val="28"/>
          <w:lang w:eastAsia="zh-CN"/>
        </w:rPr>
        <w:t>260</w:t>
      </w:r>
      <w:r>
        <w:rPr>
          <w:rFonts w:hint="eastAsia" w:ascii="仿宋" w:hAnsi="仿宋" w:eastAsia="仿宋" w:cs="仿宋"/>
          <w:color w:val="auto"/>
          <w:spacing w:val="3"/>
          <w:sz w:val="28"/>
          <w:szCs w:val="28"/>
          <w:lang w:eastAsia="zh-CN"/>
        </w:rPr>
        <w:t>余人。（五）组建社会应急救援联勤中心，联勤中心开展工作以来，分流全市社会救助类警情</w:t>
      </w:r>
      <w:r>
        <w:rPr>
          <w:rFonts w:ascii="仿宋" w:hAnsi="仿宋" w:eastAsia="仿宋" w:cs="仿宋"/>
          <w:color w:val="auto"/>
          <w:spacing w:val="3"/>
          <w:sz w:val="28"/>
          <w:szCs w:val="28"/>
          <w:lang w:eastAsia="zh-CN"/>
        </w:rPr>
        <w:t>300</w:t>
      </w:r>
      <w:r>
        <w:rPr>
          <w:rFonts w:hint="eastAsia" w:ascii="仿宋" w:hAnsi="仿宋" w:eastAsia="仿宋" w:cs="仿宋"/>
          <w:color w:val="auto"/>
          <w:spacing w:val="3"/>
          <w:sz w:val="28"/>
          <w:szCs w:val="28"/>
          <w:lang w:eastAsia="zh-CN"/>
        </w:rPr>
        <w:t>余起，救援队伍参与任务</w:t>
      </w:r>
      <w:r>
        <w:rPr>
          <w:rFonts w:ascii="仿宋" w:hAnsi="仿宋" w:eastAsia="仿宋" w:cs="仿宋"/>
          <w:color w:val="auto"/>
          <w:spacing w:val="3"/>
          <w:sz w:val="28"/>
          <w:szCs w:val="28"/>
          <w:lang w:eastAsia="zh-CN"/>
        </w:rPr>
        <w:t>28</w:t>
      </w:r>
      <w:r>
        <w:rPr>
          <w:rFonts w:hint="eastAsia" w:ascii="仿宋" w:hAnsi="仿宋" w:eastAsia="仿宋" w:cs="仿宋"/>
          <w:color w:val="auto"/>
          <w:spacing w:val="3"/>
          <w:sz w:val="28"/>
          <w:szCs w:val="28"/>
          <w:lang w:eastAsia="zh-CN"/>
        </w:rPr>
        <w:t>起、救助群众</w:t>
      </w:r>
      <w:r>
        <w:rPr>
          <w:rFonts w:ascii="仿宋" w:hAnsi="仿宋" w:eastAsia="仿宋" w:cs="仿宋"/>
          <w:color w:val="auto"/>
          <w:spacing w:val="3"/>
          <w:sz w:val="28"/>
          <w:szCs w:val="28"/>
          <w:lang w:eastAsia="zh-CN"/>
        </w:rPr>
        <w:t>263</w:t>
      </w:r>
      <w:r>
        <w:rPr>
          <w:rFonts w:hint="eastAsia" w:ascii="仿宋" w:hAnsi="仿宋" w:eastAsia="仿宋" w:cs="仿宋"/>
          <w:color w:val="auto"/>
          <w:spacing w:val="3"/>
          <w:sz w:val="28"/>
          <w:szCs w:val="28"/>
          <w:lang w:eastAsia="zh-CN"/>
        </w:rPr>
        <w:t>人，调度响应时间从</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分钟缩短至</w:t>
      </w:r>
      <w:r>
        <w:rPr>
          <w:rFonts w:ascii="仿宋" w:hAnsi="仿宋" w:eastAsia="仿宋" w:cs="仿宋"/>
          <w:color w:val="auto"/>
          <w:spacing w:val="3"/>
          <w:sz w:val="28"/>
          <w:szCs w:val="28"/>
          <w:lang w:eastAsia="zh-CN"/>
        </w:rPr>
        <w:t>5</w:t>
      </w:r>
      <w:r>
        <w:rPr>
          <w:rFonts w:hint="eastAsia" w:ascii="仿宋" w:hAnsi="仿宋" w:eastAsia="仿宋" w:cs="仿宋"/>
          <w:color w:val="auto"/>
          <w:spacing w:val="3"/>
          <w:sz w:val="28"/>
          <w:szCs w:val="28"/>
          <w:lang w:eastAsia="zh-CN"/>
        </w:rPr>
        <w:t>分钟，警情处置时间平均缩短</w:t>
      </w:r>
      <w:r>
        <w:rPr>
          <w:rFonts w:ascii="仿宋" w:hAnsi="仿宋" w:eastAsia="仿宋" w:cs="仿宋"/>
          <w:color w:val="auto"/>
          <w:spacing w:val="3"/>
          <w:sz w:val="28"/>
          <w:szCs w:val="28"/>
          <w:lang w:eastAsia="zh-CN"/>
        </w:rPr>
        <w:t>30</w:t>
      </w:r>
      <w:r>
        <w:rPr>
          <w:rFonts w:hint="eastAsia" w:ascii="仿宋" w:hAnsi="仿宋" w:eastAsia="仿宋" w:cs="仿宋"/>
          <w:color w:val="auto"/>
          <w:spacing w:val="3"/>
          <w:sz w:val="28"/>
          <w:szCs w:val="28"/>
          <w:lang w:eastAsia="zh-CN"/>
        </w:rPr>
        <w:t>分钟，实现调度快、响应快、处置快。（六）推动基层防汛能力标准化建设工作再上新台阶。目前，全区</w:t>
      </w:r>
      <w:r>
        <w:rPr>
          <w:rFonts w:ascii="仿宋" w:hAnsi="仿宋" w:eastAsia="仿宋" w:cs="仿宋"/>
          <w:color w:val="auto"/>
          <w:spacing w:val="3"/>
          <w:sz w:val="28"/>
          <w:szCs w:val="28"/>
          <w:lang w:eastAsia="zh-CN"/>
        </w:rPr>
        <w:t>6</w:t>
      </w:r>
      <w:r>
        <w:rPr>
          <w:rFonts w:hint="eastAsia" w:ascii="仿宋" w:hAnsi="仿宋" w:eastAsia="仿宋" w:cs="仿宋"/>
          <w:color w:val="auto"/>
          <w:spacing w:val="3"/>
          <w:sz w:val="28"/>
          <w:szCs w:val="28"/>
          <w:lang w:eastAsia="zh-CN"/>
        </w:rPr>
        <w:t>个乡镇（街道）、</w:t>
      </w:r>
      <w:r>
        <w:rPr>
          <w:rFonts w:ascii="仿宋" w:hAnsi="仿宋" w:eastAsia="仿宋" w:cs="仿宋"/>
          <w:color w:val="auto"/>
          <w:spacing w:val="3"/>
          <w:sz w:val="28"/>
          <w:szCs w:val="28"/>
          <w:lang w:eastAsia="zh-CN"/>
        </w:rPr>
        <w:t>86</w:t>
      </w:r>
      <w:r>
        <w:rPr>
          <w:rFonts w:hint="eastAsia" w:ascii="仿宋" w:hAnsi="仿宋" w:eastAsia="仿宋" w:cs="仿宋"/>
          <w:color w:val="auto"/>
          <w:spacing w:val="3"/>
          <w:sz w:val="28"/>
          <w:szCs w:val="28"/>
          <w:lang w:eastAsia="zh-CN"/>
        </w:rPr>
        <w:t>个村（社区）均完成基层防汛能力标准化建设任务，在防御今年“杜苏芮”第</w:t>
      </w:r>
      <w:r>
        <w:rPr>
          <w:rFonts w:ascii="仿宋" w:hAnsi="仿宋" w:eastAsia="仿宋" w:cs="仿宋"/>
          <w:color w:val="auto"/>
          <w:spacing w:val="3"/>
          <w:sz w:val="28"/>
          <w:szCs w:val="28"/>
          <w:lang w:eastAsia="zh-CN"/>
        </w:rPr>
        <w:t>5</w:t>
      </w:r>
      <w:r>
        <w:rPr>
          <w:rFonts w:hint="eastAsia" w:ascii="仿宋" w:hAnsi="仿宋" w:eastAsia="仿宋" w:cs="仿宋"/>
          <w:color w:val="auto"/>
          <w:spacing w:val="3"/>
          <w:sz w:val="28"/>
          <w:szCs w:val="28"/>
          <w:lang w:eastAsia="zh-CN"/>
        </w:rPr>
        <w:t>号台风中经受考验，为成功防御台风奠定了良好的基层基础，成效显著。（七）巩固提升</w:t>
      </w:r>
      <w:r>
        <w:rPr>
          <w:rFonts w:ascii="仿宋" w:hAnsi="仿宋" w:eastAsia="仿宋" w:cs="仿宋"/>
          <w:color w:val="auto"/>
          <w:spacing w:val="3"/>
          <w:sz w:val="28"/>
          <w:szCs w:val="28"/>
          <w:lang w:eastAsia="zh-CN"/>
        </w:rPr>
        <w:t>11</w:t>
      </w:r>
      <w:r>
        <w:rPr>
          <w:rFonts w:hint="eastAsia" w:ascii="仿宋" w:hAnsi="仿宋" w:eastAsia="仿宋" w:cs="仿宋"/>
          <w:color w:val="auto"/>
          <w:spacing w:val="3"/>
          <w:sz w:val="28"/>
          <w:szCs w:val="28"/>
          <w:lang w:eastAsia="zh-CN"/>
        </w:rPr>
        <w:t>个自然灾害避灾点，进一步增强灾害防御能力，确保人民群众生命财产安全；持续做好</w:t>
      </w: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年度全区自然灾害公众责任保险和农房保险工作；投入</w:t>
      </w:r>
      <w:r>
        <w:rPr>
          <w:rFonts w:ascii="仿宋" w:hAnsi="仿宋" w:eastAsia="仿宋" w:cs="仿宋"/>
          <w:color w:val="auto"/>
          <w:spacing w:val="3"/>
          <w:sz w:val="28"/>
          <w:szCs w:val="28"/>
          <w:lang w:eastAsia="zh-CN"/>
        </w:rPr>
        <w:t>14.245</w:t>
      </w:r>
      <w:r>
        <w:rPr>
          <w:rFonts w:hint="eastAsia" w:ascii="仿宋" w:hAnsi="仿宋" w:eastAsia="仿宋" w:cs="仿宋"/>
          <w:color w:val="auto"/>
          <w:spacing w:val="3"/>
          <w:sz w:val="28"/>
          <w:szCs w:val="28"/>
          <w:lang w:eastAsia="zh-CN"/>
        </w:rPr>
        <w:t>万元为全区</w:t>
      </w:r>
      <w:r>
        <w:rPr>
          <w:rFonts w:ascii="仿宋" w:hAnsi="仿宋" w:eastAsia="仿宋" w:cs="仿宋"/>
          <w:color w:val="auto"/>
          <w:spacing w:val="3"/>
          <w:sz w:val="28"/>
          <w:szCs w:val="28"/>
          <w:lang w:eastAsia="zh-CN"/>
        </w:rPr>
        <w:t>407</w:t>
      </w:r>
      <w:r>
        <w:rPr>
          <w:rFonts w:hint="eastAsia" w:ascii="仿宋" w:hAnsi="仿宋" w:eastAsia="仿宋" w:cs="仿宋"/>
          <w:color w:val="auto"/>
          <w:spacing w:val="3"/>
          <w:sz w:val="28"/>
          <w:szCs w:val="28"/>
          <w:lang w:eastAsia="zh-CN"/>
        </w:rPr>
        <w:t>名一线应急人员购买人身意外保险，进一步加强基层一线安全生产监管人员、应急救援人员人身安全保障。</w:t>
      </w:r>
    </w:p>
    <w:p w14:paraId="587F0F7B">
      <w:pPr>
        <w:widowControl w:val="0"/>
        <w:overflowPunct w:val="0"/>
        <w:snapToGrid/>
        <w:spacing w:line="408" w:lineRule="auto"/>
        <w:ind w:firstLine="546" w:firstLineChars="200"/>
        <w:outlineLvl w:val="0"/>
        <w:rPr>
          <w:rFonts w:hint="eastAsia" w:ascii="仿宋" w:hAnsi="仿宋" w:eastAsia="仿宋" w:cs="仿宋"/>
          <w:b/>
          <w:color w:val="auto"/>
          <w:spacing w:val="-4"/>
          <w:sz w:val="28"/>
          <w:szCs w:val="28"/>
          <w:lang w:eastAsia="zh-CN"/>
          <w14:textOutline w14:w="5105" w14:cap="sq" w14:cmpd="sng" w14:algn="ctr">
            <w14:solidFill>
              <w14:srgbClr w14:val="000000"/>
            </w14:solidFill>
            <w14:prstDash w14:val="solid"/>
            <w14:bevel/>
          </w14:textOutline>
        </w:rPr>
      </w:pPr>
      <w:bookmarkStart w:id="202" w:name="bookmark47"/>
      <w:bookmarkEnd w:id="202"/>
      <w:bookmarkStart w:id="203" w:name="bookmark48"/>
      <w:bookmarkEnd w:id="203"/>
      <w:bookmarkStart w:id="204" w:name="_Toc7666"/>
      <w:bookmarkStart w:id="205" w:name="_Toc182904032"/>
      <w:bookmarkStart w:id="206" w:name="_Toc181558038"/>
      <w:r>
        <w:rPr>
          <w:rFonts w:hint="eastAsia" w:ascii="仿宋" w:hAnsi="仿宋" w:eastAsia="仿宋" w:cs="仿宋"/>
          <w:b/>
          <w:color w:val="auto"/>
          <w:spacing w:val="-4"/>
          <w:sz w:val="28"/>
          <w:szCs w:val="28"/>
          <w:lang w:eastAsia="zh-CN"/>
          <w14:textOutline w14:w="5105" w14:cap="sq" w14:cmpd="sng" w14:algn="ctr">
            <w14:solidFill>
              <w14:srgbClr w14:val="000000"/>
            </w14:solidFill>
            <w14:prstDash w14:val="solid"/>
            <w14:bevel/>
          </w14:textOutline>
        </w:rPr>
        <w:t>九、存在问题</w:t>
      </w:r>
      <w:bookmarkEnd w:id="204"/>
      <w:bookmarkEnd w:id="205"/>
      <w:bookmarkEnd w:id="206"/>
    </w:p>
    <w:p w14:paraId="1D81CBDC">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07" w:name="_Toc181558039"/>
      <w:bookmarkStart w:id="208" w:name="_Toc182904033"/>
      <w:r>
        <w:rPr>
          <w:rFonts w:hint="eastAsia" w:ascii="仿宋" w:hAnsi="仿宋" w:eastAsia="仿宋" w:cs="仿宋"/>
          <w:b/>
          <w:color w:val="auto"/>
          <w:spacing w:val="3"/>
          <w:sz w:val="28"/>
          <w:szCs w:val="28"/>
          <w:lang w:eastAsia="zh-CN"/>
        </w:rPr>
        <w:t>（一）绩效目标不明确，自评工作不够规范</w:t>
      </w:r>
      <w:bookmarkEnd w:id="207"/>
      <w:bookmarkEnd w:id="208"/>
    </w:p>
    <w:p w14:paraId="17767929">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在2023年度洛江区应急管理局部门整体绩效目标表及绩效自评表中， “提高安全生产水平”指标的目标值为“有所提升”，“资金使用合规性”的目标值为“合规”，该目标值设置并不具体明确，设置过于笼统宽泛，需进一步细化和优化绩效目标，以提高其明确性。</w:t>
      </w:r>
    </w:p>
    <w:p w14:paraId="3712E340">
      <w:pPr>
        <w:widowControl w:val="0"/>
        <w:overflowPunct w:val="0"/>
        <w:snapToGrid/>
        <w:spacing w:line="408" w:lineRule="auto"/>
        <w:ind w:firstLine="420" w:firstLineChars="200"/>
        <w:jc w:val="both"/>
        <w:rPr>
          <w:rFonts w:hint="eastAsia" w:ascii="仿宋" w:hAnsi="仿宋" w:eastAsia="仿宋" w:cs="仿宋"/>
          <w:color w:val="auto"/>
          <w:spacing w:val="3"/>
          <w:sz w:val="28"/>
          <w:szCs w:val="28"/>
          <w:lang w:eastAsia="zh-CN"/>
        </w:rPr>
      </w:pPr>
      <w:r>
        <w:rPr>
          <w:snapToGrid/>
        </w:rPr>
        <w:drawing>
          <wp:inline distT="0" distB="0" distL="0" distR="0">
            <wp:extent cx="5529580" cy="755015"/>
            <wp:effectExtent l="0" t="0" r="0" b="6985"/>
            <wp:docPr id="707034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34718" name="图片 1"/>
                    <pic:cNvPicPr>
                      <a:picLocks noChangeAspect="1"/>
                    </pic:cNvPicPr>
                  </pic:nvPicPr>
                  <pic:blipFill>
                    <a:blip r:embed="rId5"/>
                    <a:stretch>
                      <a:fillRect/>
                    </a:stretch>
                  </pic:blipFill>
                  <pic:spPr>
                    <a:xfrm>
                      <a:off x="0" y="0"/>
                      <a:ext cx="5534517" cy="755614"/>
                    </a:xfrm>
                    <a:prstGeom prst="rect">
                      <a:avLst/>
                    </a:prstGeom>
                  </pic:spPr>
                </pic:pic>
              </a:graphicData>
            </a:graphic>
          </wp:inline>
        </w:drawing>
      </w:r>
    </w:p>
    <w:p w14:paraId="6AA4E16B">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09" w:name="_Toc182904034"/>
      <w:bookmarkStart w:id="210" w:name="_Toc181558040"/>
      <w:r>
        <w:rPr>
          <w:rFonts w:hint="eastAsia" w:ascii="仿宋" w:hAnsi="仿宋" w:eastAsia="仿宋" w:cs="仿宋"/>
          <w:b/>
          <w:color w:val="auto"/>
          <w:spacing w:val="3"/>
          <w:sz w:val="28"/>
          <w:szCs w:val="28"/>
          <w:lang w:eastAsia="zh-CN"/>
        </w:rPr>
        <w:t>（二）预算调整率偏高，预算编制不够精准</w:t>
      </w:r>
      <w:bookmarkEnd w:id="209"/>
      <w:bookmarkEnd w:id="210"/>
    </w:p>
    <w:p w14:paraId="5268B789">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2023年度洛江区应急管理局全年预算数为</w:t>
      </w:r>
      <w:r>
        <w:rPr>
          <w:rFonts w:ascii="仿宋" w:hAnsi="仿宋" w:eastAsia="仿宋" w:cs="仿宋"/>
          <w:color w:val="auto"/>
          <w:spacing w:val="3"/>
          <w:sz w:val="28"/>
          <w:szCs w:val="28"/>
          <w:lang w:eastAsia="zh-CN"/>
        </w:rPr>
        <w:t>2,323.37</w:t>
      </w:r>
      <w:r>
        <w:rPr>
          <w:rFonts w:hint="eastAsia" w:ascii="仿宋" w:hAnsi="仿宋" w:eastAsia="仿宋" w:cs="仿宋"/>
          <w:color w:val="auto"/>
          <w:spacing w:val="3"/>
          <w:sz w:val="28"/>
          <w:szCs w:val="28"/>
          <w:lang w:eastAsia="zh-CN"/>
        </w:rPr>
        <w:t>万元，调整支出为</w:t>
      </w:r>
      <w:r>
        <w:rPr>
          <w:rFonts w:ascii="仿宋" w:hAnsi="仿宋" w:eastAsia="仿宋" w:cs="仿宋"/>
          <w:color w:val="auto"/>
          <w:spacing w:val="3"/>
          <w:sz w:val="28"/>
          <w:szCs w:val="28"/>
          <w:lang w:eastAsia="zh-CN"/>
        </w:rPr>
        <w:t>804.61</w:t>
      </w:r>
      <w:r>
        <w:rPr>
          <w:rFonts w:hint="eastAsia" w:ascii="仿宋" w:hAnsi="仿宋" w:eastAsia="仿宋" w:cs="仿宋"/>
          <w:color w:val="auto"/>
          <w:spacing w:val="3"/>
          <w:sz w:val="28"/>
          <w:szCs w:val="28"/>
          <w:lang w:eastAsia="zh-CN"/>
        </w:rPr>
        <w:t>万元，支出预算调整率为</w:t>
      </w:r>
      <w:r>
        <w:rPr>
          <w:rFonts w:ascii="仿宋" w:hAnsi="仿宋" w:eastAsia="仿宋" w:cs="仿宋"/>
          <w:color w:val="auto"/>
          <w:spacing w:val="3"/>
          <w:sz w:val="28"/>
          <w:szCs w:val="28"/>
          <w:lang w:eastAsia="zh-CN"/>
        </w:rPr>
        <w:t>804.61/2,323.37×100%=34.63%</w:t>
      </w:r>
      <w:r>
        <w:rPr>
          <w:rFonts w:hint="eastAsia" w:ascii="仿宋" w:hAnsi="仿宋" w:eastAsia="仿宋" w:cs="仿宋"/>
          <w:color w:val="auto"/>
          <w:spacing w:val="3"/>
          <w:sz w:val="28"/>
          <w:szCs w:val="28"/>
          <w:lang w:eastAsia="zh-CN"/>
        </w:rPr>
        <w:t>。单位年初预算不够精准，导致年中追加资金，使得预算调整率较高。预算编制不够科学。</w:t>
      </w:r>
    </w:p>
    <w:p w14:paraId="1655F1AB">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11" w:name="_Toc181558041"/>
      <w:bookmarkStart w:id="212" w:name="_Toc182904035"/>
      <w:r>
        <w:rPr>
          <w:rFonts w:hint="eastAsia" w:ascii="仿宋" w:hAnsi="仿宋" w:eastAsia="仿宋" w:cs="仿宋"/>
          <w:b/>
          <w:color w:val="auto"/>
          <w:spacing w:val="3"/>
          <w:sz w:val="28"/>
          <w:szCs w:val="28"/>
          <w:lang w:eastAsia="zh-CN"/>
        </w:rPr>
        <w:t>（三）财务核算规范性存在不足</w:t>
      </w:r>
      <w:bookmarkEnd w:id="211"/>
      <w:bookmarkEnd w:id="212"/>
    </w:p>
    <w:p w14:paraId="7A24DA00">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1.未及时进行会计处理</w:t>
      </w:r>
    </w:p>
    <w:p w14:paraId="72CC2AA2">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年洛江区应急管理局为消防大队代购消防机器人及机器人运输车辆共计509万，于</w:t>
      </w: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w:t>
      </w:r>
      <w:r>
        <w:rPr>
          <w:rFonts w:ascii="仿宋" w:hAnsi="仿宋" w:eastAsia="仿宋" w:cs="仿宋"/>
          <w:color w:val="auto"/>
          <w:spacing w:val="3"/>
          <w:sz w:val="28"/>
          <w:szCs w:val="28"/>
          <w:lang w:eastAsia="zh-CN"/>
        </w:rPr>
        <w:t>7</w:t>
      </w:r>
      <w:r>
        <w:rPr>
          <w:rFonts w:hint="eastAsia" w:ascii="仿宋" w:hAnsi="仿宋" w:eastAsia="仿宋" w:cs="仿宋"/>
          <w:color w:val="auto"/>
          <w:spacing w:val="3"/>
          <w:sz w:val="28"/>
          <w:szCs w:val="28"/>
          <w:lang w:eastAsia="zh-CN"/>
        </w:rPr>
        <w:t>月调拨至区消防大队，但在</w:t>
      </w: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w:t>
      </w:r>
      <w:r>
        <w:rPr>
          <w:rFonts w:ascii="仿宋" w:hAnsi="仿宋" w:eastAsia="仿宋" w:cs="仿宋"/>
          <w:color w:val="auto"/>
          <w:spacing w:val="3"/>
          <w:sz w:val="28"/>
          <w:szCs w:val="28"/>
          <w:lang w:eastAsia="zh-CN"/>
        </w:rPr>
        <w:t>12</w:t>
      </w:r>
      <w:r>
        <w:rPr>
          <w:rFonts w:hint="eastAsia" w:ascii="仿宋" w:hAnsi="仿宋" w:eastAsia="仿宋" w:cs="仿宋"/>
          <w:color w:val="auto"/>
          <w:spacing w:val="3"/>
          <w:sz w:val="28"/>
          <w:szCs w:val="28"/>
          <w:lang w:eastAsia="zh-CN"/>
        </w:rPr>
        <w:t>月的资产负债表上仍然存在该固定资产金额，未及时进行会计处理。</w:t>
      </w:r>
    </w:p>
    <w:p w14:paraId="1D8C73C7">
      <w:pPr>
        <w:widowControl w:val="0"/>
        <w:overflowPunct w:val="0"/>
        <w:snapToGrid/>
        <w:spacing w:line="408" w:lineRule="auto"/>
        <w:ind w:firstLine="420" w:firstLineChars="200"/>
        <w:jc w:val="both"/>
        <w:rPr>
          <w:rFonts w:hint="eastAsia" w:ascii="仿宋" w:hAnsi="仿宋" w:eastAsia="仿宋" w:cs="仿宋"/>
          <w:color w:val="auto"/>
          <w:spacing w:val="3"/>
          <w:sz w:val="28"/>
          <w:szCs w:val="28"/>
          <w:lang w:eastAsia="zh-CN"/>
        </w:rPr>
      </w:pPr>
      <w:r>
        <w:rPr>
          <w:snapToGrid/>
        </w:rPr>
        <w:drawing>
          <wp:inline distT="0" distB="0" distL="0" distR="0">
            <wp:extent cx="2719070" cy="1999615"/>
            <wp:effectExtent l="0" t="0" r="5080" b="635"/>
            <wp:docPr id="1039373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73897" name="图片 1"/>
                    <pic:cNvPicPr>
                      <a:picLocks noChangeAspect="1"/>
                    </pic:cNvPicPr>
                  </pic:nvPicPr>
                  <pic:blipFill>
                    <a:blip r:embed="rId6"/>
                    <a:stretch>
                      <a:fillRect/>
                    </a:stretch>
                  </pic:blipFill>
                  <pic:spPr>
                    <a:xfrm>
                      <a:off x="0" y="0"/>
                      <a:ext cx="2731480" cy="2008538"/>
                    </a:xfrm>
                    <a:prstGeom prst="rect">
                      <a:avLst/>
                    </a:prstGeom>
                  </pic:spPr>
                </pic:pic>
              </a:graphicData>
            </a:graphic>
          </wp:inline>
        </w:drawing>
      </w:r>
      <w:r>
        <w:rPr>
          <w:snapToGrid/>
        </w:rPr>
        <w:drawing>
          <wp:inline distT="0" distB="0" distL="0" distR="0">
            <wp:extent cx="2710180" cy="1907540"/>
            <wp:effectExtent l="0" t="0" r="0" b="0"/>
            <wp:docPr id="1829206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06974" name="图片 1"/>
                    <pic:cNvPicPr>
                      <a:picLocks noChangeAspect="1"/>
                    </pic:cNvPicPr>
                  </pic:nvPicPr>
                  <pic:blipFill>
                    <a:blip r:embed="rId7"/>
                    <a:stretch>
                      <a:fillRect/>
                    </a:stretch>
                  </pic:blipFill>
                  <pic:spPr>
                    <a:xfrm>
                      <a:off x="0" y="0"/>
                      <a:ext cx="2724649" cy="1918289"/>
                    </a:xfrm>
                    <a:prstGeom prst="rect">
                      <a:avLst/>
                    </a:prstGeom>
                  </pic:spPr>
                </pic:pic>
              </a:graphicData>
            </a:graphic>
          </wp:inline>
        </w:drawing>
      </w:r>
    </w:p>
    <w:p w14:paraId="30425490">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2.固定资产台账管理不规范</w:t>
      </w:r>
    </w:p>
    <w:p w14:paraId="7BB2E5C9">
      <w:pPr>
        <w:widowControl w:val="0"/>
        <w:overflowPunct w:val="0"/>
        <w:snapToGrid/>
        <w:spacing w:line="408" w:lineRule="auto"/>
        <w:ind w:firstLine="572" w:firstLineChars="200"/>
        <w:jc w:val="both"/>
        <w:rPr>
          <w:rFonts w:hint="eastAsia" w:ascii="仿宋" w:hAnsi="仿宋" w:eastAsia="仿宋" w:cs="仿宋"/>
          <w:color w:val="auto"/>
          <w:spacing w:val="3"/>
          <w:sz w:val="28"/>
          <w:szCs w:val="28"/>
          <w:highlight w:val="yellow"/>
          <w:lang w:eastAsia="zh-CN"/>
        </w:rPr>
      </w:pPr>
      <w:r>
        <w:rPr>
          <w:rFonts w:hint="eastAsia" w:ascii="仿宋" w:hAnsi="仿宋" w:eastAsia="仿宋" w:cs="仿宋"/>
          <w:color w:val="auto"/>
          <w:spacing w:val="3"/>
          <w:sz w:val="28"/>
          <w:szCs w:val="28"/>
          <w:lang w:eastAsia="zh-CN"/>
        </w:rPr>
        <w:t>截至2023年</w:t>
      </w:r>
      <w:r>
        <w:rPr>
          <w:rFonts w:ascii="仿宋" w:hAnsi="仿宋" w:eastAsia="仿宋" w:cs="仿宋"/>
          <w:color w:val="auto"/>
          <w:spacing w:val="3"/>
          <w:sz w:val="28"/>
          <w:szCs w:val="28"/>
          <w:lang w:eastAsia="zh-CN"/>
        </w:rPr>
        <w:t>12</w:t>
      </w:r>
      <w:r>
        <w:rPr>
          <w:rFonts w:hint="eastAsia" w:ascii="仿宋" w:hAnsi="仿宋" w:eastAsia="仿宋" w:cs="仿宋"/>
          <w:color w:val="auto"/>
          <w:spacing w:val="3"/>
          <w:sz w:val="28"/>
          <w:szCs w:val="28"/>
          <w:lang w:eastAsia="zh-CN"/>
        </w:rPr>
        <w:t>月洛江区应急管理局固定资产台账中固定资产原值累计数为775.01万元，</w:t>
      </w:r>
      <w:r>
        <w:rPr>
          <w:rFonts w:ascii="仿宋" w:hAnsi="仿宋" w:eastAsia="仿宋" w:cs="仿宋"/>
          <w:color w:val="auto"/>
          <w:spacing w:val="3"/>
          <w:sz w:val="28"/>
          <w:szCs w:val="28"/>
          <w:lang w:eastAsia="zh-CN"/>
        </w:rPr>
        <w:t>2023</w:t>
      </w:r>
      <w:r>
        <w:rPr>
          <w:rFonts w:hint="eastAsia" w:ascii="仿宋" w:hAnsi="仿宋" w:eastAsia="仿宋" w:cs="仿宋"/>
          <w:color w:val="auto"/>
          <w:spacing w:val="3"/>
          <w:sz w:val="28"/>
          <w:szCs w:val="28"/>
          <w:lang w:eastAsia="zh-CN"/>
        </w:rPr>
        <w:t>年</w:t>
      </w:r>
      <w:r>
        <w:rPr>
          <w:rFonts w:ascii="仿宋" w:hAnsi="仿宋" w:eastAsia="仿宋" w:cs="仿宋"/>
          <w:color w:val="auto"/>
          <w:spacing w:val="3"/>
          <w:sz w:val="28"/>
          <w:szCs w:val="28"/>
          <w:lang w:eastAsia="zh-CN"/>
        </w:rPr>
        <w:t>12</w:t>
      </w:r>
      <w:r>
        <w:rPr>
          <w:rFonts w:hint="eastAsia" w:ascii="仿宋" w:hAnsi="仿宋" w:eastAsia="仿宋" w:cs="仿宋"/>
          <w:color w:val="auto"/>
          <w:spacing w:val="3"/>
          <w:sz w:val="28"/>
          <w:szCs w:val="28"/>
          <w:lang w:eastAsia="zh-CN"/>
        </w:rPr>
        <w:t>月资产负债表中固定资产原值770.06万元，两者金额存在差异4.95万元。同时在固定资产台账中，有部分固定资产记账凭证号填写为待完善或空。固定资产台账管理不规范。</w:t>
      </w:r>
    </w:p>
    <w:p w14:paraId="1926492E">
      <w:pPr>
        <w:widowControl w:val="0"/>
        <w:overflowPunct w:val="0"/>
        <w:snapToGrid/>
        <w:spacing w:line="408" w:lineRule="auto"/>
        <w:ind w:firstLine="420" w:firstLineChars="200"/>
        <w:jc w:val="both"/>
        <w:rPr>
          <w:rFonts w:hint="eastAsia" w:ascii="仿宋" w:hAnsi="仿宋" w:eastAsia="仿宋" w:cs="仿宋"/>
          <w:color w:val="auto"/>
          <w:spacing w:val="3"/>
          <w:sz w:val="28"/>
          <w:szCs w:val="28"/>
          <w:highlight w:val="yellow"/>
          <w:lang w:eastAsia="zh-CN"/>
        </w:rPr>
      </w:pPr>
      <w:r>
        <w:rPr>
          <w:snapToGrid/>
        </w:rPr>
        <w:drawing>
          <wp:inline distT="0" distB="0" distL="0" distR="0">
            <wp:extent cx="5569585" cy="1350645"/>
            <wp:effectExtent l="0" t="0" r="0" b="1905"/>
            <wp:docPr id="541359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59269" name="图片 1"/>
                    <pic:cNvPicPr>
                      <a:picLocks noChangeAspect="1"/>
                    </pic:cNvPicPr>
                  </pic:nvPicPr>
                  <pic:blipFill>
                    <a:blip r:embed="rId8"/>
                    <a:stretch>
                      <a:fillRect/>
                    </a:stretch>
                  </pic:blipFill>
                  <pic:spPr>
                    <a:xfrm>
                      <a:off x="0" y="0"/>
                      <a:ext cx="5571007" cy="1350916"/>
                    </a:xfrm>
                    <a:prstGeom prst="rect">
                      <a:avLst/>
                    </a:prstGeom>
                  </pic:spPr>
                </pic:pic>
              </a:graphicData>
            </a:graphic>
          </wp:inline>
        </w:drawing>
      </w:r>
    </w:p>
    <w:p w14:paraId="6CD2389C">
      <w:pPr>
        <w:widowControl w:val="0"/>
        <w:overflowPunct w:val="0"/>
        <w:snapToGrid/>
        <w:spacing w:line="408" w:lineRule="auto"/>
        <w:ind w:firstLine="420" w:firstLineChars="200"/>
        <w:jc w:val="both"/>
        <w:rPr>
          <w:rFonts w:hint="eastAsia" w:ascii="仿宋" w:hAnsi="仿宋" w:eastAsia="仿宋" w:cs="仿宋"/>
          <w:color w:val="auto"/>
          <w:spacing w:val="3"/>
          <w:sz w:val="28"/>
          <w:szCs w:val="28"/>
          <w:highlight w:val="yellow"/>
          <w:lang w:eastAsia="zh-CN"/>
        </w:rPr>
      </w:pPr>
      <w:r>
        <w:rPr>
          <w:snapToGrid/>
        </w:rPr>
        <w:drawing>
          <wp:inline distT="0" distB="0" distL="0" distR="0">
            <wp:extent cx="2413000" cy="2729865"/>
            <wp:effectExtent l="0" t="0" r="6350" b="0"/>
            <wp:docPr id="1686756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6169" name="图片 1"/>
                    <pic:cNvPicPr>
                      <a:picLocks noChangeAspect="1"/>
                    </pic:cNvPicPr>
                  </pic:nvPicPr>
                  <pic:blipFill>
                    <a:blip r:embed="rId9"/>
                    <a:stretch>
                      <a:fillRect/>
                    </a:stretch>
                  </pic:blipFill>
                  <pic:spPr>
                    <a:xfrm>
                      <a:off x="0" y="0"/>
                      <a:ext cx="2427660" cy="2746199"/>
                    </a:xfrm>
                    <a:prstGeom prst="rect">
                      <a:avLst/>
                    </a:prstGeom>
                  </pic:spPr>
                </pic:pic>
              </a:graphicData>
            </a:graphic>
          </wp:inline>
        </w:drawing>
      </w:r>
      <w:r>
        <w:rPr>
          <w:snapToGrid/>
        </w:rPr>
        <w:drawing>
          <wp:inline distT="0" distB="0" distL="0" distR="0">
            <wp:extent cx="3136265" cy="2682240"/>
            <wp:effectExtent l="0" t="0" r="6985" b="3810"/>
            <wp:docPr id="1326444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44092" name="图片 1"/>
                    <pic:cNvPicPr>
                      <a:picLocks noChangeAspect="1"/>
                    </pic:cNvPicPr>
                  </pic:nvPicPr>
                  <pic:blipFill>
                    <a:blip r:embed="rId10"/>
                    <a:stretch>
                      <a:fillRect/>
                    </a:stretch>
                  </pic:blipFill>
                  <pic:spPr>
                    <a:xfrm>
                      <a:off x="0" y="0"/>
                      <a:ext cx="3154640" cy="2697996"/>
                    </a:xfrm>
                    <a:prstGeom prst="rect">
                      <a:avLst/>
                    </a:prstGeom>
                  </pic:spPr>
                </pic:pic>
              </a:graphicData>
            </a:graphic>
          </wp:inline>
        </w:drawing>
      </w:r>
    </w:p>
    <w:p w14:paraId="57D29CC6">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13" w:name="_Toc182904036"/>
      <w:bookmarkStart w:id="214" w:name="_Toc181558042"/>
      <w:r>
        <w:rPr>
          <w:rFonts w:hint="eastAsia" w:ascii="仿宋" w:hAnsi="仿宋" w:eastAsia="仿宋" w:cs="仿宋"/>
          <w:b/>
          <w:color w:val="auto"/>
          <w:spacing w:val="3"/>
          <w:sz w:val="28"/>
          <w:szCs w:val="28"/>
          <w:lang w:eastAsia="zh-CN"/>
        </w:rPr>
        <w:t>（四）对乡镇一线人员的监督力度不足</w:t>
      </w:r>
      <w:bookmarkEnd w:id="213"/>
      <w:bookmarkEnd w:id="214"/>
      <w:bookmarkStart w:id="215" w:name="_Toc28134"/>
    </w:p>
    <w:p w14:paraId="45D54B8B">
      <w:pPr>
        <w:widowControl w:val="0"/>
        <w:overflowPunct w:val="0"/>
        <w:snapToGrid/>
        <w:spacing w:line="408" w:lineRule="auto"/>
        <w:ind w:firstLine="572" w:firstLineChars="200"/>
        <w:jc w:val="both"/>
        <w:rPr>
          <w:rFonts w:hint="eastAsia" w:ascii="仿宋" w:hAnsi="仿宋" w:eastAsia="仿宋" w:cs="仿宋"/>
          <w:b/>
          <w:color w:val="auto"/>
          <w:spacing w:val="3"/>
          <w:sz w:val="28"/>
          <w:szCs w:val="28"/>
          <w:lang w:eastAsia="zh-CN"/>
        </w:rPr>
      </w:pPr>
      <w:r>
        <w:rPr>
          <w:rFonts w:hint="eastAsia" w:ascii="仿宋" w:hAnsi="仿宋" w:eastAsia="仿宋" w:cs="仿宋"/>
          <w:color w:val="auto"/>
          <w:spacing w:val="3"/>
          <w:sz w:val="28"/>
          <w:szCs w:val="28"/>
          <w:lang w:eastAsia="zh-CN"/>
        </w:rPr>
        <w:t>1.对乡镇一线网格员的监督不足</w:t>
      </w:r>
    </w:p>
    <w:p w14:paraId="22BFF7C1">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在乡镇一级企业安全检查的过程中，乡镇一级的一线网格员对企业安全检查工作存在疏忽，乡镇一级的企业安全检查工作难以实施，计划难以落实，时有发生网格员并未真正到企业进行实地检查的情况。经常企业安全检查计划在乡镇一级难以形同虚设并未落实。</w:t>
      </w:r>
    </w:p>
    <w:p w14:paraId="39905BF0">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2.对乡镇一线护林员的监督不足</w:t>
      </w:r>
    </w:p>
    <w:p w14:paraId="7223E232">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在乡镇森林防火检查的过程中，一线护林员存在责任心不足的情况，护林员巡山力度不足，对森林火情不能及时发现。大部分的火情是通过群众报警才发现。对护林员的工作没有相应的考核制度，对护林员的监督力度存在不足。</w:t>
      </w:r>
    </w:p>
    <w:p w14:paraId="65A99A76">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3.对乡镇半专业森林防火消防队的训练和建设监督不足</w:t>
      </w:r>
    </w:p>
    <w:p w14:paraId="36979C46">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在乡镇森林防火检查的过程中，乡镇半专业森林防火救援队虽然在人数上较多，但半专业队的训练不足，半专业队的建设不完善。在具体的森林救火工作中，仍然依赖于专业队的救火。在防火备勤期间半专业队备勤形同虚设，时有缺勤情况发生，对半专业队的监督力度存在不足。</w:t>
      </w:r>
    </w:p>
    <w:p w14:paraId="7153097C">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16" w:name="_Toc181558043"/>
      <w:bookmarkStart w:id="217" w:name="_Toc182904037"/>
      <w:r>
        <w:rPr>
          <w:rFonts w:hint="eastAsia" w:ascii="仿宋" w:hAnsi="仿宋" w:eastAsia="仿宋" w:cs="仿宋"/>
          <w:b/>
          <w:color w:val="auto"/>
          <w:spacing w:val="3"/>
          <w:sz w:val="28"/>
          <w:szCs w:val="28"/>
          <w:lang w:eastAsia="zh-CN"/>
        </w:rPr>
        <w:t>（五）</w:t>
      </w:r>
      <w:bookmarkEnd w:id="216"/>
      <w:r>
        <w:rPr>
          <w:rFonts w:hint="eastAsia" w:ascii="仿宋" w:hAnsi="仿宋" w:eastAsia="仿宋" w:cs="仿宋"/>
          <w:b/>
          <w:color w:val="auto"/>
          <w:spacing w:val="3"/>
          <w:sz w:val="28"/>
          <w:szCs w:val="28"/>
          <w:lang w:eastAsia="zh-CN"/>
        </w:rPr>
        <w:t>执法人员内部培训不足</w:t>
      </w:r>
      <w:bookmarkEnd w:id="217"/>
    </w:p>
    <w:p w14:paraId="199FD502">
      <w:pPr>
        <w:widowControl w:val="0"/>
        <w:overflowPunct w:val="0"/>
        <w:snapToGrid/>
        <w:spacing w:line="408" w:lineRule="auto"/>
        <w:ind w:firstLine="572" w:firstLineChars="200"/>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在企业安全生产检查的过程中，经常需要聘请专家进行配合检查工作，对安全隐患的认定与排查也经常依赖专家的专业性。在辅导企业合规安全生产指导方面，也需要结合专家一同辅导工作，执法人员对专家工作存在一定的依赖情况，自身内部培训不够充足，执法人员自身专业能力受到一定的限制。</w:t>
      </w:r>
    </w:p>
    <w:p w14:paraId="23BB640D">
      <w:pPr>
        <w:widowControl w:val="0"/>
        <w:overflowPunct w:val="0"/>
        <w:snapToGrid/>
        <w:spacing w:line="408" w:lineRule="auto"/>
        <w:ind w:firstLine="554" w:firstLineChars="200"/>
        <w:outlineLvl w:val="0"/>
        <w:rPr>
          <w:rFonts w:hint="eastAsia" w:ascii="仿宋" w:hAnsi="仿宋" w:eastAsia="仿宋" w:cs="仿宋"/>
          <w:b/>
          <w:color w:val="auto"/>
          <w:spacing w:val="-2"/>
          <w:sz w:val="28"/>
          <w:szCs w:val="28"/>
          <w:lang w:eastAsia="zh-CN"/>
          <w14:textOutline w14:w="5105" w14:cap="sq" w14:cmpd="sng" w14:algn="ctr">
            <w14:solidFill>
              <w14:srgbClr w14:val="000000"/>
            </w14:solidFill>
            <w14:prstDash w14:val="solid"/>
            <w14:bevel/>
          </w14:textOutline>
        </w:rPr>
      </w:pPr>
      <w:bookmarkStart w:id="218" w:name="_Toc181558044"/>
      <w:bookmarkStart w:id="219" w:name="_Toc182904038"/>
      <w:r>
        <w:rPr>
          <w:rFonts w:hint="eastAsia" w:ascii="仿宋" w:hAnsi="仿宋" w:eastAsia="仿宋" w:cs="仿宋"/>
          <w:b/>
          <w:color w:val="auto"/>
          <w:spacing w:val="-2"/>
          <w:sz w:val="28"/>
          <w:szCs w:val="28"/>
          <w:lang w:eastAsia="zh-CN"/>
          <w14:textOutline w14:w="5105" w14:cap="sq" w14:cmpd="sng" w14:algn="ctr">
            <w14:solidFill>
              <w14:srgbClr w14:val="000000"/>
            </w14:solidFill>
            <w14:prstDash w14:val="solid"/>
            <w14:bevel/>
          </w14:textOutline>
        </w:rPr>
        <w:t>十、提出建议</w:t>
      </w:r>
      <w:bookmarkEnd w:id="215"/>
      <w:bookmarkEnd w:id="218"/>
      <w:bookmarkEnd w:id="219"/>
    </w:p>
    <w:p w14:paraId="66FA14A5">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20" w:name="_Toc181558045"/>
      <w:bookmarkStart w:id="221" w:name="_Toc182904039"/>
      <w:r>
        <w:rPr>
          <w:rFonts w:hint="eastAsia" w:ascii="仿宋" w:hAnsi="仿宋" w:eastAsia="仿宋" w:cs="仿宋"/>
          <w:b/>
          <w:color w:val="auto"/>
          <w:spacing w:val="3"/>
          <w:sz w:val="28"/>
          <w:szCs w:val="28"/>
          <w:lang w:eastAsia="zh-CN"/>
        </w:rPr>
        <w:t>（一）加强绩效指标设置水平，提高绩效自评效益</w:t>
      </w:r>
      <w:bookmarkEnd w:id="220"/>
      <w:bookmarkEnd w:id="221"/>
    </w:p>
    <w:p w14:paraId="22F6FA8D">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泉州市洛江区应急管理局在设置绩效目标时应当依据《中央部门项目支出核心绩效目标和指标设置及取值指引》的相关规定来进行绩效指标的设置。绩效目标应当通过具体绩效指标予以细化、量化描述。设置绩效目标要先确定总体目标，然后再将总体目标逐步分解成若干个小目标的方式</w:t>
      </w:r>
      <w:r>
        <w:rPr>
          <w:rFonts w:ascii="仿宋" w:hAnsi="仿宋" w:eastAsia="仿宋" w:cs="仿宋"/>
          <w:color w:val="auto"/>
          <w:spacing w:val="3"/>
          <w:sz w:val="28"/>
          <w:szCs w:val="28"/>
          <w:lang w:eastAsia="zh-CN"/>
        </w:rPr>
        <w:t>,</w:t>
      </w:r>
      <w:r>
        <w:rPr>
          <w:rFonts w:hint="eastAsia" w:ascii="仿宋" w:hAnsi="仿宋" w:eastAsia="仿宋" w:cs="仿宋"/>
          <w:color w:val="auto"/>
          <w:spacing w:val="3"/>
          <w:sz w:val="28"/>
          <w:szCs w:val="28"/>
          <w:lang w:eastAsia="zh-CN"/>
        </w:rPr>
        <w:t>确保不同层级的绩效目标相互衔接、相互配套。因此绩效目标不仅仅是一个指标，更是一个绩效指标体系，加强绩效指标的建设水平，提高绩效自评、绩效管理效益。</w:t>
      </w:r>
    </w:p>
    <w:p w14:paraId="77F6A951">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22" w:name="_Toc181558046"/>
      <w:bookmarkStart w:id="223" w:name="_Toc182904040"/>
      <w:r>
        <w:rPr>
          <w:rFonts w:hint="eastAsia" w:ascii="仿宋" w:hAnsi="仿宋" w:eastAsia="仿宋" w:cs="仿宋"/>
          <w:b/>
          <w:color w:val="auto"/>
          <w:spacing w:val="3"/>
          <w:sz w:val="28"/>
          <w:szCs w:val="28"/>
          <w:lang w:eastAsia="zh-CN"/>
        </w:rPr>
        <w:t>（二）加强预算的科学性,降低预算调整率</w:t>
      </w:r>
      <w:bookmarkEnd w:id="222"/>
      <w:bookmarkEnd w:id="223"/>
    </w:p>
    <w:p w14:paraId="4CCA8E2C">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bookmarkStart w:id="224" w:name="_Hlk181557139"/>
      <w:r>
        <w:rPr>
          <w:rFonts w:hint="eastAsia" w:ascii="仿宋" w:hAnsi="仿宋" w:eastAsia="仿宋" w:cs="仿宋"/>
          <w:color w:val="auto"/>
          <w:spacing w:val="3"/>
          <w:sz w:val="28"/>
          <w:szCs w:val="28"/>
          <w:lang w:eastAsia="zh-CN"/>
        </w:rPr>
        <w:t>泉州市洛江区应急管理局</w:t>
      </w:r>
      <w:bookmarkEnd w:id="224"/>
      <w:r>
        <w:rPr>
          <w:rFonts w:hint="eastAsia" w:ascii="仿宋" w:hAnsi="仿宋" w:eastAsia="仿宋" w:cs="仿宋"/>
          <w:color w:val="auto"/>
          <w:spacing w:val="3"/>
          <w:sz w:val="28"/>
          <w:szCs w:val="28"/>
          <w:lang w:eastAsia="zh-CN"/>
        </w:rPr>
        <w:t>应当优化预算编制过程，计划好当年度的工作安排，确保预算的准确，确保所有资金预算都能考虑周全详密，并将预算细化到具体项目，逐步做到项目细化、预算科学，保证预算编制执行的合理合规，按照有依据、有标准、符合新形势要求的原则来排项目，提高预算编制的精准度和有效性，同时增强预算约束刚性，严格遵循量入为出、厉行节约原则，按照年度工作计划的实际情况和轻重缓急进行资金统筹，合理安排资金支付进度，加快支付资金下达进度，对各类财政资金的申请、审批、使用、监管等方面作出明确规定。</w:t>
      </w:r>
    </w:p>
    <w:p w14:paraId="11BD10AB">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25" w:name="_Toc182904041"/>
      <w:bookmarkStart w:id="226" w:name="_Toc181558047"/>
      <w:r>
        <w:rPr>
          <w:rFonts w:hint="eastAsia" w:ascii="仿宋" w:hAnsi="仿宋" w:eastAsia="仿宋" w:cs="仿宋"/>
          <w:b/>
          <w:color w:val="auto"/>
          <w:spacing w:val="3"/>
          <w:sz w:val="28"/>
          <w:szCs w:val="28"/>
          <w:lang w:eastAsia="zh-CN"/>
        </w:rPr>
        <w:t>（三）加强财务核算规范性</w:t>
      </w:r>
      <w:bookmarkEnd w:id="225"/>
      <w:bookmarkEnd w:id="226"/>
    </w:p>
    <w:p w14:paraId="1D352C11">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泉州市洛江区应急管理局应当进一步加强财务内部控制体系的建设并逐步完善。加强会计处理的准确性，加强会计处理的及时性，以提高会计数据的信息质量。做到及时将单据进行审批，审批后及时录入财务系统，定期进行资产的清查，做到会计账簿与实物资产保持一致，做到总账明细账保持一致，做到系统账与台账数据保持一致，确保多会计报表，会计体系的内在逻辑、钩稽关系的严谨性，准确性，最终以提高会计信息质量，加强财务核算规范。</w:t>
      </w:r>
    </w:p>
    <w:p w14:paraId="1BE847A4">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27" w:name="_Toc181558048"/>
      <w:bookmarkStart w:id="228" w:name="_Toc182904042"/>
      <w:r>
        <w:rPr>
          <w:rFonts w:hint="eastAsia" w:ascii="仿宋" w:hAnsi="仿宋" w:eastAsia="仿宋" w:cs="仿宋"/>
          <w:b/>
          <w:color w:val="auto"/>
          <w:spacing w:val="3"/>
          <w:sz w:val="28"/>
          <w:szCs w:val="28"/>
          <w:lang w:eastAsia="zh-CN"/>
        </w:rPr>
        <w:t>（四）加强对一线人员的监督，提高一线人员工作落实度</w:t>
      </w:r>
      <w:bookmarkEnd w:id="227"/>
      <w:bookmarkEnd w:id="228"/>
    </w:p>
    <w:p w14:paraId="391132A6">
      <w:pPr>
        <w:widowControl w:val="0"/>
        <w:overflowPunct w:val="0"/>
        <w:snapToGrid/>
        <w:spacing w:line="408" w:lineRule="auto"/>
        <w:ind w:firstLine="572" w:firstLineChars="200"/>
        <w:jc w:val="both"/>
        <w:rPr>
          <w:rFonts w:hint="eastAsia" w:ascii="仿宋" w:hAnsi="仿宋" w:eastAsia="仿宋" w:cs="仿宋"/>
          <w:b/>
          <w:color w:val="auto"/>
          <w:spacing w:val="3"/>
          <w:sz w:val="28"/>
          <w:szCs w:val="28"/>
          <w:lang w:eastAsia="zh-CN"/>
        </w:rPr>
      </w:pPr>
      <w:r>
        <w:rPr>
          <w:rFonts w:hint="eastAsia" w:ascii="仿宋" w:hAnsi="仿宋" w:eastAsia="仿宋" w:cs="仿宋"/>
          <w:color w:val="auto"/>
          <w:spacing w:val="3"/>
          <w:sz w:val="28"/>
          <w:szCs w:val="28"/>
          <w:lang w:eastAsia="zh-CN"/>
        </w:rPr>
        <w:t>泉州市洛江区应急管理局应当经常走访乡镇，了解乡镇一线人员实际工作情况，加强日常的监督管理工作，以增强一线人员的纪律意识和风险防范能力。同时加强对乡镇一线人员的考核制度管理，确保监督工作覆盖到每一个环节，落实工作岗位责任制度。做到谁在岗，谁负责，让责任意识落到每一位一线人员心中，以提高一线工作落实度。</w:t>
      </w:r>
    </w:p>
    <w:p w14:paraId="63D0DC80">
      <w:pPr>
        <w:widowControl w:val="0"/>
        <w:overflowPunct w:val="0"/>
        <w:snapToGrid/>
        <w:spacing w:line="408" w:lineRule="auto"/>
        <w:ind w:firstLine="574" w:firstLineChars="200"/>
        <w:jc w:val="both"/>
        <w:outlineLvl w:val="1"/>
        <w:rPr>
          <w:rFonts w:hint="eastAsia" w:ascii="仿宋" w:hAnsi="仿宋" w:eastAsia="仿宋" w:cs="仿宋"/>
          <w:b/>
          <w:color w:val="auto"/>
          <w:spacing w:val="3"/>
          <w:sz w:val="28"/>
          <w:szCs w:val="28"/>
          <w:lang w:eastAsia="zh-CN"/>
        </w:rPr>
      </w:pPr>
      <w:bookmarkStart w:id="229" w:name="_Toc181558049"/>
      <w:bookmarkStart w:id="230" w:name="_Toc182904043"/>
      <w:r>
        <w:rPr>
          <w:rFonts w:hint="eastAsia" w:ascii="仿宋" w:hAnsi="仿宋" w:eastAsia="仿宋" w:cs="仿宋"/>
          <w:b/>
          <w:color w:val="auto"/>
          <w:spacing w:val="3"/>
          <w:sz w:val="28"/>
          <w:szCs w:val="28"/>
          <w:lang w:eastAsia="zh-CN"/>
        </w:rPr>
        <w:t>（五）加强内部执法人员专业培训</w:t>
      </w:r>
      <w:bookmarkEnd w:id="229"/>
      <w:bookmarkEnd w:id="230"/>
    </w:p>
    <w:p w14:paraId="5EA7FE4E">
      <w:pPr>
        <w:widowControl w:val="0"/>
        <w:overflowPunct w:val="0"/>
        <w:snapToGrid/>
        <w:spacing w:line="408" w:lineRule="auto"/>
        <w:ind w:firstLine="572" w:firstLineChars="200"/>
        <w:jc w:val="both"/>
        <w:rPr>
          <w:rFonts w:hint="eastAsia" w:ascii="仿宋" w:hAnsi="仿宋" w:eastAsia="仿宋" w:cs="仿宋"/>
          <w:color w:val="auto"/>
          <w:spacing w:val="3"/>
          <w:sz w:val="28"/>
          <w:szCs w:val="28"/>
          <w:lang w:eastAsia="zh-CN"/>
        </w:rPr>
      </w:pPr>
      <w:r>
        <w:rPr>
          <w:rFonts w:hint="eastAsia" w:ascii="仿宋" w:hAnsi="仿宋" w:eastAsia="仿宋" w:cs="仿宋"/>
          <w:color w:val="auto"/>
          <w:spacing w:val="3"/>
          <w:sz w:val="28"/>
          <w:szCs w:val="28"/>
          <w:lang w:eastAsia="zh-CN"/>
        </w:rPr>
        <w:t>泉州市洛江区应急管理局应当加强执法大队内部执法人员的专业培训力度。加强执法人员自身专业水平的修炼，要做到执法人员能够对所管辖执法的企业安全生产知识熟练于心。能够对所管辖的企业起到监督，检查，辅导的作用。提高执法人员对专业知识的重视程度，降低在企业安全检查执法过程中对专家的依赖。</w:t>
      </w:r>
    </w:p>
    <w:p w14:paraId="6DD3CE13">
      <w:pPr>
        <w:widowControl w:val="0"/>
        <w:overflowPunct w:val="0"/>
        <w:snapToGrid/>
        <w:spacing w:line="408" w:lineRule="auto"/>
        <w:ind w:firstLine="554" w:firstLineChars="200"/>
        <w:outlineLvl w:val="0"/>
        <w:rPr>
          <w:rFonts w:hint="eastAsia" w:ascii="仿宋" w:hAnsi="仿宋" w:eastAsia="仿宋" w:cs="仿宋"/>
          <w:b/>
          <w:color w:val="auto"/>
          <w:sz w:val="28"/>
          <w:szCs w:val="28"/>
          <w:lang w:eastAsia="zh-CN"/>
        </w:rPr>
      </w:pPr>
      <w:bookmarkStart w:id="231" w:name="bookmark63"/>
      <w:bookmarkEnd w:id="231"/>
      <w:bookmarkStart w:id="232" w:name="_Toc28973"/>
      <w:bookmarkStart w:id="233" w:name="_Toc182904044"/>
      <w:bookmarkStart w:id="234" w:name="_Toc181558050"/>
      <w:r>
        <w:rPr>
          <w:rFonts w:hint="eastAsia" w:ascii="仿宋" w:hAnsi="仿宋" w:eastAsia="仿宋" w:cs="仿宋"/>
          <w:b/>
          <w:color w:val="auto"/>
          <w:spacing w:val="-2"/>
          <w:sz w:val="28"/>
          <w:szCs w:val="28"/>
          <w:lang w:eastAsia="zh-CN"/>
          <w14:textOutline w14:w="5105" w14:cap="sq" w14:cmpd="sng" w14:algn="ctr">
            <w14:solidFill>
              <w14:srgbClr w14:val="000000"/>
            </w14:solidFill>
            <w14:prstDash w14:val="solid"/>
            <w14:bevel/>
          </w14:textOutline>
        </w:rPr>
        <w:t>十一、其他需说明事项</w:t>
      </w:r>
      <w:bookmarkEnd w:id="232"/>
      <w:bookmarkEnd w:id="233"/>
      <w:bookmarkEnd w:id="234"/>
    </w:p>
    <w:p w14:paraId="7195A3A3">
      <w:pPr>
        <w:widowControl w:val="0"/>
        <w:overflowPunct w:val="0"/>
        <w:snapToGrid/>
        <w:spacing w:line="408" w:lineRule="auto"/>
        <w:ind w:firstLine="556" w:firstLineChars="200"/>
        <w:jc w:val="both"/>
        <w:rPr>
          <w:rFonts w:hint="eastAsia" w:ascii="仿宋" w:hAnsi="仿宋" w:eastAsia="仿宋" w:cs="仿宋"/>
          <w:color w:val="auto"/>
          <w:sz w:val="28"/>
          <w:lang w:eastAsia="zh-CN"/>
        </w:rPr>
      </w:pPr>
      <w:r>
        <w:rPr>
          <w:rFonts w:hint="eastAsia" w:ascii="仿宋" w:hAnsi="仿宋" w:eastAsia="仿宋" w:cs="仿宋"/>
          <w:color w:val="auto"/>
          <w:spacing w:val="-1"/>
          <w:sz w:val="28"/>
          <w:szCs w:val="28"/>
          <w:lang w:eastAsia="zh-CN"/>
        </w:rPr>
        <w:t>（一）本绩效评价报告是在泉州市洛江区应急管理局所提供资料及</w:t>
      </w:r>
      <w:r>
        <w:rPr>
          <w:rFonts w:hint="eastAsia" w:ascii="仿宋" w:hAnsi="仿宋" w:eastAsia="仿宋" w:cs="仿宋"/>
          <w:color w:val="auto"/>
          <w:spacing w:val="-2"/>
          <w:sz w:val="28"/>
          <w:szCs w:val="28"/>
          <w:lang w:eastAsia="zh-CN"/>
        </w:rPr>
        <w:t>回收的问卷统计数据基础上形成的，泉州市洛江区应急管理局须对所提</w:t>
      </w:r>
      <w:r>
        <w:rPr>
          <w:rFonts w:hint="eastAsia" w:ascii="仿宋" w:hAnsi="仿宋" w:eastAsia="仿宋" w:cs="仿宋"/>
          <w:color w:val="auto"/>
          <w:spacing w:val="-1"/>
          <w:sz w:val="28"/>
          <w:szCs w:val="28"/>
          <w:lang w:eastAsia="zh-CN"/>
        </w:rPr>
        <w:t>供资料的真实性、准确性和完整性负责。</w:t>
      </w:r>
    </w:p>
    <w:p w14:paraId="14B3A46C">
      <w:pPr>
        <w:spacing w:line="408" w:lineRule="auto"/>
        <w:ind w:firstLine="560" w:firstLineChars="200"/>
        <w:jc w:val="both"/>
        <w:rPr>
          <w:rFonts w:hint="eastAsia" w:ascii="仿宋" w:hAnsi="仿宋" w:eastAsia="仿宋"/>
          <w:sz w:val="28"/>
          <w:highlight w:val="yellow"/>
          <w:lang w:eastAsia="zh-CN"/>
        </w:rPr>
      </w:pPr>
      <w:bookmarkStart w:id="235" w:name="bookmark64"/>
      <w:bookmarkEnd w:id="235"/>
      <w:bookmarkStart w:id="236" w:name="bookmark65"/>
      <w:bookmarkEnd w:id="236"/>
    </w:p>
    <w:p w14:paraId="4AB76E9E">
      <w:pPr>
        <w:widowControl w:val="0"/>
        <w:overflowPunct w:val="0"/>
        <w:snapToGrid/>
        <w:spacing w:line="408" w:lineRule="auto"/>
        <w:ind w:firstLine="560" w:firstLineChars="200"/>
        <w:jc w:val="both"/>
        <w:rPr>
          <w:rFonts w:hint="eastAsia" w:ascii="仿宋" w:hAnsi="仿宋" w:eastAsia="仿宋" w:cs="仿宋"/>
          <w:color w:val="auto"/>
          <w:spacing w:val="-2"/>
          <w:sz w:val="28"/>
          <w:szCs w:val="28"/>
          <w:lang w:eastAsia="zh-CN"/>
        </w:rPr>
      </w:pPr>
      <w:r>
        <w:rPr>
          <w:rFonts w:hint="eastAsia" w:ascii="仿宋" w:hAnsi="仿宋" w:eastAsia="仿宋"/>
          <w:sz w:val="28"/>
          <w:lang w:eastAsia="zh-CN"/>
        </w:rPr>
        <w:t xml:space="preserve">                                    </w:t>
      </w:r>
      <w:r>
        <w:rPr>
          <w:rFonts w:hint="eastAsia" w:ascii="仿宋" w:hAnsi="仿宋" w:eastAsia="仿宋" w:cs="仿宋"/>
          <w:color w:val="auto"/>
          <w:spacing w:val="-2"/>
          <w:sz w:val="28"/>
          <w:szCs w:val="28"/>
          <w:lang w:eastAsia="zh-CN"/>
        </w:rPr>
        <w:t>泉州市启程财务咨询有限公司</w:t>
      </w:r>
    </w:p>
    <w:p w14:paraId="7A1B83C1">
      <w:pPr>
        <w:widowControl w:val="0"/>
        <w:overflowPunct w:val="0"/>
        <w:snapToGrid/>
        <w:spacing w:line="408" w:lineRule="auto"/>
        <w:ind w:firstLine="552" w:firstLineChars="200"/>
        <w:jc w:val="both"/>
        <w:rPr>
          <w:rFonts w:hint="eastAsia" w:ascii="Times New Roman" w:hAnsi="仿宋_GB2312" w:eastAsia="宋体" w:cs="仿宋_GB2312"/>
          <w:color w:val="auto"/>
          <w:spacing w:val="4"/>
          <w:sz w:val="28"/>
          <w:szCs w:val="32"/>
          <w:lang w:eastAsia="zh-CN"/>
        </w:rPr>
      </w:pPr>
      <w:r>
        <w:rPr>
          <w:rFonts w:hint="eastAsia" w:ascii="仿宋" w:hAnsi="仿宋" w:eastAsia="仿宋" w:cs="仿宋"/>
          <w:color w:val="auto"/>
          <w:spacing w:val="-2"/>
          <w:sz w:val="28"/>
          <w:szCs w:val="28"/>
          <w:lang w:eastAsia="zh-CN"/>
        </w:rPr>
        <w:t xml:space="preserve">                                           2024年10月25日</w:t>
      </w:r>
    </w:p>
    <w:p w14:paraId="178526FD">
      <w:pPr>
        <w:widowControl w:val="0"/>
        <w:overflowPunct w:val="0"/>
        <w:snapToGrid/>
        <w:spacing w:line="360" w:lineRule="auto"/>
        <w:ind w:firstLine="552" w:firstLineChars="200"/>
        <w:rPr>
          <w:rFonts w:hint="eastAsia" w:ascii="仿宋" w:hAnsi="仿宋" w:eastAsia="仿宋" w:cs="仿宋"/>
          <w:color w:val="auto"/>
          <w:spacing w:val="-2"/>
          <w:sz w:val="28"/>
          <w:szCs w:val="28"/>
          <w:highlight w:val="yellow"/>
          <w:lang w:eastAsia="zh-CN"/>
          <w14:textOutline w14:w="5105" w14:cap="sq" w14:cmpd="sng" w14:algn="ctr">
            <w14:solidFill>
              <w14:srgbClr w14:val="000000"/>
            </w14:solidFill>
            <w14:prstDash w14:val="solid"/>
            <w14:bevel/>
          </w14:textOutline>
        </w:rPr>
        <w:sectPr>
          <w:footerReference r:id="rId3" w:type="default"/>
          <w:pgSz w:w="11906" w:h="16839"/>
          <w:pgMar w:top="1304" w:right="966" w:bottom="1304" w:left="1593" w:header="0" w:footer="987" w:gutter="0"/>
          <w:cols w:space="720" w:num="1"/>
        </w:sectPr>
      </w:pPr>
    </w:p>
    <w:p w14:paraId="1C50E755">
      <w:pPr>
        <w:spacing w:line="408" w:lineRule="auto"/>
        <w:ind w:firstLine="422" w:firstLineChars="200"/>
        <w:outlineLvl w:val="0"/>
        <w:rPr>
          <w:rFonts w:hint="eastAsia" w:ascii="仿宋" w:hAnsi="仿宋" w:eastAsia="仿宋"/>
          <w:b/>
          <w:szCs w:val="16"/>
          <w:lang w:eastAsia="zh-CN"/>
        </w:rPr>
      </w:pPr>
      <w:bookmarkStart w:id="237" w:name="bookmark69"/>
      <w:bookmarkEnd w:id="237"/>
      <w:bookmarkStart w:id="238" w:name="_Toc181558051"/>
      <w:bookmarkStart w:id="239" w:name="_Toc182904045"/>
      <w:bookmarkStart w:id="240" w:name="_Toc179818221"/>
      <w:r>
        <w:rPr>
          <w:rFonts w:hint="eastAsia" w:ascii="仿宋" w:hAnsi="仿宋" w:eastAsia="仿宋"/>
          <w:b/>
          <w:szCs w:val="16"/>
          <w:lang w:eastAsia="zh-CN"/>
        </w:rPr>
        <w:t>附件一：调查问卷</w:t>
      </w:r>
      <w:bookmarkEnd w:id="238"/>
      <w:bookmarkEnd w:id="239"/>
      <w:bookmarkEnd w:id="240"/>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1"/>
        <w:gridCol w:w="650"/>
      </w:tblGrid>
      <w:tr w14:paraId="534A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653" w:type="pct"/>
            <w:shd w:val="clear" w:color="auto" w:fill="D8D8D8" w:themeFill="background1" w:themeFillShade="D9"/>
            <w:vAlign w:val="center"/>
          </w:tcPr>
          <w:p w14:paraId="66C7774D">
            <w:pPr>
              <w:spacing w:line="408" w:lineRule="auto"/>
              <w:jc w:val="center"/>
              <w:rPr>
                <w:rFonts w:hint="eastAsia" w:ascii="仿宋" w:hAnsi="仿宋" w:eastAsia="仿宋"/>
                <w:b/>
                <w:sz w:val="18"/>
              </w:rPr>
            </w:pPr>
            <w:r>
              <w:rPr>
                <w:rFonts w:hint="eastAsia" w:ascii="仿宋" w:hAnsi="仿宋" w:eastAsia="仿宋"/>
                <w:b/>
                <w:sz w:val="18"/>
              </w:rPr>
              <w:t>调查项目</w:t>
            </w:r>
          </w:p>
        </w:tc>
        <w:tc>
          <w:tcPr>
            <w:tcW w:w="347" w:type="pct"/>
            <w:shd w:val="clear" w:color="auto" w:fill="D8D8D8" w:themeFill="background1" w:themeFillShade="D9"/>
            <w:vAlign w:val="center"/>
          </w:tcPr>
          <w:p w14:paraId="0D38B37F">
            <w:pPr>
              <w:spacing w:line="408" w:lineRule="auto"/>
              <w:jc w:val="center"/>
              <w:rPr>
                <w:rFonts w:hint="eastAsia" w:ascii="仿宋" w:hAnsi="仿宋" w:eastAsia="仿宋"/>
                <w:b/>
                <w:sz w:val="18"/>
              </w:rPr>
            </w:pPr>
            <w:r>
              <w:rPr>
                <w:rFonts w:hint="eastAsia" w:ascii="仿宋" w:hAnsi="仿宋" w:eastAsia="仿宋"/>
                <w:b/>
                <w:sz w:val="18"/>
              </w:rPr>
              <w:t>选择</w:t>
            </w:r>
          </w:p>
        </w:tc>
      </w:tr>
      <w:tr w14:paraId="1ADB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75A2F802">
            <w:pPr>
              <w:spacing w:line="408" w:lineRule="auto"/>
              <w:rPr>
                <w:rFonts w:hint="eastAsia" w:ascii="仿宋" w:hAnsi="仿宋" w:eastAsia="仿宋"/>
                <w:sz w:val="18"/>
                <w:lang w:eastAsia="zh-CN"/>
              </w:rPr>
            </w:pPr>
            <w:r>
              <w:rPr>
                <w:rFonts w:hint="eastAsia" w:ascii="仿宋" w:hAnsi="仿宋" w:eastAsia="仿宋"/>
                <w:sz w:val="18"/>
                <w:lang w:eastAsia="zh-CN"/>
              </w:rPr>
              <w:t>（1）你认为企业安全生产检查是否增强了企业的安全意识？</w:t>
            </w:r>
            <w:r>
              <w:rPr>
                <w:rFonts w:hint="eastAsia" w:ascii="仿宋" w:hAnsi="仿宋" w:eastAsia="仿宋"/>
                <w:sz w:val="18"/>
                <w:lang w:eastAsia="zh-CN"/>
              </w:rPr>
              <w:br w:type="textWrapping"/>
            </w:r>
            <w:r>
              <w:rPr>
                <w:rFonts w:hint="eastAsia" w:ascii="仿宋" w:hAnsi="仿宋" w:eastAsia="仿宋"/>
                <w:sz w:val="18"/>
                <w:lang w:eastAsia="zh-CN"/>
              </w:rPr>
              <w:t>A:有明显提高</w:t>
            </w:r>
            <w:r>
              <w:rPr>
                <w:rFonts w:hint="eastAsia" w:ascii="仿宋" w:hAnsi="仿宋" w:eastAsia="仿宋"/>
                <w:sz w:val="18"/>
                <w:lang w:eastAsia="zh-CN"/>
              </w:rPr>
              <w:br w:type="textWrapping"/>
            </w:r>
            <w:r>
              <w:rPr>
                <w:rFonts w:hint="eastAsia" w:ascii="仿宋" w:hAnsi="仿宋" w:eastAsia="仿宋"/>
                <w:sz w:val="18"/>
                <w:lang w:eastAsia="zh-CN"/>
              </w:rPr>
              <w:t>B:有一定提高</w:t>
            </w:r>
            <w:r>
              <w:rPr>
                <w:rFonts w:hint="eastAsia" w:ascii="仿宋" w:hAnsi="仿宋" w:eastAsia="仿宋"/>
                <w:sz w:val="18"/>
                <w:lang w:eastAsia="zh-CN"/>
              </w:rPr>
              <w:br w:type="textWrapping"/>
            </w:r>
            <w:r>
              <w:rPr>
                <w:rFonts w:hint="eastAsia" w:ascii="仿宋" w:hAnsi="仿宋" w:eastAsia="仿宋"/>
                <w:sz w:val="18"/>
                <w:lang w:eastAsia="zh-CN"/>
              </w:rPr>
              <w:t>C:有小幅度提高</w:t>
            </w:r>
          </w:p>
        </w:tc>
        <w:tc>
          <w:tcPr>
            <w:tcW w:w="347" w:type="pct"/>
            <w:shd w:val="clear" w:color="auto" w:fill="auto"/>
            <w:vAlign w:val="center"/>
          </w:tcPr>
          <w:p w14:paraId="08114DA1">
            <w:pPr>
              <w:spacing w:line="408" w:lineRule="auto"/>
              <w:rPr>
                <w:rFonts w:hint="eastAsia" w:ascii="仿宋" w:hAnsi="仿宋" w:eastAsia="仿宋"/>
                <w:sz w:val="18"/>
                <w:lang w:eastAsia="zh-CN"/>
              </w:rPr>
            </w:pPr>
          </w:p>
        </w:tc>
      </w:tr>
      <w:tr w14:paraId="0D7D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7F07DDBE">
            <w:pPr>
              <w:spacing w:line="408" w:lineRule="auto"/>
              <w:rPr>
                <w:rFonts w:hint="eastAsia" w:ascii="仿宋" w:hAnsi="仿宋" w:eastAsia="仿宋"/>
                <w:sz w:val="18"/>
                <w:lang w:eastAsia="zh-CN"/>
              </w:rPr>
            </w:pPr>
            <w:r>
              <w:rPr>
                <w:rFonts w:hint="eastAsia" w:ascii="仿宋" w:hAnsi="仿宋" w:eastAsia="仿宋"/>
                <w:sz w:val="18"/>
                <w:lang w:eastAsia="zh-CN"/>
              </w:rPr>
              <w:t>（2）你认为洛江区应急管理局的安全宣传是否增强了群众的安全意识？</w:t>
            </w:r>
            <w:r>
              <w:rPr>
                <w:rFonts w:hint="eastAsia" w:ascii="仿宋" w:hAnsi="仿宋" w:eastAsia="仿宋"/>
                <w:sz w:val="18"/>
                <w:lang w:eastAsia="zh-CN"/>
              </w:rPr>
              <w:br w:type="textWrapping"/>
            </w:r>
            <w:r>
              <w:rPr>
                <w:rFonts w:hint="eastAsia" w:ascii="仿宋" w:hAnsi="仿宋" w:eastAsia="仿宋"/>
                <w:sz w:val="18"/>
                <w:lang w:eastAsia="zh-CN"/>
              </w:rPr>
              <w:t>A:有明显提高</w:t>
            </w:r>
            <w:r>
              <w:rPr>
                <w:rFonts w:hint="eastAsia" w:ascii="仿宋" w:hAnsi="仿宋" w:eastAsia="仿宋"/>
                <w:sz w:val="18"/>
                <w:lang w:eastAsia="zh-CN"/>
              </w:rPr>
              <w:br w:type="textWrapping"/>
            </w:r>
            <w:r>
              <w:rPr>
                <w:rFonts w:hint="eastAsia" w:ascii="仿宋" w:hAnsi="仿宋" w:eastAsia="仿宋"/>
                <w:sz w:val="18"/>
                <w:lang w:eastAsia="zh-CN"/>
              </w:rPr>
              <w:t>B:有一定提高</w:t>
            </w:r>
            <w:r>
              <w:rPr>
                <w:rFonts w:hint="eastAsia" w:ascii="仿宋" w:hAnsi="仿宋" w:eastAsia="仿宋"/>
                <w:sz w:val="18"/>
                <w:lang w:eastAsia="zh-CN"/>
              </w:rPr>
              <w:br w:type="textWrapping"/>
            </w:r>
            <w:r>
              <w:rPr>
                <w:rFonts w:hint="eastAsia" w:ascii="仿宋" w:hAnsi="仿宋" w:eastAsia="仿宋"/>
                <w:sz w:val="18"/>
                <w:lang w:eastAsia="zh-CN"/>
              </w:rPr>
              <w:t>C:有小幅度提高</w:t>
            </w:r>
          </w:p>
        </w:tc>
        <w:tc>
          <w:tcPr>
            <w:tcW w:w="347" w:type="pct"/>
            <w:shd w:val="clear" w:color="auto" w:fill="auto"/>
            <w:vAlign w:val="center"/>
          </w:tcPr>
          <w:p w14:paraId="6BD2B530">
            <w:pPr>
              <w:spacing w:line="408" w:lineRule="auto"/>
              <w:rPr>
                <w:rFonts w:hint="eastAsia" w:ascii="仿宋" w:hAnsi="仿宋" w:eastAsia="仿宋"/>
                <w:sz w:val="18"/>
                <w:lang w:eastAsia="zh-CN"/>
              </w:rPr>
            </w:pPr>
          </w:p>
        </w:tc>
      </w:tr>
      <w:tr w14:paraId="380A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2F20C562">
            <w:pPr>
              <w:spacing w:line="408" w:lineRule="auto"/>
              <w:rPr>
                <w:rFonts w:hint="eastAsia" w:ascii="仿宋" w:hAnsi="仿宋" w:eastAsia="仿宋"/>
                <w:sz w:val="18"/>
                <w:lang w:eastAsia="zh-CN"/>
              </w:rPr>
            </w:pPr>
            <w:r>
              <w:rPr>
                <w:rFonts w:hint="eastAsia" w:ascii="仿宋" w:hAnsi="仿宋" w:eastAsia="仿宋"/>
                <w:sz w:val="18"/>
                <w:lang w:eastAsia="zh-CN"/>
              </w:rPr>
              <w:t>（3）你认为洛江区应急管理局的群众救援响应速度是否有提高？</w:t>
            </w:r>
            <w:r>
              <w:rPr>
                <w:rFonts w:hint="eastAsia" w:ascii="仿宋" w:hAnsi="仿宋" w:eastAsia="仿宋"/>
                <w:sz w:val="18"/>
                <w:lang w:eastAsia="zh-CN"/>
              </w:rPr>
              <w:br w:type="textWrapping"/>
            </w:r>
            <w:r>
              <w:rPr>
                <w:rFonts w:hint="eastAsia" w:ascii="仿宋" w:hAnsi="仿宋" w:eastAsia="仿宋"/>
                <w:sz w:val="18"/>
                <w:lang w:eastAsia="zh-CN"/>
              </w:rPr>
              <w:t>A:有明显提高</w:t>
            </w:r>
            <w:r>
              <w:rPr>
                <w:rFonts w:hint="eastAsia" w:ascii="仿宋" w:hAnsi="仿宋" w:eastAsia="仿宋"/>
                <w:sz w:val="18"/>
                <w:lang w:eastAsia="zh-CN"/>
              </w:rPr>
              <w:br w:type="textWrapping"/>
            </w:r>
            <w:r>
              <w:rPr>
                <w:rFonts w:hint="eastAsia" w:ascii="仿宋" w:hAnsi="仿宋" w:eastAsia="仿宋"/>
                <w:sz w:val="18"/>
                <w:lang w:eastAsia="zh-CN"/>
              </w:rPr>
              <w:t>B:有一定提高</w:t>
            </w:r>
            <w:r>
              <w:rPr>
                <w:rFonts w:hint="eastAsia" w:ascii="仿宋" w:hAnsi="仿宋" w:eastAsia="仿宋"/>
                <w:sz w:val="18"/>
                <w:lang w:eastAsia="zh-CN"/>
              </w:rPr>
              <w:br w:type="textWrapping"/>
            </w:r>
            <w:r>
              <w:rPr>
                <w:rFonts w:hint="eastAsia" w:ascii="仿宋" w:hAnsi="仿宋" w:eastAsia="仿宋"/>
                <w:sz w:val="18"/>
                <w:lang w:eastAsia="zh-CN"/>
              </w:rPr>
              <w:t>C:有小幅度提高</w:t>
            </w:r>
          </w:p>
        </w:tc>
        <w:tc>
          <w:tcPr>
            <w:tcW w:w="347" w:type="pct"/>
            <w:shd w:val="clear" w:color="auto" w:fill="auto"/>
            <w:vAlign w:val="center"/>
          </w:tcPr>
          <w:p w14:paraId="17411D37">
            <w:pPr>
              <w:spacing w:line="408" w:lineRule="auto"/>
              <w:rPr>
                <w:rFonts w:hint="eastAsia" w:ascii="仿宋" w:hAnsi="仿宋" w:eastAsia="仿宋"/>
                <w:sz w:val="18"/>
                <w:lang w:eastAsia="zh-CN"/>
              </w:rPr>
            </w:pPr>
          </w:p>
        </w:tc>
      </w:tr>
      <w:tr w14:paraId="61FD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07F40A8E">
            <w:pPr>
              <w:spacing w:line="408" w:lineRule="auto"/>
              <w:rPr>
                <w:rFonts w:hint="eastAsia" w:ascii="仿宋" w:hAnsi="仿宋" w:eastAsia="仿宋"/>
                <w:sz w:val="18"/>
                <w:lang w:eastAsia="zh-CN"/>
              </w:rPr>
            </w:pPr>
            <w:r>
              <w:rPr>
                <w:rFonts w:hint="eastAsia" w:ascii="仿宋" w:hAnsi="仿宋" w:eastAsia="仿宋"/>
                <w:sz w:val="18"/>
                <w:lang w:eastAsia="zh-CN"/>
              </w:rPr>
              <w:t>（4）你对洛江区应急管理局的防汛能力是否感到满意？</w:t>
            </w:r>
            <w:r>
              <w:rPr>
                <w:rFonts w:hint="eastAsia" w:ascii="仿宋" w:hAnsi="仿宋" w:eastAsia="仿宋"/>
                <w:sz w:val="18"/>
                <w:lang w:eastAsia="zh-CN"/>
              </w:rPr>
              <w:br w:type="textWrapping"/>
            </w:r>
            <w:r>
              <w:rPr>
                <w:rFonts w:hint="eastAsia" w:ascii="仿宋" w:hAnsi="仿宋" w:eastAsia="仿宋"/>
                <w:sz w:val="18"/>
                <w:lang w:eastAsia="zh-CN"/>
              </w:rPr>
              <w:t>A:非常满意</w:t>
            </w:r>
            <w:r>
              <w:rPr>
                <w:rFonts w:hint="eastAsia" w:ascii="仿宋" w:hAnsi="仿宋" w:eastAsia="仿宋"/>
                <w:sz w:val="18"/>
                <w:lang w:eastAsia="zh-CN"/>
              </w:rPr>
              <w:br w:type="textWrapping"/>
            </w:r>
            <w:r>
              <w:rPr>
                <w:rFonts w:hint="eastAsia" w:ascii="仿宋" w:hAnsi="仿宋" w:eastAsia="仿宋"/>
                <w:sz w:val="18"/>
                <w:lang w:eastAsia="zh-CN"/>
              </w:rPr>
              <w:t>B:基本满意</w:t>
            </w:r>
            <w:r>
              <w:rPr>
                <w:rFonts w:hint="eastAsia" w:ascii="仿宋" w:hAnsi="仿宋" w:eastAsia="仿宋"/>
                <w:sz w:val="18"/>
                <w:lang w:eastAsia="zh-CN"/>
              </w:rPr>
              <w:br w:type="textWrapping"/>
            </w:r>
            <w:r>
              <w:rPr>
                <w:rFonts w:hint="eastAsia" w:ascii="仿宋" w:hAnsi="仿宋" w:eastAsia="仿宋"/>
                <w:sz w:val="18"/>
                <w:lang w:eastAsia="zh-CN"/>
              </w:rPr>
              <w:t>C:有一定投诉</w:t>
            </w:r>
            <w:r>
              <w:rPr>
                <w:rFonts w:hint="eastAsia" w:ascii="仿宋" w:hAnsi="仿宋" w:eastAsia="仿宋"/>
                <w:sz w:val="18"/>
                <w:lang w:eastAsia="zh-CN"/>
              </w:rPr>
              <w:br w:type="textWrapping"/>
            </w:r>
            <w:r>
              <w:rPr>
                <w:rFonts w:hint="eastAsia" w:ascii="仿宋" w:hAnsi="仿宋" w:eastAsia="仿宋"/>
                <w:sz w:val="18"/>
                <w:lang w:eastAsia="zh-CN"/>
              </w:rPr>
              <w:t>D：不满意</w:t>
            </w:r>
          </w:p>
        </w:tc>
        <w:tc>
          <w:tcPr>
            <w:tcW w:w="347" w:type="pct"/>
            <w:shd w:val="clear" w:color="auto" w:fill="auto"/>
            <w:vAlign w:val="center"/>
          </w:tcPr>
          <w:p w14:paraId="38459F4F">
            <w:pPr>
              <w:spacing w:line="408" w:lineRule="auto"/>
              <w:rPr>
                <w:rFonts w:hint="eastAsia" w:ascii="仿宋" w:hAnsi="仿宋" w:eastAsia="仿宋"/>
                <w:sz w:val="18"/>
                <w:lang w:eastAsia="zh-CN"/>
              </w:rPr>
            </w:pPr>
          </w:p>
        </w:tc>
      </w:tr>
      <w:tr w14:paraId="0434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54A21728">
            <w:pPr>
              <w:spacing w:line="408" w:lineRule="auto"/>
              <w:rPr>
                <w:rFonts w:hint="eastAsia" w:ascii="仿宋" w:hAnsi="仿宋" w:eastAsia="仿宋"/>
                <w:sz w:val="18"/>
                <w:lang w:eastAsia="zh-CN"/>
              </w:rPr>
            </w:pPr>
            <w:r>
              <w:rPr>
                <w:rFonts w:hint="eastAsia" w:ascii="仿宋" w:hAnsi="仿宋" w:eastAsia="仿宋"/>
                <w:sz w:val="18"/>
                <w:lang w:eastAsia="zh-CN"/>
              </w:rPr>
              <w:t>（5）你对洛江区应急管理局的联勤中心建设是否感到满意？</w:t>
            </w:r>
            <w:r>
              <w:rPr>
                <w:rFonts w:hint="eastAsia" w:ascii="仿宋" w:hAnsi="仿宋" w:eastAsia="仿宋"/>
                <w:sz w:val="18"/>
                <w:lang w:eastAsia="zh-CN"/>
              </w:rPr>
              <w:br w:type="textWrapping"/>
            </w:r>
            <w:r>
              <w:rPr>
                <w:rFonts w:hint="eastAsia" w:ascii="仿宋" w:hAnsi="仿宋" w:eastAsia="仿宋"/>
                <w:sz w:val="18"/>
              </w:rPr>
              <w:t>A:非常满意</w:t>
            </w:r>
            <w:r>
              <w:rPr>
                <w:rFonts w:hint="eastAsia" w:ascii="仿宋" w:hAnsi="仿宋" w:eastAsia="仿宋"/>
                <w:sz w:val="18"/>
              </w:rPr>
              <w:br w:type="textWrapping"/>
            </w:r>
            <w:r>
              <w:rPr>
                <w:rFonts w:hint="eastAsia" w:ascii="仿宋" w:hAnsi="仿宋" w:eastAsia="仿宋"/>
                <w:sz w:val="18"/>
              </w:rPr>
              <w:t>B:基本满意</w:t>
            </w:r>
            <w:r>
              <w:rPr>
                <w:rFonts w:hint="eastAsia" w:ascii="仿宋" w:hAnsi="仿宋" w:eastAsia="仿宋"/>
                <w:sz w:val="18"/>
              </w:rPr>
              <w:br w:type="textWrapping"/>
            </w:r>
            <w:r>
              <w:rPr>
                <w:rFonts w:hint="eastAsia" w:ascii="仿宋" w:hAnsi="仿宋" w:eastAsia="仿宋"/>
                <w:sz w:val="18"/>
              </w:rPr>
              <w:t>C:有一定投诉</w:t>
            </w:r>
            <w:r>
              <w:rPr>
                <w:rFonts w:hint="eastAsia" w:ascii="仿宋" w:hAnsi="仿宋" w:eastAsia="仿宋"/>
                <w:sz w:val="18"/>
              </w:rPr>
              <w:br w:type="textWrapping"/>
            </w:r>
            <w:r>
              <w:rPr>
                <w:rFonts w:hint="eastAsia" w:ascii="仿宋" w:hAnsi="仿宋" w:eastAsia="仿宋"/>
                <w:sz w:val="18"/>
              </w:rPr>
              <w:t>D：不满意</w:t>
            </w:r>
          </w:p>
        </w:tc>
        <w:tc>
          <w:tcPr>
            <w:tcW w:w="347" w:type="pct"/>
            <w:shd w:val="clear" w:color="auto" w:fill="auto"/>
            <w:vAlign w:val="center"/>
          </w:tcPr>
          <w:p w14:paraId="695F32FE">
            <w:pPr>
              <w:spacing w:line="408" w:lineRule="auto"/>
              <w:rPr>
                <w:rFonts w:hint="eastAsia" w:ascii="仿宋" w:hAnsi="仿宋" w:eastAsia="仿宋"/>
                <w:sz w:val="18"/>
                <w:lang w:eastAsia="zh-CN"/>
              </w:rPr>
            </w:pPr>
          </w:p>
        </w:tc>
      </w:tr>
      <w:tr w14:paraId="56F4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653" w:type="pct"/>
            <w:shd w:val="clear" w:color="auto" w:fill="auto"/>
            <w:vAlign w:val="center"/>
          </w:tcPr>
          <w:p w14:paraId="6201F402">
            <w:pPr>
              <w:spacing w:line="408" w:lineRule="auto"/>
              <w:rPr>
                <w:rFonts w:hint="eastAsia" w:ascii="仿宋" w:hAnsi="仿宋" w:eastAsia="仿宋"/>
                <w:sz w:val="18"/>
                <w:lang w:eastAsia="zh-CN"/>
              </w:rPr>
            </w:pPr>
            <w:r>
              <w:rPr>
                <w:rFonts w:hint="eastAsia" w:ascii="仿宋" w:hAnsi="仿宋" w:eastAsia="仿宋"/>
                <w:sz w:val="18"/>
                <w:lang w:eastAsia="zh-CN"/>
              </w:rPr>
              <w:t>（6）你对洛江区应急管理局的工作及对人民群众的贡献是否感到满意？</w:t>
            </w:r>
            <w:r>
              <w:rPr>
                <w:rFonts w:hint="eastAsia" w:ascii="仿宋" w:hAnsi="仿宋" w:eastAsia="仿宋"/>
                <w:sz w:val="18"/>
                <w:lang w:eastAsia="zh-CN"/>
              </w:rPr>
              <w:br w:type="textWrapping"/>
            </w:r>
            <w:r>
              <w:rPr>
                <w:rFonts w:hint="eastAsia" w:ascii="仿宋" w:hAnsi="仿宋" w:eastAsia="仿宋"/>
                <w:sz w:val="18"/>
                <w:lang w:eastAsia="zh-CN"/>
              </w:rPr>
              <w:t>A:非常满意</w:t>
            </w:r>
            <w:r>
              <w:rPr>
                <w:rFonts w:hint="eastAsia" w:ascii="仿宋" w:hAnsi="仿宋" w:eastAsia="仿宋"/>
                <w:sz w:val="18"/>
                <w:lang w:eastAsia="zh-CN"/>
              </w:rPr>
              <w:br w:type="textWrapping"/>
            </w:r>
            <w:r>
              <w:rPr>
                <w:rFonts w:hint="eastAsia" w:ascii="仿宋" w:hAnsi="仿宋" w:eastAsia="仿宋"/>
                <w:sz w:val="18"/>
                <w:lang w:eastAsia="zh-CN"/>
              </w:rPr>
              <w:t>B:基本满意</w:t>
            </w:r>
            <w:r>
              <w:rPr>
                <w:rFonts w:hint="eastAsia" w:ascii="仿宋" w:hAnsi="仿宋" w:eastAsia="仿宋"/>
                <w:sz w:val="18"/>
                <w:lang w:eastAsia="zh-CN"/>
              </w:rPr>
              <w:br w:type="textWrapping"/>
            </w:r>
            <w:r>
              <w:rPr>
                <w:rFonts w:hint="eastAsia" w:ascii="仿宋" w:hAnsi="仿宋" w:eastAsia="仿宋"/>
                <w:sz w:val="18"/>
                <w:lang w:eastAsia="zh-CN"/>
              </w:rPr>
              <w:t>C:有一定投诉</w:t>
            </w:r>
            <w:r>
              <w:rPr>
                <w:rFonts w:hint="eastAsia" w:ascii="仿宋" w:hAnsi="仿宋" w:eastAsia="仿宋"/>
                <w:sz w:val="18"/>
                <w:lang w:eastAsia="zh-CN"/>
              </w:rPr>
              <w:br w:type="textWrapping"/>
            </w:r>
            <w:r>
              <w:rPr>
                <w:rFonts w:hint="eastAsia" w:ascii="仿宋" w:hAnsi="仿宋" w:eastAsia="仿宋"/>
                <w:sz w:val="18"/>
                <w:lang w:eastAsia="zh-CN"/>
              </w:rPr>
              <w:t>D：不满意</w:t>
            </w:r>
          </w:p>
        </w:tc>
        <w:tc>
          <w:tcPr>
            <w:tcW w:w="347" w:type="pct"/>
            <w:shd w:val="clear" w:color="auto" w:fill="auto"/>
            <w:vAlign w:val="center"/>
          </w:tcPr>
          <w:p w14:paraId="7FFAE370">
            <w:pPr>
              <w:spacing w:line="408" w:lineRule="auto"/>
              <w:rPr>
                <w:rFonts w:hint="eastAsia" w:ascii="仿宋" w:hAnsi="仿宋" w:eastAsia="仿宋"/>
                <w:sz w:val="18"/>
                <w:lang w:eastAsia="zh-CN"/>
              </w:rPr>
            </w:pPr>
          </w:p>
        </w:tc>
      </w:tr>
    </w:tbl>
    <w:p w14:paraId="73CAF992">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4CD53B7E">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2B582884">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70171E53">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41F35634">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2F3EF311">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1CFF956A">
      <w:pPr>
        <w:spacing w:line="408" w:lineRule="auto"/>
        <w:ind w:firstLine="422" w:firstLineChars="200"/>
        <w:outlineLvl w:val="0"/>
        <w:rPr>
          <w:rFonts w:hint="eastAsia" w:ascii="仿宋" w:hAnsi="仿宋" w:eastAsia="仿宋"/>
          <w:b/>
          <w:szCs w:val="16"/>
          <w:lang w:eastAsia="zh-CN"/>
        </w:rPr>
      </w:pPr>
      <w:bookmarkStart w:id="241" w:name="_Toc179818222"/>
      <w:bookmarkStart w:id="242" w:name="_Toc181558052"/>
      <w:bookmarkStart w:id="243" w:name="_Toc182904046"/>
      <w:r>
        <w:rPr>
          <w:rFonts w:hint="eastAsia" w:ascii="仿宋" w:hAnsi="仿宋" w:eastAsia="仿宋"/>
          <w:b/>
          <w:szCs w:val="16"/>
          <w:lang w:eastAsia="zh-CN"/>
        </w:rPr>
        <w:t>附件二：访谈相关照片</w:t>
      </w:r>
      <w:bookmarkEnd w:id="241"/>
      <w:bookmarkEnd w:id="242"/>
      <w:bookmarkEnd w:id="243"/>
    </w:p>
    <w:p w14:paraId="1413CCDE">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6065766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76647"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t xml:space="preserve">  </w:t>
      </w: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14159301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30162"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p>
    <w:p w14:paraId="56A70D74">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9880895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8959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t xml:space="preserve">  </w:t>
      </w: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9228657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65739"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p>
    <w:p w14:paraId="61BC0CCE">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20925028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0280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r>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t xml:space="preserve">  </w:t>
      </w:r>
      <w:r>
        <w:rPr>
          <w:rFonts w:ascii="仿宋" w:hAnsi="仿宋" w:eastAsia="仿宋" w:cs="仿宋"/>
          <w:b/>
          <w:bCs/>
          <w:color w:val="auto"/>
          <w:spacing w:val="-1"/>
          <w:lang w:eastAsia="zh-CN"/>
          <w14:textOutline w14:w="5105" w14:cap="sq" w14:cmpd="sng" w14:algn="ctr">
            <w14:solidFill>
              <w14:srgbClr w14:val="000000"/>
            </w14:solidFill>
            <w14:prstDash w14:val="solid"/>
            <w14:bevel/>
          </w14:textOutline>
        </w:rPr>
        <w:drawing>
          <wp:inline distT="0" distB="0" distL="0" distR="0">
            <wp:extent cx="2400935" cy="1799590"/>
            <wp:effectExtent l="0" t="0" r="0" b="0"/>
            <wp:docPr id="2780635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63512"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1200" cy="1800000"/>
                    </a:xfrm>
                    <a:prstGeom prst="rect">
                      <a:avLst/>
                    </a:prstGeom>
                    <a:noFill/>
                    <a:ln>
                      <a:noFill/>
                    </a:ln>
                  </pic:spPr>
                </pic:pic>
              </a:graphicData>
            </a:graphic>
          </wp:inline>
        </w:drawing>
      </w:r>
    </w:p>
    <w:p w14:paraId="064429BC">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0001BE2F">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5DE9BCFB">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6B03D3F5">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0CE73F7D">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1E7B5E07">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7DD2EE2F">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20087165">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7EF2EDF4">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489FA7AB">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2FF0390B">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2DC92062">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p w14:paraId="17EC0AB9">
      <w:pPr>
        <w:spacing w:line="408" w:lineRule="auto"/>
        <w:ind w:firstLine="422" w:firstLineChars="200"/>
        <w:outlineLvl w:val="0"/>
        <w:rPr>
          <w:rFonts w:hint="eastAsia" w:ascii="仿宋" w:hAnsi="仿宋" w:eastAsia="仿宋"/>
          <w:b/>
          <w:szCs w:val="16"/>
          <w:lang w:eastAsia="zh-CN"/>
        </w:rPr>
      </w:pPr>
      <w:bookmarkStart w:id="244" w:name="_Toc182904047"/>
      <w:bookmarkStart w:id="245" w:name="_Toc179818223"/>
      <w:bookmarkStart w:id="246" w:name="_Toc181558053"/>
      <w:r>
        <w:rPr>
          <w:rFonts w:hint="eastAsia" w:ascii="仿宋" w:hAnsi="仿宋" w:eastAsia="仿宋"/>
          <w:b/>
          <w:szCs w:val="16"/>
          <w:lang w:eastAsia="zh-CN"/>
        </w:rPr>
        <w:t>附件三：绩效评价指标体系及得分情况表</w:t>
      </w:r>
      <w:bookmarkEnd w:id="244"/>
      <w:bookmarkEnd w:id="245"/>
      <w:bookmarkEnd w:id="246"/>
    </w:p>
    <w:tbl>
      <w:tblPr>
        <w:tblStyle w:val="9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164"/>
        <w:gridCol w:w="1691"/>
        <w:gridCol w:w="1831"/>
        <w:gridCol w:w="2804"/>
        <w:gridCol w:w="489"/>
        <w:gridCol w:w="489"/>
      </w:tblGrid>
      <w:tr w14:paraId="5F97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shd w:val="clear" w:color="auto" w:fill="D8D8D8" w:themeFill="background1" w:themeFillShade="D9"/>
            <w:vAlign w:val="center"/>
          </w:tcPr>
          <w:p w14:paraId="55641ABF">
            <w:pPr>
              <w:spacing w:line="408" w:lineRule="auto"/>
              <w:jc w:val="center"/>
              <w:rPr>
                <w:rFonts w:hint="eastAsia" w:ascii="仿宋" w:hAnsi="仿宋" w:eastAsia="仿宋"/>
                <w:b/>
                <w:sz w:val="18"/>
              </w:rPr>
            </w:pPr>
            <w:r>
              <w:rPr>
                <w:rFonts w:hint="eastAsia" w:ascii="仿宋" w:hAnsi="仿宋" w:eastAsia="仿宋"/>
                <w:b/>
                <w:sz w:val="18"/>
              </w:rPr>
              <w:t>一级指标</w:t>
            </w:r>
          </w:p>
        </w:tc>
        <w:tc>
          <w:tcPr>
            <w:tcW w:w="621" w:type="pct"/>
            <w:shd w:val="clear" w:color="auto" w:fill="D8D8D8" w:themeFill="background1" w:themeFillShade="D9"/>
            <w:vAlign w:val="center"/>
          </w:tcPr>
          <w:p w14:paraId="7C62EC6C">
            <w:pPr>
              <w:spacing w:line="408" w:lineRule="auto"/>
              <w:jc w:val="center"/>
              <w:rPr>
                <w:rFonts w:hint="eastAsia" w:ascii="仿宋" w:hAnsi="仿宋" w:eastAsia="仿宋"/>
                <w:b/>
                <w:sz w:val="18"/>
              </w:rPr>
            </w:pPr>
            <w:r>
              <w:rPr>
                <w:rFonts w:hint="eastAsia" w:ascii="仿宋" w:hAnsi="仿宋" w:eastAsia="仿宋"/>
                <w:b/>
                <w:sz w:val="18"/>
              </w:rPr>
              <w:t>二级指标</w:t>
            </w:r>
          </w:p>
        </w:tc>
        <w:tc>
          <w:tcPr>
            <w:tcW w:w="902" w:type="pct"/>
            <w:shd w:val="clear" w:color="auto" w:fill="D8D8D8" w:themeFill="background1" w:themeFillShade="D9"/>
            <w:vAlign w:val="center"/>
          </w:tcPr>
          <w:p w14:paraId="7A14DFAB">
            <w:pPr>
              <w:spacing w:line="408" w:lineRule="auto"/>
              <w:jc w:val="center"/>
              <w:rPr>
                <w:rFonts w:hint="eastAsia" w:ascii="仿宋" w:hAnsi="仿宋" w:eastAsia="仿宋"/>
                <w:b/>
                <w:sz w:val="18"/>
              </w:rPr>
            </w:pPr>
            <w:r>
              <w:rPr>
                <w:rFonts w:hint="eastAsia" w:ascii="仿宋" w:hAnsi="仿宋" w:eastAsia="仿宋"/>
                <w:b/>
                <w:sz w:val="18"/>
              </w:rPr>
              <w:t>三级指标</w:t>
            </w:r>
          </w:p>
        </w:tc>
        <w:tc>
          <w:tcPr>
            <w:tcW w:w="977" w:type="pct"/>
            <w:shd w:val="clear" w:color="auto" w:fill="D8D8D8" w:themeFill="background1" w:themeFillShade="D9"/>
            <w:vAlign w:val="center"/>
          </w:tcPr>
          <w:p w14:paraId="0DD5ADD1">
            <w:pPr>
              <w:spacing w:line="408" w:lineRule="auto"/>
              <w:jc w:val="center"/>
              <w:rPr>
                <w:rFonts w:hint="eastAsia" w:ascii="仿宋" w:hAnsi="仿宋" w:eastAsia="仿宋"/>
                <w:b/>
                <w:sz w:val="18"/>
              </w:rPr>
            </w:pPr>
            <w:r>
              <w:rPr>
                <w:rFonts w:hint="eastAsia" w:ascii="仿宋" w:hAnsi="仿宋" w:eastAsia="仿宋"/>
                <w:b/>
                <w:sz w:val="18"/>
              </w:rPr>
              <w:t>指标解释</w:t>
            </w:r>
          </w:p>
        </w:tc>
        <w:tc>
          <w:tcPr>
            <w:tcW w:w="1496" w:type="pct"/>
            <w:shd w:val="clear" w:color="auto" w:fill="D8D8D8" w:themeFill="background1" w:themeFillShade="D9"/>
            <w:vAlign w:val="center"/>
          </w:tcPr>
          <w:p w14:paraId="5979E6CB">
            <w:pPr>
              <w:spacing w:line="408" w:lineRule="auto"/>
              <w:jc w:val="center"/>
              <w:rPr>
                <w:rFonts w:hint="eastAsia" w:ascii="仿宋" w:hAnsi="仿宋" w:eastAsia="仿宋"/>
                <w:b/>
                <w:sz w:val="18"/>
              </w:rPr>
            </w:pPr>
            <w:r>
              <w:rPr>
                <w:rFonts w:hint="eastAsia" w:ascii="仿宋" w:hAnsi="仿宋" w:eastAsia="仿宋"/>
                <w:b/>
                <w:sz w:val="18"/>
              </w:rPr>
              <w:t>评分标准</w:t>
            </w:r>
          </w:p>
        </w:tc>
        <w:tc>
          <w:tcPr>
            <w:tcW w:w="261" w:type="pct"/>
            <w:shd w:val="clear" w:color="auto" w:fill="D8D8D8" w:themeFill="background1" w:themeFillShade="D9"/>
            <w:vAlign w:val="center"/>
          </w:tcPr>
          <w:p w14:paraId="3497D89B">
            <w:pPr>
              <w:spacing w:line="408" w:lineRule="auto"/>
              <w:jc w:val="center"/>
              <w:rPr>
                <w:rFonts w:hint="eastAsia" w:ascii="仿宋" w:hAnsi="仿宋" w:eastAsia="仿宋"/>
                <w:b/>
                <w:sz w:val="18"/>
              </w:rPr>
            </w:pPr>
            <w:r>
              <w:rPr>
                <w:rFonts w:hint="eastAsia" w:ascii="仿宋" w:hAnsi="仿宋" w:eastAsia="仿宋"/>
                <w:b/>
                <w:sz w:val="18"/>
              </w:rPr>
              <w:t>分值</w:t>
            </w:r>
          </w:p>
        </w:tc>
        <w:tc>
          <w:tcPr>
            <w:tcW w:w="261" w:type="pct"/>
            <w:shd w:val="clear" w:color="auto" w:fill="D8D8D8" w:themeFill="background1" w:themeFillShade="D9"/>
            <w:vAlign w:val="center"/>
          </w:tcPr>
          <w:p w14:paraId="405D8A80">
            <w:pPr>
              <w:spacing w:line="408" w:lineRule="auto"/>
              <w:jc w:val="center"/>
              <w:rPr>
                <w:rFonts w:hint="eastAsia" w:ascii="仿宋" w:hAnsi="仿宋" w:eastAsia="仿宋"/>
                <w:b/>
                <w:sz w:val="18"/>
              </w:rPr>
            </w:pPr>
            <w:r>
              <w:rPr>
                <w:rFonts w:hint="eastAsia" w:ascii="仿宋" w:hAnsi="仿宋" w:eastAsia="仿宋"/>
                <w:b/>
                <w:sz w:val="18"/>
              </w:rPr>
              <w:t>得分</w:t>
            </w:r>
          </w:p>
        </w:tc>
      </w:tr>
      <w:tr w14:paraId="38AD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restart"/>
            <w:shd w:val="clear" w:color="auto" w:fill="auto"/>
            <w:vAlign w:val="center"/>
          </w:tcPr>
          <w:p w14:paraId="5786FF0F">
            <w:pPr>
              <w:spacing w:line="408" w:lineRule="auto"/>
              <w:rPr>
                <w:rFonts w:hint="eastAsia" w:ascii="仿宋" w:hAnsi="仿宋" w:eastAsia="仿宋"/>
                <w:bCs/>
                <w:sz w:val="18"/>
              </w:rPr>
            </w:pPr>
            <w:r>
              <w:rPr>
                <w:rFonts w:hint="eastAsia" w:ascii="仿宋" w:hAnsi="仿宋" w:eastAsia="仿宋"/>
                <w:bCs/>
                <w:sz w:val="18"/>
              </w:rPr>
              <w:t>投入(15%）</w:t>
            </w:r>
          </w:p>
        </w:tc>
        <w:tc>
          <w:tcPr>
            <w:tcW w:w="621" w:type="pct"/>
            <w:vMerge w:val="restart"/>
            <w:shd w:val="clear" w:color="auto" w:fill="auto"/>
            <w:vAlign w:val="center"/>
          </w:tcPr>
          <w:p w14:paraId="70F3C354">
            <w:pPr>
              <w:spacing w:line="408" w:lineRule="auto"/>
              <w:rPr>
                <w:rFonts w:hint="eastAsia" w:ascii="仿宋" w:hAnsi="仿宋" w:eastAsia="仿宋"/>
                <w:bCs/>
                <w:sz w:val="18"/>
              </w:rPr>
            </w:pPr>
            <w:r>
              <w:rPr>
                <w:rFonts w:hint="eastAsia" w:ascii="仿宋" w:hAnsi="仿宋" w:eastAsia="仿宋"/>
                <w:bCs/>
                <w:sz w:val="18"/>
              </w:rPr>
              <w:t>目标设定（6分）</w:t>
            </w:r>
          </w:p>
        </w:tc>
        <w:tc>
          <w:tcPr>
            <w:tcW w:w="902" w:type="pct"/>
            <w:shd w:val="clear" w:color="auto" w:fill="auto"/>
            <w:vAlign w:val="center"/>
          </w:tcPr>
          <w:p w14:paraId="52996866">
            <w:pPr>
              <w:spacing w:line="408" w:lineRule="auto"/>
              <w:rPr>
                <w:rFonts w:hint="eastAsia" w:ascii="仿宋" w:hAnsi="仿宋" w:eastAsia="仿宋"/>
                <w:bCs/>
                <w:sz w:val="18"/>
                <w:lang w:eastAsia="zh-CN"/>
              </w:rPr>
            </w:pPr>
            <w:r>
              <w:rPr>
                <w:rFonts w:hint="eastAsia" w:ascii="仿宋" w:hAnsi="仿宋" w:eastAsia="仿宋"/>
                <w:bCs/>
                <w:sz w:val="18"/>
                <w:lang w:eastAsia="zh-CN"/>
              </w:rPr>
              <w:t>绩效目标合理性（3分）</w:t>
            </w:r>
          </w:p>
        </w:tc>
        <w:tc>
          <w:tcPr>
            <w:tcW w:w="977" w:type="pct"/>
            <w:shd w:val="clear" w:color="auto" w:fill="auto"/>
            <w:vAlign w:val="center"/>
          </w:tcPr>
          <w:p w14:paraId="6246E6B2">
            <w:pPr>
              <w:spacing w:line="408" w:lineRule="auto"/>
              <w:rPr>
                <w:rFonts w:hint="eastAsia" w:ascii="仿宋" w:hAnsi="仿宋" w:eastAsia="仿宋"/>
                <w:bCs/>
                <w:sz w:val="18"/>
                <w:lang w:eastAsia="zh-CN"/>
              </w:rPr>
            </w:pPr>
            <w:r>
              <w:rPr>
                <w:rFonts w:hint="eastAsia" w:ascii="仿宋" w:hAnsi="仿宋" w:eastAsia="仿宋"/>
                <w:bCs/>
                <w:sz w:val="18"/>
                <w:lang w:eastAsia="zh-CN"/>
              </w:rPr>
              <w:t>部门所设立的整体绩效目标依据是否充分，是否符合客观实际，用以反映和考核部门整体绩效目标与部门履职、年度工作任务的相符性情况。</w:t>
            </w:r>
          </w:p>
        </w:tc>
        <w:tc>
          <w:tcPr>
            <w:tcW w:w="1496" w:type="pct"/>
            <w:shd w:val="clear" w:color="auto" w:fill="auto"/>
            <w:vAlign w:val="center"/>
          </w:tcPr>
          <w:p w14:paraId="550D2C1B">
            <w:pPr>
              <w:spacing w:line="408" w:lineRule="auto"/>
              <w:rPr>
                <w:rFonts w:hint="eastAsia" w:ascii="仿宋" w:hAnsi="仿宋" w:eastAsia="仿宋"/>
                <w:bCs/>
                <w:sz w:val="18"/>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是否符合国家法律法规；</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是否符合国民经济和社会发展总体规划；</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是否符合部门</w:t>
            </w:r>
            <w:r>
              <w:rPr>
                <w:rFonts w:ascii="仿宋" w:hAnsi="仿宋" w:eastAsia="仿宋"/>
                <w:bCs/>
                <w:sz w:val="18"/>
                <w:lang w:eastAsia="zh-CN"/>
              </w:rPr>
              <w:t>“</w:t>
            </w:r>
            <w:r>
              <w:rPr>
                <w:rFonts w:hint="eastAsia" w:ascii="仿宋" w:hAnsi="仿宋" w:eastAsia="仿宋"/>
                <w:bCs/>
                <w:sz w:val="18"/>
                <w:lang w:eastAsia="zh-CN"/>
              </w:rPr>
              <w:t>三定</w:t>
            </w:r>
            <w:r>
              <w:rPr>
                <w:rFonts w:ascii="仿宋" w:hAnsi="仿宋" w:eastAsia="仿宋"/>
                <w:bCs/>
                <w:sz w:val="18"/>
                <w:lang w:eastAsia="zh-CN"/>
              </w:rPr>
              <w:t>”</w:t>
            </w:r>
            <w:r>
              <w:rPr>
                <w:rFonts w:hint="eastAsia" w:ascii="仿宋" w:hAnsi="仿宋" w:eastAsia="仿宋"/>
                <w:bCs/>
                <w:sz w:val="18"/>
                <w:lang w:eastAsia="zh-CN"/>
              </w:rPr>
              <w:t>方案确定的职责；</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是否符合部门制定的中长期实施规划或年度工作计划。</w:t>
            </w:r>
            <w:r>
              <w:rPr>
                <w:rFonts w:hint="eastAsia" w:ascii="仿宋" w:hAnsi="仿宋" w:eastAsia="仿宋"/>
                <w:bCs/>
                <w:sz w:val="18"/>
                <w:lang w:eastAsia="zh-CN"/>
              </w:rPr>
              <w:br w:type="textWrapping"/>
            </w:r>
            <w:r>
              <w:rPr>
                <w:rFonts w:hint="eastAsia" w:ascii="仿宋" w:hAnsi="仿宋" w:eastAsia="仿宋"/>
                <w:bCs/>
                <w:sz w:val="18"/>
              </w:rPr>
              <w:t>一项不符扣0.75分。</w:t>
            </w:r>
          </w:p>
        </w:tc>
        <w:tc>
          <w:tcPr>
            <w:tcW w:w="261" w:type="pct"/>
            <w:shd w:val="clear" w:color="auto" w:fill="auto"/>
            <w:vAlign w:val="center"/>
          </w:tcPr>
          <w:p w14:paraId="7561E1CB">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47202EB8">
            <w:pPr>
              <w:spacing w:line="408" w:lineRule="auto"/>
              <w:jc w:val="right"/>
              <w:rPr>
                <w:rFonts w:hint="eastAsia" w:ascii="仿宋" w:hAnsi="仿宋" w:eastAsia="仿宋"/>
                <w:bCs/>
                <w:sz w:val="18"/>
              </w:rPr>
            </w:pPr>
            <w:r>
              <w:rPr>
                <w:rFonts w:hint="eastAsia" w:ascii="仿宋" w:hAnsi="仿宋" w:eastAsia="仿宋"/>
                <w:bCs/>
                <w:sz w:val="18"/>
              </w:rPr>
              <w:t>3</w:t>
            </w:r>
          </w:p>
        </w:tc>
      </w:tr>
      <w:tr w14:paraId="22F9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1421B3F3">
            <w:pPr>
              <w:spacing w:line="408" w:lineRule="auto"/>
              <w:jc w:val="center"/>
              <w:rPr>
                <w:rFonts w:hint="eastAsia" w:ascii="仿宋" w:hAnsi="仿宋" w:eastAsia="仿宋"/>
                <w:bCs/>
                <w:sz w:val="18"/>
              </w:rPr>
            </w:pPr>
          </w:p>
        </w:tc>
        <w:tc>
          <w:tcPr>
            <w:tcW w:w="621" w:type="pct"/>
            <w:vMerge w:val="continue"/>
            <w:shd w:val="clear" w:color="auto" w:fill="auto"/>
            <w:vAlign w:val="center"/>
          </w:tcPr>
          <w:p w14:paraId="6C012760">
            <w:pPr>
              <w:spacing w:line="408" w:lineRule="auto"/>
              <w:jc w:val="center"/>
              <w:rPr>
                <w:rFonts w:hint="eastAsia" w:ascii="仿宋" w:hAnsi="仿宋" w:eastAsia="仿宋"/>
                <w:bCs/>
                <w:sz w:val="18"/>
              </w:rPr>
            </w:pPr>
          </w:p>
        </w:tc>
        <w:tc>
          <w:tcPr>
            <w:tcW w:w="902" w:type="pct"/>
            <w:shd w:val="clear" w:color="auto" w:fill="auto"/>
            <w:vAlign w:val="center"/>
          </w:tcPr>
          <w:p w14:paraId="03506D43">
            <w:pPr>
              <w:spacing w:line="408" w:lineRule="auto"/>
              <w:rPr>
                <w:rFonts w:hint="eastAsia" w:ascii="仿宋" w:hAnsi="仿宋" w:eastAsia="仿宋"/>
                <w:bCs/>
                <w:sz w:val="18"/>
                <w:lang w:eastAsia="zh-CN"/>
              </w:rPr>
            </w:pPr>
            <w:r>
              <w:rPr>
                <w:rFonts w:hint="eastAsia" w:ascii="仿宋" w:hAnsi="仿宋" w:eastAsia="仿宋"/>
                <w:bCs/>
                <w:sz w:val="18"/>
                <w:lang w:eastAsia="zh-CN"/>
              </w:rPr>
              <w:t>绩效目标明确性（3分）</w:t>
            </w:r>
          </w:p>
        </w:tc>
        <w:tc>
          <w:tcPr>
            <w:tcW w:w="977" w:type="pct"/>
            <w:shd w:val="clear" w:color="auto" w:fill="auto"/>
            <w:vAlign w:val="center"/>
          </w:tcPr>
          <w:p w14:paraId="3F7C5FA8">
            <w:pPr>
              <w:spacing w:line="408" w:lineRule="auto"/>
              <w:rPr>
                <w:rFonts w:hint="eastAsia" w:ascii="仿宋" w:hAnsi="仿宋" w:eastAsia="仿宋"/>
                <w:bCs/>
                <w:sz w:val="18"/>
                <w:lang w:eastAsia="zh-CN"/>
              </w:rPr>
            </w:pPr>
            <w:r>
              <w:rPr>
                <w:rFonts w:hint="eastAsia" w:ascii="仿宋" w:hAnsi="仿宋" w:eastAsia="仿宋"/>
                <w:bCs/>
                <w:sz w:val="18"/>
                <w:lang w:eastAsia="zh-CN"/>
              </w:rPr>
              <w:t>部门依据整体绩效目标所设定的绩效指标是否清晰、细化、可衡量，用以反映和考核部门整体绩效目标的明细化情况，并涵盖绩效目标全部内容，反映项目预期产出和效益。</w:t>
            </w:r>
          </w:p>
        </w:tc>
        <w:tc>
          <w:tcPr>
            <w:tcW w:w="1496" w:type="pct"/>
            <w:shd w:val="clear" w:color="auto" w:fill="auto"/>
            <w:vAlign w:val="center"/>
          </w:tcPr>
          <w:p w14:paraId="216E9257">
            <w:pPr>
              <w:spacing w:line="408" w:lineRule="auto"/>
              <w:rPr>
                <w:rFonts w:hint="eastAsia" w:ascii="仿宋" w:hAnsi="仿宋" w:eastAsia="仿宋"/>
                <w:bCs/>
                <w:sz w:val="18"/>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是否将部门整体的绩效目标细化分解为具体的工作任务；</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是否通过清晰、可衡量的指标予以体现；</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是否与部门年度的任务数或计划数相对应；</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是否以本年度部门预算资金相匹配。</w:t>
            </w:r>
            <w:r>
              <w:rPr>
                <w:rFonts w:hint="eastAsia" w:ascii="仿宋" w:hAnsi="仿宋" w:eastAsia="仿宋"/>
                <w:bCs/>
                <w:sz w:val="18"/>
                <w:lang w:eastAsia="zh-CN"/>
              </w:rPr>
              <w:br w:type="textWrapping"/>
            </w:r>
            <w:r>
              <w:rPr>
                <w:rFonts w:hint="eastAsia" w:ascii="仿宋" w:hAnsi="仿宋" w:eastAsia="仿宋"/>
                <w:bCs/>
                <w:sz w:val="18"/>
              </w:rPr>
              <w:t>一项不符扣0.75分。</w:t>
            </w:r>
          </w:p>
        </w:tc>
        <w:tc>
          <w:tcPr>
            <w:tcW w:w="261" w:type="pct"/>
            <w:shd w:val="clear" w:color="auto" w:fill="auto"/>
            <w:vAlign w:val="center"/>
          </w:tcPr>
          <w:p w14:paraId="29F0EA13">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1A50A5E8">
            <w:pPr>
              <w:spacing w:line="408" w:lineRule="auto"/>
              <w:jc w:val="right"/>
              <w:rPr>
                <w:rFonts w:hint="eastAsia" w:ascii="仿宋" w:hAnsi="仿宋" w:eastAsia="仿宋"/>
                <w:bCs/>
                <w:sz w:val="18"/>
              </w:rPr>
            </w:pPr>
            <w:r>
              <w:rPr>
                <w:rFonts w:hint="eastAsia" w:ascii="仿宋" w:hAnsi="仿宋" w:eastAsia="仿宋"/>
                <w:bCs/>
                <w:sz w:val="18"/>
              </w:rPr>
              <w:t>2</w:t>
            </w:r>
          </w:p>
        </w:tc>
      </w:tr>
      <w:tr w14:paraId="14E2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0A4D97B9">
            <w:pPr>
              <w:spacing w:line="408" w:lineRule="auto"/>
              <w:jc w:val="center"/>
              <w:rPr>
                <w:rFonts w:hint="eastAsia" w:ascii="仿宋" w:hAnsi="仿宋" w:eastAsia="仿宋"/>
                <w:bCs/>
                <w:sz w:val="18"/>
              </w:rPr>
            </w:pPr>
          </w:p>
        </w:tc>
        <w:tc>
          <w:tcPr>
            <w:tcW w:w="621" w:type="pct"/>
            <w:vMerge w:val="restart"/>
            <w:shd w:val="clear" w:color="auto" w:fill="auto"/>
            <w:vAlign w:val="center"/>
          </w:tcPr>
          <w:p w14:paraId="5DC24DAD">
            <w:pPr>
              <w:spacing w:line="408" w:lineRule="auto"/>
              <w:rPr>
                <w:rFonts w:hint="eastAsia" w:ascii="仿宋" w:hAnsi="仿宋" w:eastAsia="仿宋"/>
                <w:bCs/>
                <w:sz w:val="18"/>
              </w:rPr>
            </w:pPr>
            <w:r>
              <w:rPr>
                <w:rFonts w:hint="eastAsia" w:ascii="仿宋" w:hAnsi="仿宋" w:eastAsia="仿宋"/>
                <w:bCs/>
                <w:sz w:val="18"/>
              </w:rPr>
              <w:t>预算配置（9分）</w:t>
            </w:r>
          </w:p>
        </w:tc>
        <w:tc>
          <w:tcPr>
            <w:tcW w:w="902" w:type="pct"/>
            <w:shd w:val="clear" w:color="auto" w:fill="auto"/>
            <w:vAlign w:val="center"/>
          </w:tcPr>
          <w:p w14:paraId="022ACBE7">
            <w:pPr>
              <w:spacing w:line="408" w:lineRule="auto"/>
              <w:rPr>
                <w:rFonts w:hint="eastAsia" w:ascii="仿宋" w:hAnsi="仿宋" w:eastAsia="仿宋"/>
                <w:bCs/>
                <w:sz w:val="18"/>
                <w:lang w:eastAsia="zh-CN"/>
              </w:rPr>
            </w:pPr>
            <w:r>
              <w:rPr>
                <w:rFonts w:hint="eastAsia" w:ascii="仿宋" w:hAnsi="仿宋" w:eastAsia="仿宋"/>
                <w:bCs/>
                <w:sz w:val="18"/>
                <w:lang w:eastAsia="zh-CN"/>
              </w:rPr>
              <w:t>在职人员控制率（3分）</w:t>
            </w:r>
          </w:p>
        </w:tc>
        <w:tc>
          <w:tcPr>
            <w:tcW w:w="977" w:type="pct"/>
            <w:shd w:val="clear" w:color="auto" w:fill="auto"/>
            <w:vAlign w:val="center"/>
          </w:tcPr>
          <w:p w14:paraId="3EDD1F88">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部门本年度实际在职人员数与编制数的比率,用以反映和考核部门对人员成本的控制程度。</w:t>
            </w:r>
          </w:p>
        </w:tc>
        <w:tc>
          <w:tcPr>
            <w:tcW w:w="1496" w:type="pct"/>
            <w:shd w:val="clear" w:color="auto" w:fill="auto"/>
            <w:vAlign w:val="center"/>
          </w:tcPr>
          <w:p w14:paraId="440F6A3E">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评价要点：在职人员控制率=（在职人员数/编制数）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在职人员控制率</w:t>
            </w:r>
            <w:r>
              <w:rPr>
                <w:rFonts w:ascii="仿宋" w:hAnsi="仿宋" w:eastAsia="仿宋"/>
                <w:bCs/>
                <w:sz w:val="18"/>
                <w:lang w:eastAsia="zh-CN"/>
              </w:rPr>
              <w:t>≤</w:t>
            </w:r>
            <w:r>
              <w:rPr>
                <w:rFonts w:hint="eastAsia" w:ascii="仿宋" w:hAnsi="仿宋" w:eastAsia="仿宋"/>
                <w:bCs/>
                <w:sz w:val="18"/>
                <w:lang w:eastAsia="zh-CN"/>
              </w:rPr>
              <w:t>100%，得满分；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在职人员控制率≧115%，得0分；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100%＜在职人员控制率＜115%之间，得分=（115%－某部门在职人员控制率）/15%×指标分值。</w:t>
            </w:r>
          </w:p>
        </w:tc>
        <w:tc>
          <w:tcPr>
            <w:tcW w:w="261" w:type="pct"/>
            <w:shd w:val="clear" w:color="auto" w:fill="auto"/>
            <w:vAlign w:val="center"/>
          </w:tcPr>
          <w:p w14:paraId="1E6BA218">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223636D5">
            <w:pPr>
              <w:spacing w:line="408" w:lineRule="auto"/>
              <w:jc w:val="right"/>
              <w:rPr>
                <w:rFonts w:hint="eastAsia" w:ascii="仿宋" w:hAnsi="仿宋" w:eastAsia="仿宋"/>
                <w:bCs/>
                <w:sz w:val="18"/>
              </w:rPr>
            </w:pPr>
            <w:r>
              <w:rPr>
                <w:rFonts w:hint="eastAsia" w:ascii="仿宋" w:hAnsi="仿宋" w:eastAsia="仿宋"/>
                <w:bCs/>
                <w:sz w:val="18"/>
              </w:rPr>
              <w:t>3</w:t>
            </w:r>
          </w:p>
        </w:tc>
      </w:tr>
      <w:tr w14:paraId="6F3C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3BDEE02">
            <w:pPr>
              <w:spacing w:line="408" w:lineRule="auto"/>
              <w:jc w:val="center"/>
              <w:rPr>
                <w:rFonts w:hint="eastAsia" w:ascii="仿宋" w:hAnsi="仿宋" w:eastAsia="仿宋"/>
                <w:bCs/>
                <w:sz w:val="18"/>
              </w:rPr>
            </w:pPr>
          </w:p>
        </w:tc>
        <w:tc>
          <w:tcPr>
            <w:tcW w:w="621" w:type="pct"/>
            <w:vMerge w:val="continue"/>
            <w:shd w:val="clear" w:color="auto" w:fill="auto"/>
            <w:vAlign w:val="center"/>
          </w:tcPr>
          <w:p w14:paraId="5860C6C0">
            <w:pPr>
              <w:spacing w:line="408" w:lineRule="auto"/>
              <w:jc w:val="center"/>
              <w:rPr>
                <w:rFonts w:hint="eastAsia" w:ascii="仿宋" w:hAnsi="仿宋" w:eastAsia="仿宋"/>
                <w:bCs/>
                <w:sz w:val="18"/>
              </w:rPr>
            </w:pPr>
          </w:p>
        </w:tc>
        <w:tc>
          <w:tcPr>
            <w:tcW w:w="902" w:type="pct"/>
            <w:shd w:val="clear" w:color="auto" w:fill="auto"/>
            <w:vAlign w:val="center"/>
          </w:tcPr>
          <w:p w14:paraId="13B58FB1">
            <w:pPr>
              <w:spacing w:line="408" w:lineRule="auto"/>
              <w:rPr>
                <w:rFonts w:hint="eastAsia" w:ascii="仿宋" w:hAnsi="仿宋" w:eastAsia="仿宋"/>
                <w:bCs/>
                <w:sz w:val="18"/>
                <w:lang w:eastAsia="zh-CN"/>
              </w:rPr>
            </w:pP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变动率（3分）</w:t>
            </w:r>
          </w:p>
        </w:tc>
        <w:tc>
          <w:tcPr>
            <w:tcW w:w="977" w:type="pct"/>
            <w:shd w:val="clear" w:color="auto" w:fill="auto"/>
            <w:vAlign w:val="center"/>
          </w:tcPr>
          <w:p w14:paraId="375627E8">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预算数与上年度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预算数的变动比率，用以反映和考核部门对控制重点行政成本的努力程度。三公经费变动率=[（本年度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总额-上年度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总额）/上年度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总额]×100%。</w:t>
            </w:r>
          </w:p>
        </w:tc>
        <w:tc>
          <w:tcPr>
            <w:tcW w:w="1496" w:type="pct"/>
            <w:shd w:val="clear" w:color="auto" w:fill="auto"/>
            <w:vAlign w:val="center"/>
          </w:tcPr>
          <w:p w14:paraId="7F45C85E">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变动率</w:t>
            </w:r>
            <w:r>
              <w:rPr>
                <w:rFonts w:ascii="仿宋" w:hAnsi="仿宋" w:eastAsia="仿宋"/>
                <w:bCs/>
                <w:sz w:val="18"/>
                <w:lang w:eastAsia="zh-CN"/>
              </w:rPr>
              <w:t>≤</w:t>
            </w:r>
            <w:r>
              <w:rPr>
                <w:rFonts w:hint="eastAsia" w:ascii="仿宋" w:hAnsi="仿宋" w:eastAsia="仿宋"/>
                <w:bCs/>
                <w:sz w:val="18"/>
                <w:lang w:eastAsia="zh-CN"/>
              </w:rPr>
              <w:t>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变动率每超过10个百分点扣1分，扣完为止。</w:t>
            </w:r>
          </w:p>
        </w:tc>
        <w:tc>
          <w:tcPr>
            <w:tcW w:w="261" w:type="pct"/>
            <w:shd w:val="clear" w:color="auto" w:fill="auto"/>
            <w:vAlign w:val="center"/>
          </w:tcPr>
          <w:p w14:paraId="3324BD3A">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237C364F">
            <w:pPr>
              <w:spacing w:line="408" w:lineRule="auto"/>
              <w:jc w:val="right"/>
              <w:rPr>
                <w:rFonts w:hint="eastAsia" w:ascii="仿宋" w:hAnsi="仿宋" w:eastAsia="仿宋"/>
                <w:bCs/>
                <w:sz w:val="18"/>
              </w:rPr>
            </w:pPr>
            <w:r>
              <w:rPr>
                <w:rFonts w:hint="eastAsia" w:ascii="仿宋" w:hAnsi="仿宋" w:eastAsia="仿宋"/>
                <w:bCs/>
                <w:sz w:val="18"/>
              </w:rPr>
              <w:t>3</w:t>
            </w:r>
          </w:p>
        </w:tc>
      </w:tr>
      <w:tr w14:paraId="3FCD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3CDE7D3">
            <w:pPr>
              <w:spacing w:line="408" w:lineRule="auto"/>
              <w:jc w:val="center"/>
              <w:rPr>
                <w:rFonts w:hint="eastAsia" w:ascii="仿宋" w:hAnsi="仿宋" w:eastAsia="仿宋"/>
                <w:bCs/>
                <w:sz w:val="18"/>
              </w:rPr>
            </w:pPr>
          </w:p>
        </w:tc>
        <w:tc>
          <w:tcPr>
            <w:tcW w:w="621" w:type="pct"/>
            <w:vMerge w:val="continue"/>
            <w:shd w:val="clear" w:color="auto" w:fill="auto"/>
            <w:vAlign w:val="center"/>
          </w:tcPr>
          <w:p w14:paraId="3D436D62">
            <w:pPr>
              <w:spacing w:line="408" w:lineRule="auto"/>
              <w:jc w:val="center"/>
              <w:rPr>
                <w:rFonts w:hint="eastAsia" w:ascii="仿宋" w:hAnsi="仿宋" w:eastAsia="仿宋"/>
                <w:bCs/>
                <w:sz w:val="18"/>
              </w:rPr>
            </w:pPr>
          </w:p>
        </w:tc>
        <w:tc>
          <w:tcPr>
            <w:tcW w:w="902" w:type="pct"/>
            <w:shd w:val="clear" w:color="auto" w:fill="auto"/>
            <w:vAlign w:val="center"/>
          </w:tcPr>
          <w:p w14:paraId="5EC81973">
            <w:pPr>
              <w:spacing w:line="408" w:lineRule="auto"/>
              <w:rPr>
                <w:rFonts w:hint="eastAsia" w:ascii="仿宋" w:hAnsi="仿宋" w:eastAsia="仿宋"/>
                <w:bCs/>
                <w:sz w:val="18"/>
                <w:lang w:eastAsia="zh-CN"/>
              </w:rPr>
            </w:pPr>
            <w:r>
              <w:rPr>
                <w:rFonts w:hint="eastAsia" w:ascii="仿宋" w:hAnsi="仿宋" w:eastAsia="仿宋"/>
                <w:bCs/>
                <w:sz w:val="18"/>
                <w:lang w:eastAsia="zh-CN"/>
              </w:rPr>
              <w:t>结转结余变动率（3分）</w:t>
            </w:r>
          </w:p>
        </w:tc>
        <w:tc>
          <w:tcPr>
            <w:tcW w:w="977" w:type="pct"/>
            <w:shd w:val="clear" w:color="auto" w:fill="auto"/>
            <w:vAlign w:val="center"/>
          </w:tcPr>
          <w:p w14:paraId="3D852A3E">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w:t>
            </w:r>
            <w:r>
              <w:rPr>
                <w:rFonts w:ascii="仿宋" w:hAnsi="仿宋" w:eastAsia="仿宋"/>
                <w:bCs/>
                <w:sz w:val="18"/>
                <w:lang w:eastAsia="zh-CN"/>
              </w:rPr>
              <w:t>“</w:t>
            </w:r>
            <w:r>
              <w:rPr>
                <w:rFonts w:hint="eastAsia" w:ascii="仿宋" w:hAnsi="仿宋" w:eastAsia="仿宋"/>
                <w:bCs/>
                <w:sz w:val="18"/>
                <w:lang w:eastAsia="zh-CN"/>
              </w:rPr>
              <w:t>结转结余</w:t>
            </w:r>
            <w:r>
              <w:rPr>
                <w:rFonts w:ascii="仿宋" w:hAnsi="仿宋" w:eastAsia="仿宋"/>
                <w:bCs/>
                <w:sz w:val="18"/>
                <w:lang w:eastAsia="zh-CN"/>
              </w:rPr>
              <w:t>”</w:t>
            </w:r>
            <w:r>
              <w:rPr>
                <w:rFonts w:hint="eastAsia" w:ascii="仿宋" w:hAnsi="仿宋" w:eastAsia="仿宋"/>
                <w:bCs/>
                <w:sz w:val="18"/>
                <w:lang w:eastAsia="zh-CN"/>
              </w:rPr>
              <w:t>金额与上年度</w:t>
            </w:r>
            <w:r>
              <w:rPr>
                <w:rFonts w:ascii="仿宋" w:hAnsi="仿宋" w:eastAsia="仿宋"/>
                <w:bCs/>
                <w:sz w:val="18"/>
                <w:lang w:eastAsia="zh-CN"/>
              </w:rPr>
              <w:t>“</w:t>
            </w:r>
            <w:r>
              <w:rPr>
                <w:rFonts w:hint="eastAsia" w:ascii="仿宋" w:hAnsi="仿宋" w:eastAsia="仿宋"/>
                <w:bCs/>
                <w:sz w:val="18"/>
                <w:lang w:eastAsia="zh-CN"/>
              </w:rPr>
              <w:t>结转结余</w:t>
            </w:r>
            <w:r>
              <w:rPr>
                <w:rFonts w:ascii="仿宋" w:hAnsi="仿宋" w:eastAsia="仿宋"/>
                <w:bCs/>
                <w:sz w:val="18"/>
                <w:lang w:eastAsia="zh-CN"/>
              </w:rPr>
              <w:t>”</w:t>
            </w:r>
            <w:r>
              <w:rPr>
                <w:rFonts w:hint="eastAsia" w:ascii="仿宋" w:hAnsi="仿宋" w:eastAsia="仿宋"/>
                <w:bCs/>
                <w:sz w:val="18"/>
                <w:lang w:eastAsia="zh-CN"/>
              </w:rPr>
              <w:t>金额的变动比率，用以反映和考核部门资金的结余程度。</w:t>
            </w:r>
          </w:p>
        </w:tc>
        <w:tc>
          <w:tcPr>
            <w:tcW w:w="1496" w:type="pct"/>
            <w:shd w:val="clear" w:color="auto" w:fill="auto"/>
            <w:vAlign w:val="center"/>
          </w:tcPr>
          <w:p w14:paraId="38B261B8">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结转结余变动率=[（本年度累计结转结余资金总额-上年度累计结转结余资金总额）/上年度累计结转结余资金总额]×100%。</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结转结余变动率＜0，得满分；</w:t>
            </w:r>
            <w:r>
              <w:rPr>
                <w:rFonts w:hint="eastAsia" w:ascii="仿宋" w:hAnsi="仿宋" w:eastAsia="仿宋"/>
                <w:bCs/>
                <w:sz w:val="18"/>
                <w:lang w:eastAsia="zh-CN"/>
              </w:rPr>
              <w:br w:type="textWrapping"/>
            </w:r>
            <w:r>
              <w:rPr>
                <w:rFonts w:hint="eastAsia" w:ascii="仿宋" w:hAnsi="仿宋" w:eastAsia="仿宋"/>
                <w:bCs/>
                <w:sz w:val="18"/>
                <w:lang w:eastAsia="zh-CN"/>
              </w:rPr>
              <w:t>结转结余变动率≧0，不得分。</w:t>
            </w:r>
          </w:p>
        </w:tc>
        <w:tc>
          <w:tcPr>
            <w:tcW w:w="261" w:type="pct"/>
            <w:shd w:val="clear" w:color="auto" w:fill="auto"/>
            <w:vAlign w:val="center"/>
          </w:tcPr>
          <w:p w14:paraId="2E5B977A">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0ACEEFAD">
            <w:pPr>
              <w:spacing w:line="408" w:lineRule="auto"/>
              <w:jc w:val="right"/>
              <w:rPr>
                <w:rFonts w:hint="eastAsia" w:ascii="仿宋" w:hAnsi="仿宋" w:eastAsia="仿宋"/>
                <w:bCs/>
                <w:sz w:val="18"/>
              </w:rPr>
            </w:pPr>
            <w:r>
              <w:rPr>
                <w:rFonts w:hint="eastAsia" w:ascii="仿宋" w:hAnsi="仿宋" w:eastAsia="仿宋"/>
                <w:bCs/>
                <w:sz w:val="18"/>
              </w:rPr>
              <w:t>3</w:t>
            </w:r>
          </w:p>
        </w:tc>
      </w:tr>
      <w:tr w14:paraId="0D259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restart"/>
            <w:shd w:val="clear" w:color="auto" w:fill="auto"/>
            <w:vAlign w:val="center"/>
          </w:tcPr>
          <w:p w14:paraId="157ED60C">
            <w:pPr>
              <w:spacing w:line="408" w:lineRule="auto"/>
              <w:rPr>
                <w:rFonts w:hint="eastAsia" w:ascii="仿宋" w:hAnsi="仿宋" w:eastAsia="仿宋"/>
                <w:bCs/>
                <w:sz w:val="18"/>
              </w:rPr>
            </w:pPr>
            <w:r>
              <w:rPr>
                <w:rFonts w:hint="eastAsia" w:ascii="仿宋" w:hAnsi="仿宋" w:eastAsia="仿宋"/>
                <w:bCs/>
                <w:sz w:val="18"/>
              </w:rPr>
              <w:t>过程（22%）</w:t>
            </w:r>
          </w:p>
        </w:tc>
        <w:tc>
          <w:tcPr>
            <w:tcW w:w="621" w:type="pct"/>
            <w:vMerge w:val="restart"/>
            <w:shd w:val="clear" w:color="auto" w:fill="auto"/>
            <w:vAlign w:val="center"/>
          </w:tcPr>
          <w:p w14:paraId="3DE64CBF">
            <w:pPr>
              <w:spacing w:line="408" w:lineRule="auto"/>
              <w:rPr>
                <w:rFonts w:hint="eastAsia" w:ascii="仿宋" w:hAnsi="仿宋" w:eastAsia="仿宋"/>
                <w:bCs/>
                <w:sz w:val="18"/>
              </w:rPr>
            </w:pPr>
            <w:r>
              <w:rPr>
                <w:rFonts w:hint="eastAsia" w:ascii="仿宋" w:hAnsi="仿宋" w:eastAsia="仿宋"/>
                <w:bCs/>
                <w:sz w:val="18"/>
              </w:rPr>
              <w:t>预算执行（9分）</w:t>
            </w:r>
          </w:p>
        </w:tc>
        <w:tc>
          <w:tcPr>
            <w:tcW w:w="902" w:type="pct"/>
            <w:shd w:val="clear" w:color="auto" w:fill="auto"/>
            <w:vAlign w:val="center"/>
          </w:tcPr>
          <w:p w14:paraId="471B12AE">
            <w:pPr>
              <w:spacing w:line="408" w:lineRule="auto"/>
              <w:rPr>
                <w:rFonts w:hint="eastAsia" w:ascii="仿宋" w:hAnsi="仿宋" w:eastAsia="仿宋"/>
                <w:bCs/>
                <w:sz w:val="18"/>
              </w:rPr>
            </w:pPr>
            <w:r>
              <w:rPr>
                <w:rFonts w:hint="eastAsia" w:ascii="仿宋" w:hAnsi="仿宋" w:eastAsia="仿宋"/>
                <w:bCs/>
                <w:sz w:val="18"/>
              </w:rPr>
              <w:t>预算执行率（2分）</w:t>
            </w:r>
          </w:p>
        </w:tc>
        <w:tc>
          <w:tcPr>
            <w:tcW w:w="977" w:type="pct"/>
            <w:shd w:val="clear" w:color="auto" w:fill="auto"/>
            <w:vAlign w:val="center"/>
          </w:tcPr>
          <w:p w14:paraId="74A86823">
            <w:pPr>
              <w:spacing w:line="408" w:lineRule="auto"/>
              <w:rPr>
                <w:rFonts w:hint="eastAsia" w:ascii="仿宋" w:hAnsi="仿宋" w:eastAsia="仿宋"/>
                <w:bCs/>
                <w:sz w:val="18"/>
                <w:lang w:eastAsia="zh-CN"/>
              </w:rPr>
            </w:pPr>
            <w:r>
              <w:rPr>
                <w:rFonts w:hint="eastAsia" w:ascii="仿宋" w:hAnsi="仿宋" w:eastAsia="仿宋"/>
                <w:bCs/>
                <w:sz w:val="18"/>
                <w:lang w:eastAsia="zh-CN"/>
              </w:rPr>
              <w:t>项目预算资金是否按照计划执行，用以反映或考核项目预算执行情况（预算执行率=（实际支出资金/实际到位资金）</w:t>
            </w:r>
            <w:r>
              <w:rPr>
                <w:rFonts w:ascii="仿宋" w:hAnsi="仿宋" w:eastAsia="仿宋"/>
                <w:bCs/>
                <w:sz w:val="18"/>
                <w:lang w:eastAsia="zh-CN"/>
              </w:rPr>
              <w:t>×</w:t>
            </w:r>
            <w:r>
              <w:rPr>
                <w:rFonts w:hint="eastAsia" w:ascii="仿宋" w:hAnsi="仿宋" w:eastAsia="仿宋"/>
                <w:bCs/>
                <w:sz w:val="18"/>
                <w:lang w:eastAsia="zh-CN"/>
              </w:rPr>
              <w:t>100%）。</w:t>
            </w:r>
          </w:p>
        </w:tc>
        <w:tc>
          <w:tcPr>
            <w:tcW w:w="1496" w:type="pct"/>
            <w:shd w:val="clear" w:color="auto" w:fill="auto"/>
            <w:vAlign w:val="center"/>
          </w:tcPr>
          <w:p w14:paraId="7BAFF921">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90%≤预算执行率</w:t>
            </w:r>
            <w:r>
              <w:rPr>
                <w:rFonts w:ascii="仿宋" w:hAnsi="仿宋" w:eastAsia="仿宋"/>
                <w:bCs/>
                <w:sz w:val="18"/>
                <w:lang w:eastAsia="zh-CN"/>
              </w:rPr>
              <w:t>≤</w:t>
            </w:r>
            <w:r>
              <w:rPr>
                <w:rFonts w:hint="eastAsia" w:ascii="仿宋" w:hAnsi="仿宋" w:eastAsia="仿宋"/>
                <w:bCs/>
                <w:sz w:val="18"/>
                <w:lang w:eastAsia="zh-CN"/>
              </w:rPr>
              <w:t>100%，得2分；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70%≤预算执行率﹤90%，得1分；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预算执行率﹤70%，得0分；</w:t>
            </w:r>
          </w:p>
        </w:tc>
        <w:tc>
          <w:tcPr>
            <w:tcW w:w="261" w:type="pct"/>
            <w:shd w:val="clear" w:color="auto" w:fill="auto"/>
            <w:vAlign w:val="center"/>
          </w:tcPr>
          <w:p w14:paraId="28F54EEA">
            <w:pPr>
              <w:spacing w:line="408" w:lineRule="auto"/>
              <w:jc w:val="right"/>
              <w:rPr>
                <w:rFonts w:hint="eastAsia" w:ascii="仿宋" w:hAnsi="仿宋" w:eastAsia="仿宋"/>
                <w:bCs/>
                <w:sz w:val="18"/>
              </w:rPr>
            </w:pPr>
            <w:r>
              <w:rPr>
                <w:rFonts w:hint="eastAsia" w:ascii="仿宋" w:hAnsi="仿宋" w:eastAsia="仿宋"/>
                <w:bCs/>
                <w:sz w:val="18"/>
              </w:rPr>
              <w:t>2</w:t>
            </w:r>
          </w:p>
        </w:tc>
        <w:tc>
          <w:tcPr>
            <w:tcW w:w="261" w:type="pct"/>
            <w:shd w:val="clear" w:color="auto" w:fill="auto"/>
            <w:vAlign w:val="center"/>
          </w:tcPr>
          <w:p w14:paraId="65E13E72">
            <w:pPr>
              <w:spacing w:line="408" w:lineRule="auto"/>
              <w:jc w:val="right"/>
              <w:rPr>
                <w:rFonts w:hint="eastAsia" w:ascii="仿宋" w:hAnsi="仿宋" w:eastAsia="仿宋"/>
                <w:bCs/>
                <w:sz w:val="18"/>
              </w:rPr>
            </w:pPr>
            <w:r>
              <w:rPr>
                <w:rFonts w:hint="eastAsia" w:ascii="仿宋" w:hAnsi="仿宋" w:eastAsia="仿宋"/>
                <w:bCs/>
                <w:sz w:val="18"/>
              </w:rPr>
              <w:t>2</w:t>
            </w:r>
          </w:p>
        </w:tc>
      </w:tr>
      <w:tr w14:paraId="7216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43A3E49">
            <w:pPr>
              <w:spacing w:line="408" w:lineRule="auto"/>
              <w:jc w:val="center"/>
              <w:rPr>
                <w:rFonts w:hint="eastAsia" w:ascii="仿宋" w:hAnsi="仿宋" w:eastAsia="仿宋"/>
                <w:bCs/>
                <w:sz w:val="18"/>
              </w:rPr>
            </w:pPr>
          </w:p>
        </w:tc>
        <w:tc>
          <w:tcPr>
            <w:tcW w:w="621" w:type="pct"/>
            <w:vMerge w:val="continue"/>
            <w:shd w:val="clear" w:color="auto" w:fill="auto"/>
            <w:vAlign w:val="center"/>
          </w:tcPr>
          <w:p w14:paraId="09743DB4">
            <w:pPr>
              <w:spacing w:line="408" w:lineRule="auto"/>
              <w:jc w:val="center"/>
              <w:rPr>
                <w:rFonts w:hint="eastAsia" w:ascii="仿宋" w:hAnsi="仿宋" w:eastAsia="仿宋"/>
                <w:bCs/>
                <w:sz w:val="18"/>
              </w:rPr>
            </w:pPr>
          </w:p>
        </w:tc>
        <w:tc>
          <w:tcPr>
            <w:tcW w:w="902" w:type="pct"/>
            <w:shd w:val="clear" w:color="auto" w:fill="auto"/>
            <w:vAlign w:val="center"/>
          </w:tcPr>
          <w:p w14:paraId="4B6FEB4C">
            <w:pPr>
              <w:spacing w:line="408" w:lineRule="auto"/>
              <w:rPr>
                <w:rFonts w:hint="eastAsia" w:ascii="仿宋" w:hAnsi="仿宋" w:eastAsia="仿宋"/>
                <w:bCs/>
                <w:sz w:val="18"/>
              </w:rPr>
            </w:pPr>
            <w:r>
              <w:rPr>
                <w:rFonts w:hint="eastAsia" w:ascii="仿宋" w:hAnsi="仿宋" w:eastAsia="仿宋"/>
                <w:bCs/>
                <w:sz w:val="18"/>
              </w:rPr>
              <w:t>预算调整率（2分）</w:t>
            </w:r>
          </w:p>
        </w:tc>
        <w:tc>
          <w:tcPr>
            <w:tcW w:w="977" w:type="pct"/>
            <w:shd w:val="clear" w:color="auto" w:fill="auto"/>
            <w:vAlign w:val="center"/>
          </w:tcPr>
          <w:p w14:paraId="1FA29256">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部门本年度预算调整数与预算数的比率,用以反映和考核部门预算的调整程度。</w:t>
            </w:r>
          </w:p>
        </w:tc>
        <w:tc>
          <w:tcPr>
            <w:tcW w:w="1496" w:type="pct"/>
            <w:shd w:val="clear" w:color="auto" w:fill="auto"/>
            <w:vAlign w:val="center"/>
          </w:tcPr>
          <w:p w14:paraId="3AD4AAE9">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评价要点：支出预算调整率=（支出预算调整数/支出预算数）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预算调整率=0，得满分；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调整率≧10%，得0分；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0＜预算调整率＜10%,得分=（10%-预算调整率）/10%×该指标分值；</w:t>
            </w:r>
          </w:p>
        </w:tc>
        <w:tc>
          <w:tcPr>
            <w:tcW w:w="261" w:type="pct"/>
            <w:shd w:val="clear" w:color="auto" w:fill="auto"/>
            <w:vAlign w:val="center"/>
          </w:tcPr>
          <w:p w14:paraId="0BAD72EE">
            <w:pPr>
              <w:spacing w:line="408" w:lineRule="auto"/>
              <w:jc w:val="right"/>
              <w:rPr>
                <w:rFonts w:hint="eastAsia" w:ascii="仿宋" w:hAnsi="仿宋" w:eastAsia="仿宋"/>
                <w:bCs/>
                <w:sz w:val="18"/>
              </w:rPr>
            </w:pPr>
            <w:r>
              <w:rPr>
                <w:rFonts w:hint="eastAsia" w:ascii="仿宋" w:hAnsi="仿宋" w:eastAsia="仿宋"/>
                <w:bCs/>
                <w:sz w:val="18"/>
              </w:rPr>
              <w:t>2</w:t>
            </w:r>
          </w:p>
        </w:tc>
        <w:tc>
          <w:tcPr>
            <w:tcW w:w="261" w:type="pct"/>
            <w:shd w:val="clear" w:color="auto" w:fill="auto"/>
            <w:vAlign w:val="center"/>
          </w:tcPr>
          <w:p w14:paraId="181ED67A">
            <w:pPr>
              <w:spacing w:line="408" w:lineRule="auto"/>
              <w:jc w:val="right"/>
              <w:rPr>
                <w:rFonts w:hint="eastAsia" w:ascii="仿宋" w:hAnsi="仿宋" w:eastAsia="仿宋"/>
                <w:bCs/>
                <w:sz w:val="18"/>
              </w:rPr>
            </w:pPr>
            <w:r>
              <w:rPr>
                <w:rFonts w:hint="eastAsia" w:ascii="仿宋" w:hAnsi="仿宋" w:eastAsia="仿宋"/>
                <w:bCs/>
                <w:sz w:val="18"/>
              </w:rPr>
              <w:t>0</w:t>
            </w:r>
          </w:p>
        </w:tc>
      </w:tr>
      <w:tr w14:paraId="5B4C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09087308">
            <w:pPr>
              <w:spacing w:line="408" w:lineRule="auto"/>
              <w:jc w:val="center"/>
              <w:rPr>
                <w:rFonts w:hint="eastAsia" w:ascii="仿宋" w:hAnsi="仿宋" w:eastAsia="仿宋"/>
                <w:bCs/>
                <w:sz w:val="18"/>
              </w:rPr>
            </w:pPr>
          </w:p>
        </w:tc>
        <w:tc>
          <w:tcPr>
            <w:tcW w:w="621" w:type="pct"/>
            <w:vMerge w:val="continue"/>
            <w:shd w:val="clear" w:color="auto" w:fill="auto"/>
            <w:vAlign w:val="center"/>
          </w:tcPr>
          <w:p w14:paraId="2431B2C7">
            <w:pPr>
              <w:spacing w:line="408" w:lineRule="auto"/>
              <w:jc w:val="center"/>
              <w:rPr>
                <w:rFonts w:hint="eastAsia" w:ascii="仿宋" w:hAnsi="仿宋" w:eastAsia="仿宋"/>
                <w:bCs/>
                <w:sz w:val="18"/>
              </w:rPr>
            </w:pPr>
          </w:p>
        </w:tc>
        <w:tc>
          <w:tcPr>
            <w:tcW w:w="902" w:type="pct"/>
            <w:shd w:val="clear" w:color="auto" w:fill="auto"/>
            <w:vAlign w:val="center"/>
          </w:tcPr>
          <w:p w14:paraId="21A450F7">
            <w:pPr>
              <w:spacing w:line="408" w:lineRule="auto"/>
              <w:rPr>
                <w:rFonts w:hint="eastAsia" w:ascii="仿宋" w:hAnsi="仿宋" w:eastAsia="仿宋"/>
                <w:bCs/>
                <w:sz w:val="18"/>
              </w:rPr>
            </w:pPr>
            <w:r>
              <w:rPr>
                <w:rFonts w:hint="eastAsia" w:ascii="仿宋" w:hAnsi="仿宋" w:eastAsia="仿宋"/>
                <w:bCs/>
                <w:sz w:val="18"/>
              </w:rPr>
              <w:t>结转结余率（3分）</w:t>
            </w:r>
          </w:p>
        </w:tc>
        <w:tc>
          <w:tcPr>
            <w:tcW w:w="977" w:type="pct"/>
            <w:shd w:val="clear" w:color="auto" w:fill="auto"/>
            <w:vAlign w:val="center"/>
          </w:tcPr>
          <w:p w14:paraId="37C2D0F3">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部门本年度结转结余总额与支出预算数的比率，反映和评价单位对本年度结转结余资金的实际控制程度。</w:t>
            </w:r>
          </w:p>
        </w:tc>
        <w:tc>
          <w:tcPr>
            <w:tcW w:w="1496" w:type="pct"/>
            <w:shd w:val="clear" w:color="auto" w:fill="auto"/>
            <w:vAlign w:val="center"/>
          </w:tcPr>
          <w:p w14:paraId="47D6BD1D">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评价要点：结转结余率=结转结余总额/支出预算数</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结转结余率=0，得满分；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结转结余率≧50%，得0分；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0%＜结转结余率＜50%，得分=（50%-结转结余率）/50%×该指标分值。</w:t>
            </w:r>
          </w:p>
        </w:tc>
        <w:tc>
          <w:tcPr>
            <w:tcW w:w="261" w:type="pct"/>
            <w:shd w:val="clear" w:color="auto" w:fill="auto"/>
            <w:vAlign w:val="center"/>
          </w:tcPr>
          <w:p w14:paraId="1421DC47">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720C41FE">
            <w:pPr>
              <w:spacing w:line="408" w:lineRule="auto"/>
              <w:jc w:val="right"/>
              <w:rPr>
                <w:rFonts w:hint="eastAsia" w:ascii="仿宋" w:hAnsi="仿宋" w:eastAsia="仿宋"/>
                <w:bCs/>
                <w:sz w:val="18"/>
              </w:rPr>
            </w:pPr>
            <w:r>
              <w:rPr>
                <w:rFonts w:hint="eastAsia" w:ascii="仿宋" w:hAnsi="仿宋" w:eastAsia="仿宋"/>
                <w:bCs/>
                <w:sz w:val="18"/>
              </w:rPr>
              <w:t>2.9</w:t>
            </w:r>
          </w:p>
        </w:tc>
      </w:tr>
      <w:tr w14:paraId="680E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822A8F5">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4B891F2">
            <w:pPr>
              <w:spacing w:line="408" w:lineRule="auto"/>
              <w:jc w:val="center"/>
              <w:rPr>
                <w:rFonts w:hint="eastAsia" w:ascii="仿宋" w:hAnsi="仿宋" w:eastAsia="仿宋"/>
                <w:bCs/>
                <w:sz w:val="18"/>
              </w:rPr>
            </w:pPr>
          </w:p>
        </w:tc>
        <w:tc>
          <w:tcPr>
            <w:tcW w:w="902" w:type="pct"/>
            <w:shd w:val="clear" w:color="auto" w:fill="auto"/>
            <w:vAlign w:val="center"/>
          </w:tcPr>
          <w:p w14:paraId="67C3F409">
            <w:pPr>
              <w:spacing w:line="408" w:lineRule="auto"/>
              <w:rPr>
                <w:rFonts w:hint="eastAsia" w:ascii="仿宋" w:hAnsi="仿宋" w:eastAsia="仿宋"/>
                <w:bCs/>
                <w:sz w:val="18"/>
                <w:lang w:eastAsia="zh-CN"/>
              </w:rPr>
            </w:pPr>
            <w:r>
              <w:rPr>
                <w:rFonts w:hint="eastAsia" w:ascii="仿宋" w:hAnsi="仿宋" w:eastAsia="仿宋"/>
                <w:bCs/>
                <w:sz w:val="18"/>
                <w:lang w:eastAsia="zh-CN"/>
              </w:rPr>
              <w:t>公用经费控制率（2分）</w:t>
            </w:r>
          </w:p>
        </w:tc>
        <w:tc>
          <w:tcPr>
            <w:tcW w:w="977" w:type="pct"/>
            <w:shd w:val="clear" w:color="auto" w:fill="auto"/>
            <w:vAlign w:val="center"/>
          </w:tcPr>
          <w:p w14:paraId="6375F8AD">
            <w:pPr>
              <w:spacing w:line="408" w:lineRule="auto"/>
              <w:rPr>
                <w:rFonts w:hint="eastAsia" w:ascii="仿宋" w:hAnsi="仿宋" w:eastAsia="仿宋"/>
                <w:bCs/>
                <w:sz w:val="18"/>
                <w:lang w:eastAsia="zh-CN"/>
              </w:rPr>
            </w:pPr>
            <w:r>
              <w:rPr>
                <w:rFonts w:hint="eastAsia" w:ascii="仿宋" w:hAnsi="仿宋" w:eastAsia="仿宋"/>
                <w:bCs/>
                <w:sz w:val="18"/>
                <w:lang w:eastAsia="zh-CN"/>
              </w:rPr>
              <w:t>部门本年度</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实际支出数与预算安排数的比率,用以反映和考核部门对</w:t>
            </w:r>
            <w:r>
              <w:rPr>
                <w:rFonts w:ascii="仿宋" w:hAnsi="仿宋" w:eastAsia="仿宋"/>
                <w:bCs/>
                <w:sz w:val="18"/>
                <w:lang w:eastAsia="zh-CN"/>
              </w:rPr>
              <w:t>“</w:t>
            </w:r>
            <w:r>
              <w:rPr>
                <w:rFonts w:hint="eastAsia" w:ascii="仿宋" w:hAnsi="仿宋" w:eastAsia="仿宋"/>
                <w:bCs/>
                <w:sz w:val="18"/>
                <w:lang w:eastAsia="zh-CN"/>
              </w:rPr>
              <w:t>三公经费</w:t>
            </w:r>
            <w:r>
              <w:rPr>
                <w:rFonts w:ascii="仿宋" w:hAnsi="仿宋" w:eastAsia="仿宋"/>
                <w:bCs/>
                <w:sz w:val="18"/>
                <w:lang w:eastAsia="zh-CN"/>
              </w:rPr>
              <w:t>”</w:t>
            </w:r>
            <w:r>
              <w:rPr>
                <w:rFonts w:hint="eastAsia" w:ascii="仿宋" w:hAnsi="仿宋" w:eastAsia="仿宋"/>
                <w:bCs/>
                <w:sz w:val="18"/>
                <w:lang w:eastAsia="zh-CN"/>
              </w:rPr>
              <w:t>的实际控制程度。</w:t>
            </w:r>
          </w:p>
        </w:tc>
        <w:tc>
          <w:tcPr>
            <w:tcW w:w="1496" w:type="pct"/>
            <w:shd w:val="clear" w:color="auto" w:fill="auto"/>
            <w:vAlign w:val="center"/>
          </w:tcPr>
          <w:p w14:paraId="3FD1E4E8">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评价要点：公用经费控制率=（实际支出公用经费总额/预算安排公用经费总额）</w:t>
            </w:r>
            <w:r>
              <w:rPr>
                <w:rFonts w:ascii="仿宋" w:hAnsi="仿宋" w:eastAsia="仿宋"/>
                <w:bCs/>
                <w:sz w:val="18"/>
                <w:lang w:eastAsia="zh-CN"/>
              </w:rPr>
              <w:t>×</w:t>
            </w:r>
            <w:r>
              <w:rPr>
                <w:rFonts w:hint="eastAsia" w:ascii="仿宋" w:hAnsi="仿宋" w:eastAsia="仿宋"/>
                <w:bCs/>
                <w:sz w:val="18"/>
                <w:lang w:eastAsia="zh-CN"/>
              </w:rPr>
              <w:t>100%。</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公用经费控制率≦100%，得满分；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公用经费控制率≧105%，得0分；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100%＜公用经费控制率&lt;105%，得分=（105%-公用经费控制率）/5%×该指标分值。</w:t>
            </w:r>
          </w:p>
        </w:tc>
        <w:tc>
          <w:tcPr>
            <w:tcW w:w="261" w:type="pct"/>
            <w:shd w:val="clear" w:color="auto" w:fill="auto"/>
            <w:vAlign w:val="center"/>
          </w:tcPr>
          <w:p w14:paraId="72476CDF">
            <w:pPr>
              <w:spacing w:line="408" w:lineRule="auto"/>
              <w:jc w:val="right"/>
              <w:rPr>
                <w:rFonts w:hint="eastAsia" w:ascii="仿宋" w:hAnsi="仿宋" w:eastAsia="仿宋"/>
                <w:bCs/>
                <w:sz w:val="18"/>
              </w:rPr>
            </w:pPr>
            <w:r>
              <w:rPr>
                <w:rFonts w:hint="eastAsia" w:ascii="仿宋" w:hAnsi="仿宋" w:eastAsia="仿宋"/>
                <w:bCs/>
                <w:sz w:val="18"/>
              </w:rPr>
              <w:t>2</w:t>
            </w:r>
          </w:p>
        </w:tc>
        <w:tc>
          <w:tcPr>
            <w:tcW w:w="261" w:type="pct"/>
            <w:shd w:val="clear" w:color="auto" w:fill="auto"/>
            <w:vAlign w:val="center"/>
          </w:tcPr>
          <w:p w14:paraId="3928A9FD">
            <w:pPr>
              <w:spacing w:line="408" w:lineRule="auto"/>
              <w:jc w:val="right"/>
              <w:rPr>
                <w:rFonts w:hint="eastAsia" w:ascii="仿宋" w:hAnsi="仿宋" w:eastAsia="仿宋"/>
                <w:bCs/>
                <w:sz w:val="18"/>
              </w:rPr>
            </w:pPr>
            <w:r>
              <w:rPr>
                <w:rFonts w:hint="eastAsia" w:ascii="仿宋" w:hAnsi="仿宋" w:eastAsia="仿宋"/>
                <w:bCs/>
                <w:sz w:val="18"/>
              </w:rPr>
              <w:t>2</w:t>
            </w:r>
          </w:p>
        </w:tc>
      </w:tr>
      <w:tr w14:paraId="2DBD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247A6106">
            <w:pPr>
              <w:spacing w:line="408" w:lineRule="auto"/>
              <w:jc w:val="center"/>
              <w:rPr>
                <w:rFonts w:hint="eastAsia" w:ascii="仿宋" w:hAnsi="仿宋" w:eastAsia="仿宋"/>
                <w:bCs/>
                <w:sz w:val="18"/>
              </w:rPr>
            </w:pPr>
          </w:p>
        </w:tc>
        <w:tc>
          <w:tcPr>
            <w:tcW w:w="621" w:type="pct"/>
            <w:vMerge w:val="restart"/>
            <w:shd w:val="clear" w:color="auto" w:fill="auto"/>
            <w:vAlign w:val="center"/>
          </w:tcPr>
          <w:p w14:paraId="05E8F861">
            <w:pPr>
              <w:spacing w:line="408" w:lineRule="auto"/>
              <w:rPr>
                <w:rFonts w:hint="eastAsia" w:ascii="仿宋" w:hAnsi="仿宋" w:eastAsia="仿宋"/>
                <w:bCs/>
                <w:sz w:val="18"/>
              </w:rPr>
            </w:pPr>
            <w:r>
              <w:rPr>
                <w:rFonts w:hint="eastAsia" w:ascii="仿宋" w:hAnsi="仿宋" w:eastAsia="仿宋"/>
                <w:bCs/>
                <w:sz w:val="18"/>
              </w:rPr>
              <w:t>预算管理（13分）</w:t>
            </w:r>
          </w:p>
        </w:tc>
        <w:tc>
          <w:tcPr>
            <w:tcW w:w="902" w:type="pct"/>
            <w:shd w:val="clear" w:color="auto" w:fill="auto"/>
            <w:vAlign w:val="center"/>
          </w:tcPr>
          <w:p w14:paraId="558D4281">
            <w:pPr>
              <w:spacing w:line="408" w:lineRule="auto"/>
              <w:rPr>
                <w:rFonts w:hint="eastAsia" w:ascii="仿宋" w:hAnsi="仿宋" w:eastAsia="仿宋"/>
                <w:bCs/>
                <w:sz w:val="18"/>
              </w:rPr>
            </w:pPr>
            <w:r>
              <w:rPr>
                <w:rFonts w:hint="eastAsia" w:ascii="仿宋" w:hAnsi="仿宋" w:eastAsia="仿宋"/>
                <w:bCs/>
                <w:sz w:val="18"/>
              </w:rPr>
              <w:t>管理制度健全性（1.5分）</w:t>
            </w:r>
          </w:p>
        </w:tc>
        <w:tc>
          <w:tcPr>
            <w:tcW w:w="977" w:type="pct"/>
            <w:shd w:val="clear" w:color="auto" w:fill="auto"/>
            <w:vAlign w:val="center"/>
          </w:tcPr>
          <w:p w14:paraId="273D4195">
            <w:pPr>
              <w:spacing w:line="408" w:lineRule="auto"/>
              <w:rPr>
                <w:rFonts w:hint="eastAsia" w:ascii="仿宋" w:hAnsi="仿宋" w:eastAsia="仿宋"/>
                <w:bCs/>
                <w:sz w:val="18"/>
                <w:lang w:eastAsia="zh-CN"/>
              </w:rPr>
            </w:pPr>
            <w:r>
              <w:rPr>
                <w:rFonts w:hint="eastAsia" w:ascii="仿宋" w:hAnsi="仿宋" w:eastAsia="仿宋"/>
                <w:bCs/>
                <w:sz w:val="18"/>
                <w:lang w:eastAsia="zh-CN"/>
              </w:rPr>
              <w:t>部门为加强预算管理、规范财务行为而制定的管理制度是否健全完整，用以反映和考核部门预算管理制度对完成主要职责或促进事业发展的保障情况。</w:t>
            </w:r>
          </w:p>
        </w:tc>
        <w:tc>
          <w:tcPr>
            <w:tcW w:w="1496" w:type="pct"/>
            <w:shd w:val="clear" w:color="auto" w:fill="auto"/>
            <w:vAlign w:val="center"/>
          </w:tcPr>
          <w:p w14:paraId="7409A820">
            <w:pPr>
              <w:spacing w:line="408" w:lineRule="auto"/>
              <w:rPr>
                <w:rFonts w:hint="eastAsia" w:ascii="仿宋" w:hAnsi="仿宋" w:eastAsia="仿宋"/>
                <w:bCs/>
                <w:sz w:val="18"/>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是否已制定或具有预算资金管理办法、内部财务管理制度、会计核算制度等管理制度；</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相关管理制度是否合法、合规、完整；</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相关管理制度是否得到有效执行。</w:t>
            </w:r>
            <w:r>
              <w:rPr>
                <w:rFonts w:hint="eastAsia" w:ascii="仿宋" w:hAnsi="仿宋" w:eastAsia="仿宋"/>
                <w:bCs/>
                <w:sz w:val="18"/>
                <w:lang w:eastAsia="zh-CN"/>
              </w:rPr>
              <w:br w:type="textWrapping"/>
            </w:r>
            <w:r>
              <w:rPr>
                <w:rFonts w:hint="eastAsia" w:ascii="仿宋" w:hAnsi="仿宋" w:eastAsia="仿宋"/>
                <w:bCs/>
                <w:sz w:val="18"/>
              </w:rPr>
              <w:t>一项不符合扣0.5分。</w:t>
            </w:r>
          </w:p>
        </w:tc>
        <w:tc>
          <w:tcPr>
            <w:tcW w:w="261" w:type="pct"/>
            <w:shd w:val="clear" w:color="auto" w:fill="auto"/>
            <w:vAlign w:val="center"/>
          </w:tcPr>
          <w:p w14:paraId="3183B9E7">
            <w:pPr>
              <w:spacing w:line="408" w:lineRule="auto"/>
              <w:jc w:val="right"/>
              <w:rPr>
                <w:rFonts w:hint="eastAsia" w:ascii="仿宋" w:hAnsi="仿宋" w:eastAsia="仿宋"/>
                <w:bCs/>
                <w:sz w:val="18"/>
              </w:rPr>
            </w:pPr>
            <w:r>
              <w:rPr>
                <w:rFonts w:hint="eastAsia" w:ascii="仿宋" w:hAnsi="仿宋" w:eastAsia="仿宋"/>
                <w:bCs/>
                <w:sz w:val="18"/>
              </w:rPr>
              <w:t>1.5</w:t>
            </w:r>
          </w:p>
        </w:tc>
        <w:tc>
          <w:tcPr>
            <w:tcW w:w="261" w:type="pct"/>
            <w:shd w:val="clear" w:color="auto" w:fill="auto"/>
            <w:vAlign w:val="center"/>
          </w:tcPr>
          <w:p w14:paraId="257FAA83">
            <w:pPr>
              <w:spacing w:line="408" w:lineRule="auto"/>
              <w:jc w:val="right"/>
              <w:rPr>
                <w:rFonts w:hint="eastAsia" w:ascii="仿宋" w:hAnsi="仿宋" w:eastAsia="仿宋"/>
                <w:bCs/>
                <w:sz w:val="18"/>
              </w:rPr>
            </w:pPr>
            <w:r>
              <w:rPr>
                <w:rFonts w:hint="eastAsia" w:ascii="仿宋" w:hAnsi="仿宋" w:eastAsia="仿宋"/>
                <w:bCs/>
                <w:sz w:val="18"/>
              </w:rPr>
              <w:t>1.5</w:t>
            </w:r>
          </w:p>
        </w:tc>
      </w:tr>
      <w:tr w14:paraId="3C6E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6300F193">
            <w:pPr>
              <w:spacing w:line="408" w:lineRule="auto"/>
              <w:jc w:val="center"/>
              <w:rPr>
                <w:rFonts w:hint="eastAsia" w:ascii="仿宋" w:hAnsi="仿宋" w:eastAsia="仿宋"/>
                <w:bCs/>
                <w:sz w:val="18"/>
              </w:rPr>
            </w:pPr>
          </w:p>
        </w:tc>
        <w:tc>
          <w:tcPr>
            <w:tcW w:w="621" w:type="pct"/>
            <w:vMerge w:val="continue"/>
            <w:shd w:val="clear" w:color="auto" w:fill="auto"/>
            <w:vAlign w:val="center"/>
          </w:tcPr>
          <w:p w14:paraId="3640889E">
            <w:pPr>
              <w:spacing w:line="408" w:lineRule="auto"/>
              <w:jc w:val="center"/>
              <w:rPr>
                <w:rFonts w:hint="eastAsia" w:ascii="仿宋" w:hAnsi="仿宋" w:eastAsia="仿宋"/>
                <w:bCs/>
                <w:sz w:val="18"/>
              </w:rPr>
            </w:pPr>
          </w:p>
        </w:tc>
        <w:tc>
          <w:tcPr>
            <w:tcW w:w="902" w:type="pct"/>
            <w:shd w:val="clear" w:color="auto" w:fill="auto"/>
            <w:vAlign w:val="center"/>
          </w:tcPr>
          <w:p w14:paraId="64C5E4AC">
            <w:pPr>
              <w:spacing w:line="408" w:lineRule="auto"/>
              <w:rPr>
                <w:rFonts w:hint="eastAsia" w:ascii="仿宋" w:hAnsi="仿宋" w:eastAsia="仿宋"/>
                <w:bCs/>
                <w:sz w:val="18"/>
              </w:rPr>
            </w:pPr>
            <w:r>
              <w:rPr>
                <w:rFonts w:hint="eastAsia" w:ascii="仿宋" w:hAnsi="仿宋" w:eastAsia="仿宋"/>
                <w:bCs/>
                <w:sz w:val="18"/>
              </w:rPr>
              <w:t>政府采购管理（1分）</w:t>
            </w:r>
          </w:p>
        </w:tc>
        <w:tc>
          <w:tcPr>
            <w:tcW w:w="977" w:type="pct"/>
            <w:shd w:val="clear" w:color="auto" w:fill="auto"/>
            <w:vAlign w:val="center"/>
          </w:tcPr>
          <w:p w14:paraId="16E27B12">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主要评价部门（单位）本年度政府采购是否执行政府采购相关规定和要求，用以反映和考核部门（单位）政府采购预算执行情况。</w:t>
            </w:r>
          </w:p>
        </w:tc>
        <w:tc>
          <w:tcPr>
            <w:tcW w:w="1496" w:type="pct"/>
            <w:shd w:val="clear" w:color="auto" w:fill="auto"/>
            <w:vAlign w:val="center"/>
          </w:tcPr>
          <w:p w14:paraId="09981A30">
            <w:pPr>
              <w:spacing w:line="408" w:lineRule="auto"/>
              <w:rPr>
                <w:rFonts w:hint="eastAsia" w:ascii="仿宋" w:hAnsi="仿宋" w:eastAsia="仿宋"/>
                <w:bCs/>
                <w:sz w:val="18"/>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是否按照规定编制政府采购预算；</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是否编制了政府采购计划表，编制是否准确；</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政府采购预算资金申请是否合规；</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是否存在政府采购未按规定公开招标、违规采购等违规行为。</w:t>
            </w:r>
            <w:r>
              <w:rPr>
                <w:rFonts w:hint="eastAsia" w:ascii="仿宋" w:hAnsi="仿宋" w:eastAsia="仿宋"/>
                <w:bCs/>
                <w:sz w:val="18"/>
                <w:lang w:eastAsia="zh-CN"/>
              </w:rPr>
              <w:br w:type="textWrapping"/>
            </w:r>
            <w:r>
              <w:rPr>
                <w:rFonts w:hint="eastAsia" w:ascii="仿宋" w:hAnsi="仿宋" w:eastAsia="仿宋"/>
                <w:bCs/>
                <w:sz w:val="18"/>
              </w:rPr>
              <w:t>一项不符合扣0.25分。</w:t>
            </w:r>
          </w:p>
        </w:tc>
        <w:tc>
          <w:tcPr>
            <w:tcW w:w="261" w:type="pct"/>
            <w:shd w:val="clear" w:color="auto" w:fill="auto"/>
            <w:vAlign w:val="center"/>
          </w:tcPr>
          <w:p w14:paraId="2B316334">
            <w:pPr>
              <w:spacing w:line="408" w:lineRule="auto"/>
              <w:jc w:val="right"/>
              <w:rPr>
                <w:rFonts w:hint="eastAsia" w:ascii="仿宋" w:hAnsi="仿宋" w:eastAsia="仿宋"/>
                <w:bCs/>
                <w:sz w:val="18"/>
              </w:rPr>
            </w:pPr>
            <w:r>
              <w:rPr>
                <w:rFonts w:hint="eastAsia" w:ascii="仿宋" w:hAnsi="仿宋" w:eastAsia="仿宋"/>
                <w:bCs/>
                <w:sz w:val="18"/>
              </w:rPr>
              <w:t>1</w:t>
            </w:r>
          </w:p>
        </w:tc>
        <w:tc>
          <w:tcPr>
            <w:tcW w:w="261" w:type="pct"/>
            <w:shd w:val="clear" w:color="auto" w:fill="auto"/>
            <w:vAlign w:val="center"/>
          </w:tcPr>
          <w:p w14:paraId="20B78B79">
            <w:pPr>
              <w:spacing w:line="408" w:lineRule="auto"/>
              <w:jc w:val="right"/>
              <w:rPr>
                <w:rFonts w:hint="eastAsia" w:ascii="仿宋" w:hAnsi="仿宋" w:eastAsia="仿宋"/>
                <w:bCs/>
                <w:sz w:val="18"/>
              </w:rPr>
            </w:pPr>
            <w:r>
              <w:rPr>
                <w:rFonts w:hint="eastAsia" w:ascii="仿宋" w:hAnsi="仿宋" w:eastAsia="仿宋"/>
                <w:bCs/>
                <w:sz w:val="18"/>
              </w:rPr>
              <w:t>1</w:t>
            </w:r>
          </w:p>
        </w:tc>
      </w:tr>
      <w:tr w14:paraId="006AB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70E2E07">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608B51B">
            <w:pPr>
              <w:spacing w:line="408" w:lineRule="auto"/>
              <w:jc w:val="center"/>
              <w:rPr>
                <w:rFonts w:hint="eastAsia" w:ascii="仿宋" w:hAnsi="仿宋" w:eastAsia="仿宋"/>
                <w:bCs/>
                <w:sz w:val="18"/>
              </w:rPr>
            </w:pPr>
          </w:p>
        </w:tc>
        <w:tc>
          <w:tcPr>
            <w:tcW w:w="902" w:type="pct"/>
            <w:shd w:val="clear" w:color="auto" w:fill="auto"/>
            <w:vAlign w:val="center"/>
          </w:tcPr>
          <w:p w14:paraId="4718C2AC">
            <w:pPr>
              <w:spacing w:line="408" w:lineRule="auto"/>
              <w:rPr>
                <w:rFonts w:hint="eastAsia" w:ascii="仿宋" w:hAnsi="仿宋" w:eastAsia="仿宋"/>
                <w:bCs/>
                <w:sz w:val="18"/>
                <w:lang w:eastAsia="zh-CN"/>
              </w:rPr>
            </w:pPr>
            <w:r>
              <w:rPr>
                <w:rFonts w:hint="eastAsia" w:ascii="仿宋" w:hAnsi="仿宋" w:eastAsia="仿宋"/>
                <w:bCs/>
                <w:sz w:val="18"/>
                <w:lang w:eastAsia="zh-CN"/>
              </w:rPr>
              <w:t>会计核算规范性（4分）</w:t>
            </w:r>
          </w:p>
        </w:tc>
        <w:tc>
          <w:tcPr>
            <w:tcW w:w="977" w:type="pct"/>
            <w:shd w:val="clear" w:color="auto" w:fill="auto"/>
            <w:vAlign w:val="center"/>
          </w:tcPr>
          <w:p w14:paraId="1BF10FB0">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主要评价部门（单位）财务会计核算是否规范，是否符合会计准则的相关规定，是否符合财务管理制度，用以反映和考核部门（单位）财务会计核算情况。</w:t>
            </w:r>
          </w:p>
        </w:tc>
        <w:tc>
          <w:tcPr>
            <w:tcW w:w="1496" w:type="pct"/>
            <w:shd w:val="clear" w:color="auto" w:fill="auto"/>
            <w:vAlign w:val="center"/>
          </w:tcPr>
          <w:p w14:paraId="09F38631">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是否遵循会计准则，会计科目使用是否正确，记账凭证填写是否规范；</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会计报表、财务报告编制是否准确、及时；</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应缴财政款年末是否按规定年终清缴后无余额；</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是否存在截留、挤占、挪用、虚列支出的情况。</w:t>
            </w:r>
            <w:r>
              <w:rPr>
                <w:rFonts w:hint="eastAsia" w:ascii="仿宋" w:hAnsi="仿宋" w:eastAsia="仿宋"/>
                <w:bCs/>
                <w:sz w:val="18"/>
                <w:lang w:eastAsia="zh-CN"/>
              </w:rPr>
              <w:br w:type="textWrapping"/>
            </w:r>
            <w:r>
              <w:rPr>
                <w:rFonts w:hint="eastAsia" w:ascii="仿宋" w:hAnsi="仿宋" w:eastAsia="仿宋"/>
                <w:bCs/>
                <w:sz w:val="18"/>
                <w:lang w:eastAsia="zh-CN"/>
              </w:rPr>
              <w:t>一项不符扣1分，扣完为止。</w:t>
            </w:r>
          </w:p>
        </w:tc>
        <w:tc>
          <w:tcPr>
            <w:tcW w:w="261" w:type="pct"/>
            <w:shd w:val="clear" w:color="auto" w:fill="auto"/>
            <w:vAlign w:val="center"/>
          </w:tcPr>
          <w:p w14:paraId="5E6FC291">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00881A6F">
            <w:pPr>
              <w:spacing w:line="408" w:lineRule="auto"/>
              <w:jc w:val="right"/>
              <w:rPr>
                <w:rFonts w:hint="eastAsia" w:ascii="仿宋" w:hAnsi="仿宋" w:eastAsia="仿宋"/>
                <w:bCs/>
                <w:sz w:val="18"/>
              </w:rPr>
            </w:pPr>
            <w:r>
              <w:rPr>
                <w:rFonts w:hint="eastAsia" w:ascii="仿宋" w:hAnsi="仿宋" w:eastAsia="仿宋"/>
                <w:bCs/>
                <w:sz w:val="18"/>
              </w:rPr>
              <w:t>3</w:t>
            </w:r>
          </w:p>
        </w:tc>
      </w:tr>
      <w:tr w14:paraId="51B6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637AB1BF">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501E43A">
            <w:pPr>
              <w:spacing w:line="408" w:lineRule="auto"/>
              <w:jc w:val="center"/>
              <w:rPr>
                <w:rFonts w:hint="eastAsia" w:ascii="仿宋" w:hAnsi="仿宋" w:eastAsia="仿宋"/>
                <w:bCs/>
                <w:sz w:val="18"/>
              </w:rPr>
            </w:pPr>
          </w:p>
        </w:tc>
        <w:tc>
          <w:tcPr>
            <w:tcW w:w="902" w:type="pct"/>
            <w:shd w:val="clear" w:color="auto" w:fill="auto"/>
            <w:vAlign w:val="center"/>
          </w:tcPr>
          <w:p w14:paraId="649D7EFA">
            <w:pPr>
              <w:spacing w:line="408" w:lineRule="auto"/>
              <w:rPr>
                <w:rFonts w:hint="eastAsia" w:ascii="仿宋" w:hAnsi="仿宋" w:eastAsia="仿宋"/>
                <w:bCs/>
                <w:sz w:val="18"/>
                <w:lang w:eastAsia="zh-CN"/>
              </w:rPr>
            </w:pPr>
            <w:r>
              <w:rPr>
                <w:rFonts w:hint="eastAsia" w:ascii="仿宋" w:hAnsi="仿宋" w:eastAsia="仿宋"/>
                <w:bCs/>
                <w:sz w:val="18"/>
                <w:lang w:eastAsia="zh-CN"/>
              </w:rPr>
              <w:t>预决算信息公开性（1分）</w:t>
            </w:r>
          </w:p>
        </w:tc>
        <w:tc>
          <w:tcPr>
            <w:tcW w:w="977" w:type="pct"/>
            <w:shd w:val="clear" w:color="auto" w:fill="auto"/>
            <w:vAlign w:val="center"/>
          </w:tcPr>
          <w:p w14:paraId="091D2B0B">
            <w:pPr>
              <w:spacing w:line="408" w:lineRule="auto"/>
              <w:rPr>
                <w:rFonts w:hint="eastAsia" w:ascii="仿宋" w:hAnsi="仿宋" w:eastAsia="仿宋"/>
                <w:bCs/>
                <w:sz w:val="18"/>
                <w:lang w:eastAsia="zh-CN"/>
              </w:rPr>
            </w:pPr>
            <w:r>
              <w:rPr>
                <w:rFonts w:hint="eastAsia" w:ascii="仿宋" w:hAnsi="仿宋" w:eastAsia="仿宋"/>
                <w:bCs/>
                <w:sz w:val="18"/>
                <w:lang w:eastAsia="zh-CN"/>
              </w:rPr>
              <w:t>是否按照政府信息公开有关规定及预决算批复文件中要求的格式、时限公开相关预决算信息，用以反映和评价部门预决算管理的公开透明情况。</w:t>
            </w:r>
          </w:p>
        </w:tc>
        <w:tc>
          <w:tcPr>
            <w:tcW w:w="1496" w:type="pct"/>
            <w:shd w:val="clear" w:color="auto" w:fill="auto"/>
            <w:vAlign w:val="center"/>
          </w:tcPr>
          <w:p w14:paraId="3F08FFE4">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按要求的格式、时限公开预算（0.5分）；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按要求的格式、时限公开决算（0.5分）；</w:t>
            </w:r>
          </w:p>
        </w:tc>
        <w:tc>
          <w:tcPr>
            <w:tcW w:w="261" w:type="pct"/>
            <w:shd w:val="clear" w:color="auto" w:fill="auto"/>
            <w:vAlign w:val="center"/>
          </w:tcPr>
          <w:p w14:paraId="574D9ED3">
            <w:pPr>
              <w:spacing w:line="408" w:lineRule="auto"/>
              <w:jc w:val="right"/>
              <w:rPr>
                <w:rFonts w:hint="eastAsia" w:ascii="仿宋" w:hAnsi="仿宋" w:eastAsia="仿宋"/>
                <w:bCs/>
                <w:sz w:val="18"/>
              </w:rPr>
            </w:pPr>
            <w:r>
              <w:rPr>
                <w:rFonts w:hint="eastAsia" w:ascii="仿宋" w:hAnsi="仿宋" w:eastAsia="仿宋"/>
                <w:bCs/>
                <w:sz w:val="18"/>
              </w:rPr>
              <w:t>1</w:t>
            </w:r>
          </w:p>
        </w:tc>
        <w:tc>
          <w:tcPr>
            <w:tcW w:w="261" w:type="pct"/>
            <w:shd w:val="clear" w:color="auto" w:fill="auto"/>
            <w:vAlign w:val="center"/>
          </w:tcPr>
          <w:p w14:paraId="57D2EC0D">
            <w:pPr>
              <w:spacing w:line="408" w:lineRule="auto"/>
              <w:jc w:val="right"/>
              <w:rPr>
                <w:rFonts w:hint="eastAsia" w:ascii="仿宋" w:hAnsi="仿宋" w:eastAsia="仿宋"/>
                <w:bCs/>
                <w:sz w:val="18"/>
              </w:rPr>
            </w:pPr>
            <w:r>
              <w:rPr>
                <w:rFonts w:hint="eastAsia" w:ascii="仿宋" w:hAnsi="仿宋" w:eastAsia="仿宋"/>
                <w:bCs/>
                <w:sz w:val="18"/>
              </w:rPr>
              <w:t>1</w:t>
            </w:r>
          </w:p>
        </w:tc>
      </w:tr>
      <w:tr w14:paraId="3355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2A2ABD3E">
            <w:pPr>
              <w:spacing w:line="408" w:lineRule="auto"/>
              <w:jc w:val="center"/>
              <w:rPr>
                <w:rFonts w:hint="eastAsia" w:ascii="仿宋" w:hAnsi="仿宋" w:eastAsia="仿宋"/>
                <w:bCs/>
                <w:sz w:val="18"/>
              </w:rPr>
            </w:pPr>
          </w:p>
        </w:tc>
        <w:tc>
          <w:tcPr>
            <w:tcW w:w="621" w:type="pct"/>
            <w:vMerge w:val="continue"/>
            <w:shd w:val="clear" w:color="auto" w:fill="auto"/>
            <w:vAlign w:val="center"/>
          </w:tcPr>
          <w:p w14:paraId="44AAB503">
            <w:pPr>
              <w:spacing w:line="408" w:lineRule="auto"/>
              <w:jc w:val="center"/>
              <w:rPr>
                <w:rFonts w:hint="eastAsia" w:ascii="仿宋" w:hAnsi="仿宋" w:eastAsia="仿宋"/>
                <w:bCs/>
                <w:sz w:val="18"/>
              </w:rPr>
            </w:pPr>
          </w:p>
        </w:tc>
        <w:tc>
          <w:tcPr>
            <w:tcW w:w="902" w:type="pct"/>
            <w:shd w:val="clear" w:color="auto" w:fill="auto"/>
            <w:vAlign w:val="center"/>
          </w:tcPr>
          <w:p w14:paraId="63EF047C">
            <w:pPr>
              <w:spacing w:line="408" w:lineRule="auto"/>
              <w:rPr>
                <w:rFonts w:hint="eastAsia" w:ascii="仿宋" w:hAnsi="仿宋" w:eastAsia="仿宋"/>
                <w:bCs/>
                <w:sz w:val="18"/>
                <w:lang w:eastAsia="zh-CN"/>
              </w:rPr>
            </w:pPr>
            <w:r>
              <w:rPr>
                <w:rFonts w:hint="eastAsia" w:ascii="仿宋" w:hAnsi="仿宋" w:eastAsia="仿宋"/>
                <w:bCs/>
                <w:sz w:val="18"/>
                <w:lang w:eastAsia="zh-CN"/>
              </w:rPr>
              <w:t>合同管理规范性（1.5分）</w:t>
            </w:r>
          </w:p>
        </w:tc>
        <w:tc>
          <w:tcPr>
            <w:tcW w:w="977" w:type="pct"/>
            <w:shd w:val="clear" w:color="auto" w:fill="auto"/>
            <w:vAlign w:val="center"/>
          </w:tcPr>
          <w:p w14:paraId="638C056D">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主要评价部门（单位）合同的签订是否符合《中华人民共和国民法典》的相关规定。</w:t>
            </w:r>
          </w:p>
        </w:tc>
        <w:tc>
          <w:tcPr>
            <w:tcW w:w="1496" w:type="pct"/>
            <w:shd w:val="clear" w:color="auto" w:fill="auto"/>
            <w:vAlign w:val="center"/>
          </w:tcPr>
          <w:p w14:paraId="0DB91485">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单位的合同管理是否规范；</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内容和权责是否明确；</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双方是否按照合同条款，履行合同的权利和义务。</w:t>
            </w:r>
            <w:r>
              <w:rPr>
                <w:rFonts w:hint="eastAsia" w:ascii="仿宋" w:hAnsi="仿宋" w:eastAsia="仿宋"/>
                <w:bCs/>
                <w:sz w:val="18"/>
                <w:lang w:eastAsia="zh-CN"/>
              </w:rPr>
              <w:br w:type="textWrapping"/>
            </w:r>
            <w:r>
              <w:rPr>
                <w:rFonts w:hint="eastAsia" w:ascii="仿宋" w:hAnsi="仿宋" w:eastAsia="仿宋"/>
                <w:bCs/>
                <w:sz w:val="18"/>
                <w:lang w:eastAsia="zh-CN"/>
              </w:rPr>
              <w:t>一项不符扣0.5分，扣完为止。</w:t>
            </w:r>
          </w:p>
        </w:tc>
        <w:tc>
          <w:tcPr>
            <w:tcW w:w="261" w:type="pct"/>
            <w:shd w:val="clear" w:color="auto" w:fill="auto"/>
            <w:vAlign w:val="center"/>
          </w:tcPr>
          <w:p w14:paraId="1054F7B4">
            <w:pPr>
              <w:spacing w:line="408" w:lineRule="auto"/>
              <w:jc w:val="right"/>
              <w:rPr>
                <w:rFonts w:hint="eastAsia" w:ascii="仿宋" w:hAnsi="仿宋" w:eastAsia="仿宋"/>
                <w:bCs/>
                <w:sz w:val="18"/>
              </w:rPr>
            </w:pPr>
            <w:r>
              <w:rPr>
                <w:rFonts w:hint="eastAsia" w:ascii="仿宋" w:hAnsi="仿宋" w:eastAsia="仿宋"/>
                <w:bCs/>
                <w:sz w:val="18"/>
              </w:rPr>
              <w:t>1.5</w:t>
            </w:r>
          </w:p>
        </w:tc>
        <w:tc>
          <w:tcPr>
            <w:tcW w:w="261" w:type="pct"/>
            <w:shd w:val="clear" w:color="auto" w:fill="auto"/>
            <w:vAlign w:val="center"/>
          </w:tcPr>
          <w:p w14:paraId="26AF6F83">
            <w:pPr>
              <w:spacing w:line="408" w:lineRule="auto"/>
              <w:jc w:val="right"/>
              <w:rPr>
                <w:rFonts w:hint="eastAsia" w:ascii="仿宋" w:hAnsi="仿宋" w:eastAsia="仿宋"/>
                <w:bCs/>
                <w:sz w:val="18"/>
              </w:rPr>
            </w:pPr>
            <w:r>
              <w:rPr>
                <w:rFonts w:hint="eastAsia" w:ascii="仿宋" w:hAnsi="仿宋" w:eastAsia="仿宋"/>
                <w:bCs/>
                <w:sz w:val="18"/>
              </w:rPr>
              <w:t>1.5</w:t>
            </w:r>
          </w:p>
        </w:tc>
      </w:tr>
      <w:tr w14:paraId="1E71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32D1E6A">
            <w:pPr>
              <w:spacing w:line="408" w:lineRule="auto"/>
              <w:jc w:val="center"/>
              <w:rPr>
                <w:rFonts w:hint="eastAsia" w:ascii="仿宋" w:hAnsi="仿宋" w:eastAsia="仿宋"/>
                <w:bCs/>
                <w:sz w:val="18"/>
              </w:rPr>
            </w:pPr>
          </w:p>
        </w:tc>
        <w:tc>
          <w:tcPr>
            <w:tcW w:w="621" w:type="pct"/>
            <w:vMerge w:val="continue"/>
            <w:shd w:val="clear" w:color="auto" w:fill="auto"/>
            <w:vAlign w:val="center"/>
          </w:tcPr>
          <w:p w14:paraId="34F4AE43">
            <w:pPr>
              <w:spacing w:line="408" w:lineRule="auto"/>
              <w:jc w:val="center"/>
              <w:rPr>
                <w:rFonts w:hint="eastAsia" w:ascii="仿宋" w:hAnsi="仿宋" w:eastAsia="仿宋"/>
                <w:bCs/>
                <w:sz w:val="18"/>
              </w:rPr>
            </w:pPr>
          </w:p>
        </w:tc>
        <w:tc>
          <w:tcPr>
            <w:tcW w:w="902" w:type="pct"/>
            <w:shd w:val="clear" w:color="auto" w:fill="auto"/>
            <w:vAlign w:val="center"/>
          </w:tcPr>
          <w:p w14:paraId="29CE1BD4">
            <w:pPr>
              <w:spacing w:line="408" w:lineRule="auto"/>
              <w:rPr>
                <w:rFonts w:hint="eastAsia" w:ascii="仿宋" w:hAnsi="仿宋" w:eastAsia="仿宋"/>
                <w:bCs/>
                <w:sz w:val="18"/>
              </w:rPr>
            </w:pPr>
            <w:r>
              <w:rPr>
                <w:rFonts w:hint="eastAsia" w:ascii="仿宋" w:hAnsi="仿宋" w:eastAsia="仿宋"/>
                <w:bCs/>
                <w:sz w:val="18"/>
              </w:rPr>
              <w:t>资产管理完整性</w:t>
            </w:r>
            <w:r>
              <w:rPr>
                <w:rFonts w:hint="eastAsia" w:ascii="仿宋" w:hAnsi="仿宋" w:eastAsia="仿宋"/>
                <w:bCs/>
                <w:sz w:val="18"/>
                <w:lang w:eastAsia="zh-CN"/>
              </w:rPr>
              <w:t>（</w:t>
            </w:r>
            <w:r>
              <w:rPr>
                <w:rFonts w:hint="eastAsia" w:ascii="仿宋" w:hAnsi="仿宋" w:eastAsia="仿宋"/>
                <w:bCs/>
                <w:sz w:val="18"/>
              </w:rPr>
              <w:t>1分）</w:t>
            </w:r>
          </w:p>
        </w:tc>
        <w:tc>
          <w:tcPr>
            <w:tcW w:w="977" w:type="pct"/>
            <w:shd w:val="clear" w:color="auto" w:fill="auto"/>
            <w:vAlign w:val="center"/>
          </w:tcPr>
          <w:p w14:paraId="630E6589">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主要评价部门（单位）对于单位资产的管理是否完整，是否做到账实相符。</w:t>
            </w:r>
          </w:p>
        </w:tc>
        <w:tc>
          <w:tcPr>
            <w:tcW w:w="1496" w:type="pct"/>
            <w:shd w:val="clear" w:color="auto" w:fill="auto"/>
            <w:vAlign w:val="center"/>
          </w:tcPr>
          <w:p w14:paraId="3A5A2A96">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抽查主管单位和下级单位资产管理制度是否健全、完整、合法；</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抽查主管单位和下级单位资产管理是否账实相符；</w:t>
            </w:r>
            <w:r>
              <w:rPr>
                <w:rFonts w:hint="eastAsia" w:ascii="仿宋" w:hAnsi="仿宋" w:eastAsia="仿宋"/>
                <w:bCs/>
                <w:sz w:val="18"/>
                <w:lang w:eastAsia="zh-CN"/>
              </w:rPr>
              <w:br w:type="textWrapping"/>
            </w:r>
            <w:r>
              <w:rPr>
                <w:rFonts w:hint="eastAsia" w:ascii="仿宋" w:hAnsi="仿宋" w:eastAsia="仿宋"/>
                <w:bCs/>
                <w:sz w:val="18"/>
                <w:lang w:eastAsia="zh-CN"/>
              </w:rPr>
              <w:t>一项不符扣0.5分，扣完为止。</w:t>
            </w:r>
          </w:p>
        </w:tc>
        <w:tc>
          <w:tcPr>
            <w:tcW w:w="261" w:type="pct"/>
            <w:shd w:val="clear" w:color="auto" w:fill="auto"/>
            <w:vAlign w:val="center"/>
          </w:tcPr>
          <w:p w14:paraId="302092F6">
            <w:pPr>
              <w:spacing w:line="408" w:lineRule="auto"/>
              <w:jc w:val="right"/>
              <w:rPr>
                <w:rFonts w:hint="eastAsia" w:ascii="仿宋" w:hAnsi="仿宋" w:eastAsia="仿宋"/>
                <w:bCs/>
                <w:sz w:val="18"/>
              </w:rPr>
            </w:pPr>
            <w:r>
              <w:rPr>
                <w:rFonts w:hint="eastAsia" w:ascii="仿宋" w:hAnsi="仿宋" w:eastAsia="仿宋"/>
                <w:bCs/>
                <w:sz w:val="18"/>
              </w:rPr>
              <w:t>1</w:t>
            </w:r>
          </w:p>
        </w:tc>
        <w:tc>
          <w:tcPr>
            <w:tcW w:w="261" w:type="pct"/>
            <w:shd w:val="clear" w:color="auto" w:fill="auto"/>
            <w:vAlign w:val="center"/>
          </w:tcPr>
          <w:p w14:paraId="6CB2B25E">
            <w:pPr>
              <w:spacing w:line="408" w:lineRule="auto"/>
              <w:jc w:val="right"/>
              <w:rPr>
                <w:rFonts w:hint="eastAsia" w:ascii="仿宋" w:hAnsi="仿宋" w:eastAsia="仿宋"/>
                <w:bCs/>
                <w:sz w:val="18"/>
              </w:rPr>
            </w:pPr>
            <w:r>
              <w:rPr>
                <w:rFonts w:hint="eastAsia" w:ascii="仿宋" w:hAnsi="仿宋" w:eastAsia="仿宋"/>
                <w:bCs/>
                <w:sz w:val="18"/>
              </w:rPr>
              <w:t>1</w:t>
            </w:r>
          </w:p>
        </w:tc>
      </w:tr>
      <w:tr w14:paraId="0617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569F8C4">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D796711">
            <w:pPr>
              <w:spacing w:line="408" w:lineRule="auto"/>
              <w:jc w:val="center"/>
              <w:rPr>
                <w:rFonts w:hint="eastAsia" w:ascii="仿宋" w:hAnsi="仿宋" w:eastAsia="仿宋"/>
                <w:bCs/>
                <w:sz w:val="18"/>
              </w:rPr>
            </w:pPr>
          </w:p>
        </w:tc>
        <w:tc>
          <w:tcPr>
            <w:tcW w:w="902" w:type="pct"/>
            <w:shd w:val="clear" w:color="auto" w:fill="auto"/>
            <w:vAlign w:val="center"/>
          </w:tcPr>
          <w:p w14:paraId="3573FEB9">
            <w:pPr>
              <w:spacing w:line="408" w:lineRule="auto"/>
              <w:rPr>
                <w:rFonts w:hint="eastAsia" w:ascii="仿宋" w:hAnsi="仿宋" w:eastAsia="仿宋"/>
                <w:bCs/>
                <w:sz w:val="18"/>
                <w:lang w:eastAsia="zh-CN"/>
              </w:rPr>
            </w:pPr>
            <w:r>
              <w:rPr>
                <w:rFonts w:hint="eastAsia" w:ascii="仿宋" w:hAnsi="仿宋" w:eastAsia="仿宋"/>
                <w:bCs/>
                <w:sz w:val="18"/>
                <w:lang w:eastAsia="zh-CN"/>
              </w:rPr>
              <w:t>绩效自评合规性（3分）</w:t>
            </w:r>
          </w:p>
        </w:tc>
        <w:tc>
          <w:tcPr>
            <w:tcW w:w="977" w:type="pct"/>
            <w:shd w:val="clear" w:color="auto" w:fill="auto"/>
            <w:vAlign w:val="center"/>
          </w:tcPr>
          <w:p w14:paraId="3DFFC950">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主要评价部门（单位）是否按要求开展绩效自评工作；绩效自评报告是否报送及时，绩效自评是否真实可靠。</w:t>
            </w:r>
          </w:p>
        </w:tc>
        <w:tc>
          <w:tcPr>
            <w:tcW w:w="1496" w:type="pct"/>
            <w:shd w:val="clear" w:color="auto" w:fill="auto"/>
            <w:vAlign w:val="center"/>
          </w:tcPr>
          <w:p w14:paraId="18DACE31">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是否按要求开展绩效自评工作；</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绩效自评报告是否报送及时；</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绩效自评报告是否完整，数据是否全面、真实、准确，绩效指标是否细化量化和科学合理；</w:t>
            </w:r>
            <w:r>
              <w:rPr>
                <w:rFonts w:hint="eastAsia" w:ascii="仿宋" w:hAnsi="仿宋" w:eastAsia="仿宋"/>
                <w:bCs/>
                <w:sz w:val="18"/>
                <w:lang w:eastAsia="zh-CN"/>
              </w:rPr>
              <w:br w:type="textWrapping"/>
            </w:r>
            <w:r>
              <w:rPr>
                <w:rFonts w:hint="eastAsia" w:ascii="仿宋" w:hAnsi="仿宋" w:eastAsia="仿宋"/>
                <w:bCs/>
                <w:sz w:val="18"/>
                <w:lang w:eastAsia="zh-CN"/>
              </w:rPr>
              <w:t>一项不符扣1分，扣完为止。</w:t>
            </w:r>
          </w:p>
        </w:tc>
        <w:tc>
          <w:tcPr>
            <w:tcW w:w="261" w:type="pct"/>
            <w:shd w:val="clear" w:color="auto" w:fill="auto"/>
            <w:vAlign w:val="center"/>
          </w:tcPr>
          <w:p w14:paraId="1D24F642">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2E080E41">
            <w:pPr>
              <w:spacing w:line="408" w:lineRule="auto"/>
              <w:jc w:val="right"/>
              <w:rPr>
                <w:rFonts w:hint="eastAsia" w:ascii="仿宋" w:hAnsi="仿宋" w:eastAsia="仿宋"/>
                <w:bCs/>
                <w:sz w:val="18"/>
              </w:rPr>
            </w:pPr>
            <w:r>
              <w:rPr>
                <w:rFonts w:hint="eastAsia" w:ascii="仿宋" w:hAnsi="仿宋" w:eastAsia="仿宋"/>
                <w:bCs/>
                <w:sz w:val="18"/>
              </w:rPr>
              <w:t>2</w:t>
            </w:r>
          </w:p>
        </w:tc>
      </w:tr>
      <w:tr w14:paraId="0391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restart"/>
            <w:shd w:val="clear" w:color="auto" w:fill="auto"/>
            <w:vAlign w:val="center"/>
          </w:tcPr>
          <w:p w14:paraId="0B0529D7">
            <w:pPr>
              <w:spacing w:line="408" w:lineRule="auto"/>
              <w:rPr>
                <w:rFonts w:hint="eastAsia" w:ascii="仿宋" w:hAnsi="仿宋" w:eastAsia="仿宋"/>
                <w:bCs/>
                <w:sz w:val="18"/>
              </w:rPr>
            </w:pPr>
            <w:r>
              <w:rPr>
                <w:rFonts w:hint="eastAsia" w:ascii="仿宋" w:hAnsi="仿宋" w:eastAsia="仿宋"/>
                <w:bCs/>
                <w:sz w:val="18"/>
              </w:rPr>
              <w:t>产出（34%）</w:t>
            </w:r>
          </w:p>
        </w:tc>
        <w:tc>
          <w:tcPr>
            <w:tcW w:w="621" w:type="pct"/>
            <w:vMerge w:val="restart"/>
            <w:shd w:val="clear" w:color="auto" w:fill="auto"/>
            <w:vAlign w:val="center"/>
          </w:tcPr>
          <w:p w14:paraId="6022DDB1">
            <w:pPr>
              <w:spacing w:line="408" w:lineRule="auto"/>
              <w:rPr>
                <w:rFonts w:hint="eastAsia" w:ascii="仿宋" w:hAnsi="仿宋" w:eastAsia="仿宋"/>
                <w:bCs/>
                <w:sz w:val="18"/>
              </w:rPr>
            </w:pPr>
            <w:r>
              <w:rPr>
                <w:rFonts w:hint="eastAsia" w:ascii="仿宋" w:hAnsi="仿宋" w:eastAsia="仿宋"/>
                <w:bCs/>
                <w:sz w:val="18"/>
              </w:rPr>
              <w:t>产出数量（18分）</w:t>
            </w:r>
          </w:p>
        </w:tc>
        <w:tc>
          <w:tcPr>
            <w:tcW w:w="902" w:type="pct"/>
            <w:shd w:val="clear" w:color="auto" w:fill="auto"/>
            <w:vAlign w:val="center"/>
          </w:tcPr>
          <w:p w14:paraId="349FBF2B">
            <w:pPr>
              <w:spacing w:line="408" w:lineRule="auto"/>
              <w:rPr>
                <w:rFonts w:hint="eastAsia" w:ascii="仿宋" w:hAnsi="仿宋" w:eastAsia="仿宋"/>
                <w:bCs/>
                <w:sz w:val="18"/>
                <w:lang w:eastAsia="zh-CN"/>
              </w:rPr>
            </w:pPr>
            <w:r>
              <w:rPr>
                <w:rFonts w:hint="eastAsia" w:ascii="仿宋" w:hAnsi="仿宋" w:eastAsia="仿宋"/>
                <w:bCs/>
                <w:sz w:val="18"/>
                <w:lang w:eastAsia="zh-CN"/>
              </w:rPr>
              <w:t>安全隐患排查数量（3分）</w:t>
            </w:r>
          </w:p>
        </w:tc>
        <w:tc>
          <w:tcPr>
            <w:tcW w:w="977" w:type="pct"/>
            <w:shd w:val="clear" w:color="auto" w:fill="auto"/>
            <w:vAlign w:val="center"/>
          </w:tcPr>
          <w:p w14:paraId="6F75B5BA">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主要评价部门（单位）在企业安全生产检查的过程中排查安全隐患点的数量，用以考核部门在企业安全生产检查中的工作情况。</w:t>
            </w:r>
          </w:p>
        </w:tc>
        <w:tc>
          <w:tcPr>
            <w:tcW w:w="1496" w:type="pct"/>
            <w:shd w:val="clear" w:color="auto" w:fill="auto"/>
            <w:vAlign w:val="center"/>
          </w:tcPr>
          <w:p w14:paraId="11C989FF">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隐患排查数量</w:t>
            </w:r>
            <w:r>
              <w:rPr>
                <w:rFonts w:ascii="仿宋" w:hAnsi="仿宋" w:eastAsia="仿宋"/>
                <w:bCs/>
                <w:sz w:val="18"/>
                <w:lang w:eastAsia="zh-CN"/>
              </w:rPr>
              <w:t>≥</w:t>
            </w:r>
            <w:r>
              <w:rPr>
                <w:rFonts w:hint="eastAsia" w:ascii="仿宋" w:hAnsi="仿宋" w:eastAsia="仿宋"/>
                <w:bCs/>
                <w:sz w:val="18"/>
                <w:lang w:eastAsia="zh-CN"/>
              </w:rPr>
              <w:t>300项，得3分；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300项&gt;隐患排查项目</w:t>
            </w:r>
            <w:r>
              <w:rPr>
                <w:rFonts w:ascii="仿宋" w:hAnsi="仿宋" w:eastAsia="仿宋"/>
                <w:bCs/>
                <w:sz w:val="18"/>
                <w:lang w:eastAsia="zh-CN"/>
              </w:rPr>
              <w:t>≥</w:t>
            </w:r>
            <w:r>
              <w:rPr>
                <w:rFonts w:hint="eastAsia" w:ascii="仿宋" w:hAnsi="仿宋" w:eastAsia="仿宋"/>
                <w:bCs/>
                <w:sz w:val="18"/>
                <w:lang w:eastAsia="zh-CN"/>
              </w:rPr>
              <w:t>250项，得2分；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250项&gt;隐患排查项目</w:t>
            </w:r>
            <w:r>
              <w:rPr>
                <w:rFonts w:ascii="仿宋" w:hAnsi="仿宋" w:eastAsia="仿宋"/>
                <w:bCs/>
                <w:sz w:val="18"/>
                <w:lang w:eastAsia="zh-CN"/>
              </w:rPr>
              <w:t>≥</w:t>
            </w:r>
            <w:r>
              <w:rPr>
                <w:rFonts w:hint="eastAsia" w:ascii="仿宋" w:hAnsi="仿宋" w:eastAsia="仿宋"/>
                <w:bCs/>
                <w:sz w:val="18"/>
                <w:lang w:eastAsia="zh-CN"/>
              </w:rPr>
              <w:t>200项，得1分；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200项&gt;隐患排查项目，得0分。</w:t>
            </w:r>
          </w:p>
        </w:tc>
        <w:tc>
          <w:tcPr>
            <w:tcW w:w="261" w:type="pct"/>
            <w:shd w:val="clear" w:color="auto" w:fill="auto"/>
            <w:vAlign w:val="center"/>
          </w:tcPr>
          <w:p w14:paraId="7BBFC4FD">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06F51773">
            <w:pPr>
              <w:spacing w:line="408" w:lineRule="auto"/>
              <w:jc w:val="right"/>
              <w:rPr>
                <w:rFonts w:hint="eastAsia" w:ascii="仿宋" w:hAnsi="仿宋" w:eastAsia="仿宋"/>
                <w:bCs/>
                <w:sz w:val="18"/>
              </w:rPr>
            </w:pPr>
            <w:r>
              <w:rPr>
                <w:rFonts w:hint="eastAsia" w:ascii="仿宋" w:hAnsi="仿宋" w:eastAsia="仿宋"/>
                <w:bCs/>
                <w:sz w:val="18"/>
              </w:rPr>
              <w:t>3</w:t>
            </w:r>
          </w:p>
        </w:tc>
      </w:tr>
      <w:tr w14:paraId="7643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1DD27C1E">
            <w:pPr>
              <w:spacing w:line="408" w:lineRule="auto"/>
              <w:jc w:val="center"/>
              <w:rPr>
                <w:rFonts w:hint="eastAsia" w:ascii="仿宋" w:hAnsi="仿宋" w:eastAsia="仿宋"/>
                <w:bCs/>
                <w:sz w:val="18"/>
              </w:rPr>
            </w:pPr>
          </w:p>
        </w:tc>
        <w:tc>
          <w:tcPr>
            <w:tcW w:w="621" w:type="pct"/>
            <w:vMerge w:val="continue"/>
            <w:shd w:val="clear" w:color="auto" w:fill="auto"/>
            <w:vAlign w:val="center"/>
          </w:tcPr>
          <w:p w14:paraId="2EF05F1F">
            <w:pPr>
              <w:spacing w:line="408" w:lineRule="auto"/>
              <w:jc w:val="center"/>
              <w:rPr>
                <w:rFonts w:hint="eastAsia" w:ascii="仿宋" w:hAnsi="仿宋" w:eastAsia="仿宋"/>
                <w:bCs/>
                <w:sz w:val="18"/>
              </w:rPr>
            </w:pPr>
          </w:p>
        </w:tc>
        <w:tc>
          <w:tcPr>
            <w:tcW w:w="902" w:type="pct"/>
            <w:shd w:val="clear" w:color="auto" w:fill="auto"/>
            <w:vAlign w:val="center"/>
          </w:tcPr>
          <w:p w14:paraId="567DE208">
            <w:pPr>
              <w:spacing w:line="408" w:lineRule="auto"/>
              <w:rPr>
                <w:rFonts w:hint="eastAsia" w:ascii="仿宋" w:hAnsi="仿宋" w:eastAsia="仿宋"/>
                <w:bCs/>
                <w:sz w:val="18"/>
                <w:lang w:eastAsia="zh-CN"/>
              </w:rPr>
            </w:pPr>
            <w:r>
              <w:rPr>
                <w:rFonts w:hint="eastAsia" w:ascii="仿宋" w:hAnsi="仿宋" w:eastAsia="仿宋"/>
                <w:bCs/>
                <w:sz w:val="18"/>
                <w:lang w:eastAsia="zh-CN"/>
              </w:rPr>
              <w:t>累计辅导企业次数（3分）</w:t>
            </w:r>
          </w:p>
        </w:tc>
        <w:tc>
          <w:tcPr>
            <w:tcW w:w="977" w:type="pct"/>
            <w:shd w:val="clear" w:color="auto" w:fill="auto"/>
            <w:vAlign w:val="center"/>
          </w:tcPr>
          <w:p w14:paraId="36552878">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主要评价部门（单位）在企业安全生产检查的过程中组织专家累计辅导帮助企业排查发现安全隐患、制度缺失、体系运行不到位和不规范等问题的次数。</w:t>
            </w:r>
          </w:p>
        </w:tc>
        <w:tc>
          <w:tcPr>
            <w:tcW w:w="1496" w:type="pct"/>
            <w:shd w:val="clear" w:color="auto" w:fill="auto"/>
            <w:vAlign w:val="center"/>
          </w:tcPr>
          <w:p w14:paraId="7BFE5C15">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辅导企业次数</w:t>
            </w:r>
            <w:r>
              <w:rPr>
                <w:rFonts w:ascii="仿宋" w:hAnsi="仿宋" w:eastAsia="仿宋"/>
                <w:bCs/>
                <w:sz w:val="18"/>
                <w:lang w:eastAsia="zh-CN"/>
              </w:rPr>
              <w:t>≥</w:t>
            </w:r>
            <w:r>
              <w:rPr>
                <w:rFonts w:hint="eastAsia" w:ascii="仿宋" w:hAnsi="仿宋" w:eastAsia="仿宋"/>
                <w:bCs/>
                <w:sz w:val="18"/>
                <w:lang w:eastAsia="zh-CN"/>
              </w:rPr>
              <w:t>80次，得3分；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80次&gt;辅导企业次数</w:t>
            </w:r>
            <w:r>
              <w:rPr>
                <w:rFonts w:ascii="仿宋" w:hAnsi="仿宋" w:eastAsia="仿宋"/>
                <w:bCs/>
                <w:sz w:val="18"/>
                <w:lang w:eastAsia="zh-CN"/>
              </w:rPr>
              <w:t>≥</w:t>
            </w:r>
            <w:r>
              <w:rPr>
                <w:rFonts w:hint="eastAsia" w:ascii="仿宋" w:hAnsi="仿宋" w:eastAsia="仿宋"/>
                <w:bCs/>
                <w:sz w:val="18"/>
                <w:lang w:eastAsia="zh-CN"/>
              </w:rPr>
              <w:t>70次，得2分；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70次&gt;辅导企业次数</w:t>
            </w:r>
            <w:r>
              <w:rPr>
                <w:rFonts w:ascii="仿宋" w:hAnsi="仿宋" w:eastAsia="仿宋"/>
                <w:bCs/>
                <w:sz w:val="18"/>
                <w:lang w:eastAsia="zh-CN"/>
              </w:rPr>
              <w:t>≥</w:t>
            </w:r>
            <w:r>
              <w:rPr>
                <w:rFonts w:hint="eastAsia" w:ascii="仿宋" w:hAnsi="仿宋" w:eastAsia="仿宋"/>
                <w:bCs/>
                <w:sz w:val="18"/>
                <w:lang w:eastAsia="zh-CN"/>
              </w:rPr>
              <w:t>60次，得1分；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60次&gt;辅导企业次数，得0分。</w:t>
            </w:r>
          </w:p>
        </w:tc>
        <w:tc>
          <w:tcPr>
            <w:tcW w:w="261" w:type="pct"/>
            <w:shd w:val="clear" w:color="auto" w:fill="auto"/>
            <w:vAlign w:val="center"/>
          </w:tcPr>
          <w:p w14:paraId="681F7F52">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1B6469FF">
            <w:pPr>
              <w:spacing w:line="408" w:lineRule="auto"/>
              <w:jc w:val="right"/>
              <w:rPr>
                <w:rFonts w:hint="eastAsia" w:ascii="仿宋" w:hAnsi="仿宋" w:eastAsia="仿宋"/>
                <w:bCs/>
                <w:sz w:val="18"/>
              </w:rPr>
            </w:pPr>
            <w:r>
              <w:rPr>
                <w:rFonts w:hint="eastAsia" w:ascii="仿宋" w:hAnsi="仿宋" w:eastAsia="仿宋"/>
                <w:bCs/>
                <w:sz w:val="18"/>
              </w:rPr>
              <w:t>3</w:t>
            </w:r>
          </w:p>
        </w:tc>
      </w:tr>
      <w:tr w14:paraId="1528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216F2CF8">
            <w:pPr>
              <w:spacing w:line="408" w:lineRule="auto"/>
              <w:jc w:val="center"/>
              <w:rPr>
                <w:rFonts w:hint="eastAsia" w:ascii="仿宋" w:hAnsi="仿宋" w:eastAsia="仿宋"/>
                <w:bCs/>
                <w:sz w:val="18"/>
              </w:rPr>
            </w:pPr>
          </w:p>
        </w:tc>
        <w:tc>
          <w:tcPr>
            <w:tcW w:w="621" w:type="pct"/>
            <w:vMerge w:val="continue"/>
            <w:shd w:val="clear" w:color="auto" w:fill="auto"/>
            <w:vAlign w:val="center"/>
          </w:tcPr>
          <w:p w14:paraId="411CE841">
            <w:pPr>
              <w:spacing w:line="408" w:lineRule="auto"/>
              <w:jc w:val="center"/>
              <w:rPr>
                <w:rFonts w:hint="eastAsia" w:ascii="仿宋" w:hAnsi="仿宋" w:eastAsia="仿宋"/>
                <w:bCs/>
                <w:sz w:val="18"/>
              </w:rPr>
            </w:pPr>
          </w:p>
        </w:tc>
        <w:tc>
          <w:tcPr>
            <w:tcW w:w="902" w:type="pct"/>
            <w:shd w:val="clear" w:color="auto" w:fill="auto"/>
            <w:vAlign w:val="center"/>
          </w:tcPr>
          <w:p w14:paraId="0D06EE5E">
            <w:pPr>
              <w:spacing w:line="408" w:lineRule="auto"/>
              <w:rPr>
                <w:rFonts w:hint="eastAsia" w:ascii="仿宋" w:hAnsi="仿宋" w:eastAsia="仿宋"/>
                <w:bCs/>
                <w:sz w:val="18"/>
                <w:lang w:eastAsia="zh-CN"/>
              </w:rPr>
            </w:pPr>
            <w:r>
              <w:rPr>
                <w:rFonts w:hint="eastAsia" w:ascii="仿宋" w:hAnsi="仿宋" w:eastAsia="仿宋"/>
                <w:bCs/>
                <w:sz w:val="18"/>
                <w:lang w:eastAsia="zh-CN"/>
              </w:rPr>
              <w:t>累计建立标杆企业数量（3分）</w:t>
            </w:r>
          </w:p>
        </w:tc>
        <w:tc>
          <w:tcPr>
            <w:tcW w:w="977" w:type="pct"/>
            <w:shd w:val="clear" w:color="auto" w:fill="auto"/>
            <w:vAlign w:val="center"/>
          </w:tcPr>
          <w:p w14:paraId="5DF33D13">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主要评价部门（单位）在企业安全生产检查的过程中对优质标杆企业的培养程度。</w:t>
            </w:r>
          </w:p>
        </w:tc>
        <w:tc>
          <w:tcPr>
            <w:tcW w:w="1496" w:type="pct"/>
            <w:shd w:val="clear" w:color="auto" w:fill="auto"/>
            <w:vAlign w:val="center"/>
          </w:tcPr>
          <w:p w14:paraId="577AF331">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标杆企业数量</w:t>
            </w:r>
            <w:r>
              <w:rPr>
                <w:rFonts w:ascii="仿宋" w:hAnsi="仿宋" w:eastAsia="仿宋"/>
                <w:bCs/>
                <w:sz w:val="18"/>
                <w:lang w:eastAsia="zh-CN"/>
              </w:rPr>
              <w:t>≥</w:t>
            </w:r>
            <w:r>
              <w:rPr>
                <w:rFonts w:hint="eastAsia" w:ascii="仿宋" w:hAnsi="仿宋" w:eastAsia="仿宋"/>
                <w:bCs/>
                <w:sz w:val="18"/>
                <w:lang w:eastAsia="zh-CN"/>
              </w:rPr>
              <w:t>30家，得3分；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30家&gt;标杆企业数量</w:t>
            </w:r>
            <w:r>
              <w:rPr>
                <w:rFonts w:ascii="仿宋" w:hAnsi="仿宋" w:eastAsia="仿宋"/>
                <w:bCs/>
                <w:sz w:val="18"/>
                <w:lang w:eastAsia="zh-CN"/>
              </w:rPr>
              <w:t>≥</w:t>
            </w:r>
            <w:r>
              <w:rPr>
                <w:rFonts w:hint="eastAsia" w:ascii="仿宋" w:hAnsi="仿宋" w:eastAsia="仿宋"/>
                <w:bCs/>
                <w:sz w:val="18"/>
                <w:lang w:eastAsia="zh-CN"/>
              </w:rPr>
              <w:t>25家，得2分；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25家&gt;标杆企业数量</w:t>
            </w:r>
            <w:r>
              <w:rPr>
                <w:rFonts w:ascii="仿宋" w:hAnsi="仿宋" w:eastAsia="仿宋"/>
                <w:bCs/>
                <w:sz w:val="18"/>
                <w:lang w:eastAsia="zh-CN"/>
              </w:rPr>
              <w:t>≥</w:t>
            </w:r>
            <w:r>
              <w:rPr>
                <w:rFonts w:hint="eastAsia" w:ascii="仿宋" w:hAnsi="仿宋" w:eastAsia="仿宋"/>
                <w:bCs/>
                <w:sz w:val="18"/>
                <w:lang w:eastAsia="zh-CN"/>
              </w:rPr>
              <w:t>20家，得1分；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15家&gt;标杆企业数量，得0分。</w:t>
            </w:r>
          </w:p>
        </w:tc>
        <w:tc>
          <w:tcPr>
            <w:tcW w:w="261" w:type="pct"/>
            <w:shd w:val="clear" w:color="auto" w:fill="auto"/>
            <w:vAlign w:val="center"/>
          </w:tcPr>
          <w:p w14:paraId="22D09138">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365FD2D5">
            <w:pPr>
              <w:spacing w:line="408" w:lineRule="auto"/>
              <w:jc w:val="right"/>
              <w:rPr>
                <w:rFonts w:hint="eastAsia" w:ascii="仿宋" w:hAnsi="仿宋" w:eastAsia="仿宋"/>
                <w:bCs/>
                <w:sz w:val="18"/>
              </w:rPr>
            </w:pPr>
            <w:r>
              <w:rPr>
                <w:rFonts w:hint="eastAsia" w:ascii="仿宋" w:hAnsi="仿宋" w:eastAsia="仿宋"/>
                <w:bCs/>
                <w:sz w:val="18"/>
              </w:rPr>
              <w:t>3</w:t>
            </w:r>
          </w:p>
        </w:tc>
      </w:tr>
      <w:tr w14:paraId="588B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56357C7">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F2B7236">
            <w:pPr>
              <w:spacing w:line="408" w:lineRule="auto"/>
              <w:jc w:val="center"/>
              <w:rPr>
                <w:rFonts w:hint="eastAsia" w:ascii="仿宋" w:hAnsi="仿宋" w:eastAsia="仿宋"/>
                <w:bCs/>
                <w:sz w:val="18"/>
              </w:rPr>
            </w:pPr>
          </w:p>
        </w:tc>
        <w:tc>
          <w:tcPr>
            <w:tcW w:w="902" w:type="pct"/>
            <w:shd w:val="clear" w:color="auto" w:fill="auto"/>
            <w:vAlign w:val="center"/>
          </w:tcPr>
          <w:p w14:paraId="40C98AD0">
            <w:pPr>
              <w:spacing w:line="408" w:lineRule="auto"/>
              <w:rPr>
                <w:rFonts w:hint="eastAsia" w:ascii="仿宋" w:hAnsi="仿宋" w:eastAsia="仿宋"/>
                <w:bCs/>
                <w:sz w:val="18"/>
                <w:lang w:eastAsia="zh-CN"/>
              </w:rPr>
            </w:pPr>
            <w:r>
              <w:rPr>
                <w:rFonts w:hint="eastAsia" w:ascii="仿宋" w:hAnsi="仿宋" w:eastAsia="仿宋"/>
                <w:bCs/>
                <w:sz w:val="18"/>
                <w:lang w:eastAsia="zh-CN"/>
              </w:rPr>
              <w:t>累计动态执法监管企业数量（3分）</w:t>
            </w:r>
          </w:p>
        </w:tc>
        <w:tc>
          <w:tcPr>
            <w:tcW w:w="977" w:type="pct"/>
            <w:shd w:val="clear" w:color="auto" w:fill="auto"/>
            <w:vAlign w:val="center"/>
          </w:tcPr>
          <w:p w14:paraId="0EDF1785">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主要评价部门（单位）在企业安全生产检查的过程中对企业进行执法监管的累计数量。</w:t>
            </w:r>
          </w:p>
        </w:tc>
        <w:tc>
          <w:tcPr>
            <w:tcW w:w="1496" w:type="pct"/>
            <w:shd w:val="clear" w:color="auto" w:fill="auto"/>
            <w:vAlign w:val="center"/>
          </w:tcPr>
          <w:p w14:paraId="1F960782">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动态监管企业数量</w:t>
            </w:r>
            <w:r>
              <w:rPr>
                <w:rFonts w:ascii="仿宋" w:hAnsi="仿宋" w:eastAsia="仿宋"/>
                <w:bCs/>
                <w:sz w:val="18"/>
                <w:lang w:eastAsia="zh-CN"/>
              </w:rPr>
              <w:t>≥</w:t>
            </w:r>
            <w:r>
              <w:rPr>
                <w:rFonts w:hint="eastAsia" w:ascii="仿宋" w:hAnsi="仿宋" w:eastAsia="仿宋"/>
                <w:bCs/>
                <w:sz w:val="18"/>
                <w:lang w:eastAsia="zh-CN"/>
              </w:rPr>
              <w:t>1000家，得3分；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1000家&gt;动态监管企业数量</w:t>
            </w:r>
            <w:r>
              <w:rPr>
                <w:rFonts w:ascii="仿宋" w:hAnsi="仿宋" w:eastAsia="仿宋"/>
                <w:bCs/>
                <w:sz w:val="18"/>
                <w:lang w:eastAsia="zh-CN"/>
              </w:rPr>
              <w:t>≥</w:t>
            </w:r>
            <w:r>
              <w:rPr>
                <w:rFonts w:hint="eastAsia" w:ascii="仿宋" w:hAnsi="仿宋" w:eastAsia="仿宋"/>
                <w:bCs/>
                <w:sz w:val="18"/>
                <w:lang w:eastAsia="zh-CN"/>
              </w:rPr>
              <w:t>950家，得2分；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950家&gt;动态监管企业数量</w:t>
            </w:r>
            <w:r>
              <w:rPr>
                <w:rFonts w:ascii="仿宋" w:hAnsi="仿宋" w:eastAsia="仿宋"/>
                <w:bCs/>
                <w:sz w:val="18"/>
                <w:lang w:eastAsia="zh-CN"/>
              </w:rPr>
              <w:t>≥</w:t>
            </w:r>
            <w:r>
              <w:rPr>
                <w:rFonts w:hint="eastAsia" w:ascii="仿宋" w:hAnsi="仿宋" w:eastAsia="仿宋"/>
                <w:bCs/>
                <w:sz w:val="18"/>
                <w:lang w:eastAsia="zh-CN"/>
              </w:rPr>
              <w:t>900家，得1分；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900家&gt;动态监管企业数量，得0分。</w:t>
            </w:r>
          </w:p>
        </w:tc>
        <w:tc>
          <w:tcPr>
            <w:tcW w:w="261" w:type="pct"/>
            <w:shd w:val="clear" w:color="auto" w:fill="auto"/>
            <w:vAlign w:val="center"/>
          </w:tcPr>
          <w:p w14:paraId="59AAD6EC">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0A040DA1">
            <w:pPr>
              <w:spacing w:line="408" w:lineRule="auto"/>
              <w:jc w:val="right"/>
              <w:rPr>
                <w:rFonts w:hint="eastAsia" w:ascii="仿宋" w:hAnsi="仿宋" w:eastAsia="仿宋"/>
                <w:bCs/>
                <w:sz w:val="18"/>
              </w:rPr>
            </w:pPr>
            <w:r>
              <w:rPr>
                <w:rFonts w:hint="eastAsia" w:ascii="仿宋" w:hAnsi="仿宋" w:eastAsia="仿宋"/>
                <w:bCs/>
                <w:sz w:val="18"/>
              </w:rPr>
              <w:t>3</w:t>
            </w:r>
          </w:p>
        </w:tc>
      </w:tr>
      <w:tr w14:paraId="249E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C979398">
            <w:pPr>
              <w:spacing w:line="408" w:lineRule="auto"/>
              <w:jc w:val="center"/>
              <w:rPr>
                <w:rFonts w:hint="eastAsia" w:ascii="仿宋" w:hAnsi="仿宋" w:eastAsia="仿宋"/>
                <w:bCs/>
                <w:sz w:val="18"/>
              </w:rPr>
            </w:pPr>
          </w:p>
        </w:tc>
        <w:tc>
          <w:tcPr>
            <w:tcW w:w="621" w:type="pct"/>
            <w:vMerge w:val="continue"/>
            <w:shd w:val="clear" w:color="auto" w:fill="auto"/>
            <w:vAlign w:val="center"/>
          </w:tcPr>
          <w:p w14:paraId="5E063A09">
            <w:pPr>
              <w:spacing w:line="408" w:lineRule="auto"/>
              <w:jc w:val="center"/>
              <w:rPr>
                <w:rFonts w:hint="eastAsia" w:ascii="仿宋" w:hAnsi="仿宋" w:eastAsia="仿宋"/>
                <w:bCs/>
                <w:sz w:val="18"/>
              </w:rPr>
            </w:pPr>
          </w:p>
        </w:tc>
        <w:tc>
          <w:tcPr>
            <w:tcW w:w="902" w:type="pct"/>
            <w:shd w:val="clear" w:color="auto" w:fill="auto"/>
            <w:vAlign w:val="center"/>
          </w:tcPr>
          <w:p w14:paraId="2FED4303">
            <w:pPr>
              <w:spacing w:line="408" w:lineRule="auto"/>
              <w:rPr>
                <w:rFonts w:hint="eastAsia" w:ascii="仿宋" w:hAnsi="仿宋" w:eastAsia="仿宋"/>
                <w:bCs/>
                <w:sz w:val="18"/>
                <w:lang w:eastAsia="zh-CN"/>
              </w:rPr>
            </w:pPr>
            <w:r>
              <w:rPr>
                <w:rFonts w:hint="eastAsia" w:ascii="仿宋" w:hAnsi="仿宋" w:eastAsia="仿宋"/>
                <w:bCs/>
                <w:sz w:val="18"/>
                <w:lang w:eastAsia="zh-CN"/>
              </w:rPr>
              <w:t>防火消防专业队的人数（3分）</w:t>
            </w:r>
          </w:p>
        </w:tc>
        <w:tc>
          <w:tcPr>
            <w:tcW w:w="977" w:type="pct"/>
            <w:shd w:val="clear" w:color="auto" w:fill="auto"/>
            <w:vAlign w:val="center"/>
          </w:tcPr>
          <w:p w14:paraId="3C309877">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主要评价部门（单位）在森林火灾防治上对森林防火消防专业队的建设情况。</w:t>
            </w:r>
          </w:p>
        </w:tc>
        <w:tc>
          <w:tcPr>
            <w:tcW w:w="1496" w:type="pct"/>
            <w:shd w:val="clear" w:color="auto" w:fill="auto"/>
            <w:vAlign w:val="center"/>
          </w:tcPr>
          <w:p w14:paraId="2F55E6EC">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人数</w:t>
            </w:r>
            <w:r>
              <w:rPr>
                <w:rFonts w:ascii="仿宋" w:hAnsi="仿宋" w:eastAsia="仿宋"/>
                <w:bCs/>
                <w:sz w:val="18"/>
                <w:lang w:eastAsia="zh-CN"/>
              </w:rPr>
              <w:t>≥</w:t>
            </w:r>
            <w:r>
              <w:rPr>
                <w:rFonts w:hint="eastAsia" w:ascii="仿宋" w:hAnsi="仿宋" w:eastAsia="仿宋"/>
                <w:bCs/>
                <w:sz w:val="18"/>
                <w:lang w:eastAsia="zh-CN"/>
              </w:rPr>
              <w:t>50人，得3分；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50人&gt;人数</w:t>
            </w:r>
            <w:r>
              <w:rPr>
                <w:rFonts w:ascii="仿宋" w:hAnsi="仿宋" w:eastAsia="仿宋"/>
                <w:bCs/>
                <w:sz w:val="18"/>
                <w:lang w:eastAsia="zh-CN"/>
              </w:rPr>
              <w:t>≥</w:t>
            </w:r>
            <w:r>
              <w:rPr>
                <w:rFonts w:hint="eastAsia" w:ascii="仿宋" w:hAnsi="仿宋" w:eastAsia="仿宋"/>
                <w:bCs/>
                <w:sz w:val="18"/>
                <w:lang w:eastAsia="zh-CN"/>
              </w:rPr>
              <w:t>45人，得2分；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45人&gt;人数</w:t>
            </w:r>
            <w:r>
              <w:rPr>
                <w:rFonts w:ascii="仿宋" w:hAnsi="仿宋" w:eastAsia="仿宋"/>
                <w:bCs/>
                <w:sz w:val="18"/>
                <w:lang w:eastAsia="zh-CN"/>
              </w:rPr>
              <w:t>≥</w:t>
            </w:r>
            <w:r>
              <w:rPr>
                <w:rFonts w:hint="eastAsia" w:ascii="仿宋" w:hAnsi="仿宋" w:eastAsia="仿宋"/>
                <w:bCs/>
                <w:sz w:val="18"/>
                <w:lang w:eastAsia="zh-CN"/>
              </w:rPr>
              <w:t>40人，得1分；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40人&gt;人数，得0分。</w:t>
            </w:r>
          </w:p>
        </w:tc>
        <w:tc>
          <w:tcPr>
            <w:tcW w:w="261" w:type="pct"/>
            <w:shd w:val="clear" w:color="auto" w:fill="auto"/>
            <w:vAlign w:val="center"/>
          </w:tcPr>
          <w:p w14:paraId="0D88AF79">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4FC0703A">
            <w:pPr>
              <w:spacing w:line="408" w:lineRule="auto"/>
              <w:jc w:val="right"/>
              <w:rPr>
                <w:rFonts w:hint="eastAsia" w:ascii="仿宋" w:hAnsi="仿宋" w:eastAsia="仿宋"/>
                <w:bCs/>
                <w:sz w:val="18"/>
              </w:rPr>
            </w:pPr>
            <w:r>
              <w:rPr>
                <w:rFonts w:hint="eastAsia" w:ascii="仿宋" w:hAnsi="仿宋" w:eastAsia="仿宋"/>
                <w:bCs/>
                <w:sz w:val="18"/>
              </w:rPr>
              <w:t>3</w:t>
            </w:r>
          </w:p>
        </w:tc>
      </w:tr>
      <w:tr w14:paraId="1DC7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33DB0B91">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55785F3">
            <w:pPr>
              <w:spacing w:line="408" w:lineRule="auto"/>
              <w:jc w:val="center"/>
              <w:rPr>
                <w:rFonts w:hint="eastAsia" w:ascii="仿宋" w:hAnsi="仿宋" w:eastAsia="仿宋"/>
                <w:bCs/>
                <w:sz w:val="18"/>
              </w:rPr>
            </w:pPr>
          </w:p>
        </w:tc>
        <w:tc>
          <w:tcPr>
            <w:tcW w:w="902" w:type="pct"/>
            <w:shd w:val="clear" w:color="auto" w:fill="auto"/>
            <w:vAlign w:val="center"/>
          </w:tcPr>
          <w:p w14:paraId="39BAB809">
            <w:pPr>
              <w:spacing w:line="408" w:lineRule="auto"/>
              <w:rPr>
                <w:rFonts w:hint="eastAsia" w:ascii="仿宋" w:hAnsi="仿宋" w:eastAsia="仿宋"/>
                <w:bCs/>
                <w:sz w:val="18"/>
                <w:lang w:eastAsia="zh-CN"/>
              </w:rPr>
            </w:pPr>
            <w:r>
              <w:rPr>
                <w:rFonts w:hint="eastAsia" w:ascii="仿宋" w:hAnsi="仿宋" w:eastAsia="仿宋"/>
                <w:bCs/>
                <w:sz w:val="18"/>
                <w:lang w:eastAsia="zh-CN"/>
              </w:rPr>
              <w:t>巩固提升避灾点的数量（3分）</w:t>
            </w:r>
          </w:p>
        </w:tc>
        <w:tc>
          <w:tcPr>
            <w:tcW w:w="977" w:type="pct"/>
            <w:shd w:val="clear" w:color="auto" w:fill="auto"/>
            <w:vAlign w:val="center"/>
          </w:tcPr>
          <w:p w14:paraId="4B32F561">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主要评价部门（单位）对灾害防御能力的提升情况，对避灾点巩固提升的数量。</w:t>
            </w:r>
          </w:p>
        </w:tc>
        <w:tc>
          <w:tcPr>
            <w:tcW w:w="1496" w:type="pct"/>
            <w:shd w:val="clear" w:color="auto" w:fill="auto"/>
            <w:vAlign w:val="center"/>
          </w:tcPr>
          <w:p w14:paraId="7CFC6858">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巩固提升数量</w:t>
            </w:r>
            <w:r>
              <w:rPr>
                <w:rFonts w:ascii="仿宋" w:hAnsi="仿宋" w:eastAsia="仿宋"/>
                <w:bCs/>
                <w:sz w:val="18"/>
                <w:lang w:eastAsia="zh-CN"/>
              </w:rPr>
              <w:t>≥</w:t>
            </w:r>
            <w:r>
              <w:rPr>
                <w:rFonts w:hint="eastAsia" w:ascii="仿宋" w:hAnsi="仿宋" w:eastAsia="仿宋"/>
                <w:bCs/>
                <w:sz w:val="18"/>
                <w:lang w:eastAsia="zh-CN"/>
              </w:rPr>
              <w:t>10点，得3分；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10点&gt;巩固提升数量</w:t>
            </w:r>
            <w:r>
              <w:rPr>
                <w:rFonts w:ascii="仿宋" w:hAnsi="仿宋" w:eastAsia="仿宋"/>
                <w:bCs/>
                <w:sz w:val="18"/>
                <w:lang w:eastAsia="zh-CN"/>
              </w:rPr>
              <w:t>≥</w:t>
            </w:r>
            <w:r>
              <w:rPr>
                <w:rFonts w:hint="eastAsia" w:ascii="仿宋" w:hAnsi="仿宋" w:eastAsia="仿宋"/>
                <w:bCs/>
                <w:sz w:val="18"/>
                <w:lang w:eastAsia="zh-CN"/>
              </w:rPr>
              <w:t>8点，得2分；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8点&gt;巩固提升数量</w:t>
            </w:r>
            <w:r>
              <w:rPr>
                <w:rFonts w:ascii="仿宋" w:hAnsi="仿宋" w:eastAsia="仿宋"/>
                <w:bCs/>
                <w:sz w:val="18"/>
                <w:lang w:eastAsia="zh-CN"/>
              </w:rPr>
              <w:t>≥</w:t>
            </w:r>
            <w:r>
              <w:rPr>
                <w:rFonts w:hint="eastAsia" w:ascii="仿宋" w:hAnsi="仿宋" w:eastAsia="仿宋"/>
                <w:bCs/>
                <w:sz w:val="18"/>
                <w:lang w:eastAsia="zh-CN"/>
              </w:rPr>
              <w:t>6点，得1分；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6点&gt;巩固提升数量，得0分。</w:t>
            </w:r>
          </w:p>
        </w:tc>
        <w:tc>
          <w:tcPr>
            <w:tcW w:w="261" w:type="pct"/>
            <w:shd w:val="clear" w:color="auto" w:fill="auto"/>
            <w:vAlign w:val="center"/>
          </w:tcPr>
          <w:p w14:paraId="7A3BFD90">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6A7B786B">
            <w:pPr>
              <w:spacing w:line="408" w:lineRule="auto"/>
              <w:jc w:val="right"/>
              <w:rPr>
                <w:rFonts w:hint="eastAsia" w:ascii="仿宋" w:hAnsi="仿宋" w:eastAsia="仿宋"/>
                <w:bCs/>
                <w:sz w:val="18"/>
              </w:rPr>
            </w:pPr>
            <w:r>
              <w:rPr>
                <w:rFonts w:hint="eastAsia" w:ascii="仿宋" w:hAnsi="仿宋" w:eastAsia="仿宋"/>
                <w:bCs/>
                <w:sz w:val="18"/>
              </w:rPr>
              <w:t>3</w:t>
            </w:r>
          </w:p>
        </w:tc>
      </w:tr>
      <w:tr w14:paraId="1468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0A94422">
            <w:pPr>
              <w:spacing w:line="408" w:lineRule="auto"/>
              <w:jc w:val="center"/>
              <w:rPr>
                <w:rFonts w:hint="eastAsia" w:ascii="仿宋" w:hAnsi="仿宋" w:eastAsia="仿宋"/>
                <w:bCs/>
                <w:sz w:val="18"/>
              </w:rPr>
            </w:pPr>
          </w:p>
        </w:tc>
        <w:tc>
          <w:tcPr>
            <w:tcW w:w="621" w:type="pct"/>
            <w:vMerge w:val="restart"/>
            <w:shd w:val="clear" w:color="auto" w:fill="auto"/>
            <w:vAlign w:val="center"/>
          </w:tcPr>
          <w:p w14:paraId="38A7B4BA">
            <w:pPr>
              <w:spacing w:line="408" w:lineRule="auto"/>
              <w:rPr>
                <w:rFonts w:hint="eastAsia" w:ascii="仿宋" w:hAnsi="仿宋" w:eastAsia="仿宋"/>
                <w:bCs/>
                <w:sz w:val="18"/>
              </w:rPr>
            </w:pPr>
            <w:r>
              <w:rPr>
                <w:rFonts w:hint="eastAsia" w:ascii="仿宋" w:hAnsi="仿宋" w:eastAsia="仿宋"/>
                <w:bCs/>
                <w:sz w:val="18"/>
              </w:rPr>
              <w:t>产出质量（13分）</w:t>
            </w:r>
          </w:p>
        </w:tc>
        <w:tc>
          <w:tcPr>
            <w:tcW w:w="902" w:type="pct"/>
            <w:shd w:val="clear" w:color="auto" w:fill="auto"/>
            <w:vAlign w:val="center"/>
          </w:tcPr>
          <w:p w14:paraId="14CD1E63">
            <w:pPr>
              <w:spacing w:line="408" w:lineRule="auto"/>
              <w:rPr>
                <w:rFonts w:hint="eastAsia" w:ascii="仿宋" w:hAnsi="仿宋" w:eastAsia="仿宋"/>
                <w:bCs/>
                <w:sz w:val="18"/>
                <w:lang w:eastAsia="zh-CN"/>
              </w:rPr>
            </w:pPr>
            <w:r>
              <w:rPr>
                <w:rFonts w:hint="eastAsia" w:ascii="仿宋" w:hAnsi="仿宋" w:eastAsia="仿宋"/>
                <w:bCs/>
                <w:sz w:val="18"/>
                <w:lang w:eastAsia="zh-CN"/>
              </w:rPr>
              <w:t>安全隐患整改率情况（3分）</w:t>
            </w:r>
          </w:p>
        </w:tc>
        <w:tc>
          <w:tcPr>
            <w:tcW w:w="977" w:type="pct"/>
            <w:shd w:val="clear" w:color="auto" w:fill="auto"/>
            <w:vAlign w:val="center"/>
          </w:tcPr>
          <w:p w14:paraId="1C137523">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主要评价部门（单位）对企业进行检查之后的整改情况。</w:t>
            </w:r>
          </w:p>
        </w:tc>
        <w:tc>
          <w:tcPr>
            <w:tcW w:w="1496" w:type="pct"/>
            <w:shd w:val="clear" w:color="auto" w:fill="auto"/>
            <w:vAlign w:val="center"/>
          </w:tcPr>
          <w:p w14:paraId="318189E5">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隐患整改率</w:t>
            </w:r>
            <w:r>
              <w:rPr>
                <w:rFonts w:ascii="仿宋" w:hAnsi="仿宋" w:eastAsia="仿宋"/>
                <w:bCs/>
                <w:sz w:val="18"/>
                <w:lang w:eastAsia="zh-CN"/>
              </w:rPr>
              <w:t>≥</w:t>
            </w:r>
            <w:r>
              <w:rPr>
                <w:rFonts w:hint="eastAsia" w:ascii="仿宋" w:hAnsi="仿宋" w:eastAsia="仿宋"/>
                <w:bCs/>
                <w:sz w:val="18"/>
                <w:lang w:eastAsia="zh-CN"/>
              </w:rPr>
              <w:t>90%，得3分；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90%&gt;隐患整改率</w:t>
            </w:r>
            <w:r>
              <w:rPr>
                <w:rFonts w:ascii="仿宋" w:hAnsi="仿宋" w:eastAsia="仿宋"/>
                <w:bCs/>
                <w:sz w:val="18"/>
                <w:lang w:eastAsia="zh-CN"/>
              </w:rPr>
              <w:t>≥</w:t>
            </w:r>
            <w:r>
              <w:rPr>
                <w:rFonts w:hint="eastAsia" w:ascii="仿宋" w:hAnsi="仿宋" w:eastAsia="仿宋"/>
                <w:bCs/>
                <w:sz w:val="18"/>
                <w:lang w:eastAsia="zh-CN"/>
              </w:rPr>
              <w:t>85%，得2分；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85%&gt;隐患整改率</w:t>
            </w:r>
            <w:r>
              <w:rPr>
                <w:rFonts w:ascii="仿宋" w:hAnsi="仿宋" w:eastAsia="仿宋"/>
                <w:bCs/>
                <w:sz w:val="18"/>
                <w:lang w:eastAsia="zh-CN"/>
              </w:rPr>
              <w:t>≥</w:t>
            </w:r>
            <w:r>
              <w:rPr>
                <w:rFonts w:hint="eastAsia" w:ascii="仿宋" w:hAnsi="仿宋" w:eastAsia="仿宋"/>
                <w:bCs/>
                <w:sz w:val="18"/>
                <w:lang w:eastAsia="zh-CN"/>
              </w:rPr>
              <w:t>80%，得1分；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80%&gt;隐患整改率，得0分。</w:t>
            </w:r>
          </w:p>
        </w:tc>
        <w:tc>
          <w:tcPr>
            <w:tcW w:w="261" w:type="pct"/>
            <w:shd w:val="clear" w:color="auto" w:fill="auto"/>
            <w:vAlign w:val="center"/>
          </w:tcPr>
          <w:p w14:paraId="5193E949">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32698038">
            <w:pPr>
              <w:spacing w:line="408" w:lineRule="auto"/>
              <w:jc w:val="right"/>
              <w:rPr>
                <w:rFonts w:hint="eastAsia" w:ascii="仿宋" w:hAnsi="仿宋" w:eastAsia="仿宋"/>
                <w:bCs/>
                <w:sz w:val="18"/>
              </w:rPr>
            </w:pPr>
            <w:r>
              <w:rPr>
                <w:rFonts w:hint="eastAsia" w:ascii="仿宋" w:hAnsi="仿宋" w:eastAsia="仿宋"/>
                <w:bCs/>
                <w:sz w:val="18"/>
              </w:rPr>
              <w:t>3</w:t>
            </w:r>
          </w:p>
        </w:tc>
      </w:tr>
      <w:tr w14:paraId="4C2F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2F92C5D">
            <w:pPr>
              <w:spacing w:line="408" w:lineRule="auto"/>
              <w:jc w:val="center"/>
              <w:rPr>
                <w:rFonts w:hint="eastAsia" w:ascii="仿宋" w:hAnsi="仿宋" w:eastAsia="仿宋"/>
                <w:bCs/>
                <w:sz w:val="18"/>
              </w:rPr>
            </w:pPr>
          </w:p>
        </w:tc>
        <w:tc>
          <w:tcPr>
            <w:tcW w:w="621" w:type="pct"/>
            <w:vMerge w:val="continue"/>
            <w:shd w:val="clear" w:color="auto" w:fill="auto"/>
            <w:vAlign w:val="center"/>
          </w:tcPr>
          <w:p w14:paraId="6C27C745">
            <w:pPr>
              <w:spacing w:line="408" w:lineRule="auto"/>
              <w:jc w:val="center"/>
              <w:rPr>
                <w:rFonts w:hint="eastAsia" w:ascii="仿宋" w:hAnsi="仿宋" w:eastAsia="仿宋"/>
                <w:bCs/>
                <w:sz w:val="18"/>
              </w:rPr>
            </w:pPr>
          </w:p>
        </w:tc>
        <w:tc>
          <w:tcPr>
            <w:tcW w:w="902" w:type="pct"/>
            <w:shd w:val="clear" w:color="auto" w:fill="auto"/>
            <w:vAlign w:val="center"/>
          </w:tcPr>
          <w:p w14:paraId="4D1499F4">
            <w:pPr>
              <w:spacing w:line="408" w:lineRule="auto"/>
              <w:rPr>
                <w:rFonts w:hint="eastAsia" w:ascii="仿宋" w:hAnsi="仿宋" w:eastAsia="仿宋"/>
                <w:bCs/>
                <w:sz w:val="18"/>
                <w:lang w:eastAsia="zh-CN"/>
              </w:rPr>
            </w:pPr>
            <w:r>
              <w:rPr>
                <w:rFonts w:hint="eastAsia" w:ascii="仿宋" w:hAnsi="仿宋" w:eastAsia="仿宋"/>
                <w:bCs/>
                <w:sz w:val="18"/>
                <w:lang w:eastAsia="zh-CN"/>
              </w:rPr>
              <w:t>对专家的依赖情况（2分）</w:t>
            </w:r>
          </w:p>
        </w:tc>
        <w:tc>
          <w:tcPr>
            <w:tcW w:w="977" w:type="pct"/>
            <w:shd w:val="clear" w:color="auto" w:fill="auto"/>
            <w:vAlign w:val="center"/>
          </w:tcPr>
          <w:p w14:paraId="2A62F118">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主要评价部门（单位）对企业进行安全生产检查过程中对专家的依赖程度。</w:t>
            </w:r>
          </w:p>
        </w:tc>
        <w:tc>
          <w:tcPr>
            <w:tcW w:w="1496" w:type="pct"/>
            <w:shd w:val="clear" w:color="auto" w:fill="auto"/>
            <w:vAlign w:val="center"/>
          </w:tcPr>
          <w:p w14:paraId="30C7FC30">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企业安全检查的过程中是否经常聘请专家；</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执法人员是否加强内部专业培训；</w:t>
            </w:r>
            <w:r>
              <w:rPr>
                <w:rFonts w:hint="eastAsia" w:ascii="仿宋" w:hAnsi="仿宋" w:eastAsia="仿宋"/>
                <w:bCs/>
                <w:sz w:val="18"/>
                <w:lang w:eastAsia="zh-CN"/>
              </w:rPr>
              <w:br w:type="textWrapping"/>
            </w:r>
            <w:r>
              <w:rPr>
                <w:rFonts w:hint="eastAsia" w:ascii="仿宋" w:hAnsi="仿宋" w:eastAsia="仿宋"/>
                <w:bCs/>
                <w:sz w:val="18"/>
                <w:lang w:eastAsia="zh-CN"/>
              </w:rPr>
              <w:t>一项不符合扣1分，扣完为止。</w:t>
            </w:r>
          </w:p>
        </w:tc>
        <w:tc>
          <w:tcPr>
            <w:tcW w:w="261" w:type="pct"/>
            <w:shd w:val="clear" w:color="auto" w:fill="auto"/>
            <w:vAlign w:val="center"/>
          </w:tcPr>
          <w:p w14:paraId="03228872">
            <w:pPr>
              <w:spacing w:line="408" w:lineRule="auto"/>
              <w:jc w:val="right"/>
              <w:rPr>
                <w:rFonts w:hint="eastAsia" w:ascii="仿宋" w:hAnsi="仿宋" w:eastAsia="仿宋"/>
                <w:bCs/>
                <w:sz w:val="18"/>
              </w:rPr>
            </w:pPr>
            <w:r>
              <w:rPr>
                <w:rFonts w:hint="eastAsia" w:ascii="仿宋" w:hAnsi="仿宋" w:eastAsia="仿宋"/>
                <w:bCs/>
                <w:sz w:val="18"/>
              </w:rPr>
              <w:t>2</w:t>
            </w:r>
          </w:p>
        </w:tc>
        <w:tc>
          <w:tcPr>
            <w:tcW w:w="261" w:type="pct"/>
            <w:shd w:val="clear" w:color="auto" w:fill="auto"/>
            <w:vAlign w:val="center"/>
          </w:tcPr>
          <w:p w14:paraId="5ED92A12">
            <w:pPr>
              <w:spacing w:line="408" w:lineRule="auto"/>
              <w:jc w:val="right"/>
              <w:rPr>
                <w:rFonts w:hint="eastAsia" w:ascii="仿宋" w:hAnsi="仿宋" w:eastAsia="仿宋"/>
                <w:bCs/>
                <w:sz w:val="18"/>
              </w:rPr>
            </w:pPr>
            <w:r>
              <w:rPr>
                <w:rFonts w:hint="eastAsia" w:ascii="仿宋" w:hAnsi="仿宋" w:eastAsia="仿宋"/>
                <w:bCs/>
                <w:sz w:val="18"/>
              </w:rPr>
              <w:t>1</w:t>
            </w:r>
          </w:p>
        </w:tc>
      </w:tr>
      <w:tr w14:paraId="7B8F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633C2564">
            <w:pPr>
              <w:spacing w:line="408" w:lineRule="auto"/>
              <w:jc w:val="center"/>
              <w:rPr>
                <w:rFonts w:hint="eastAsia" w:ascii="仿宋" w:hAnsi="仿宋" w:eastAsia="仿宋"/>
                <w:bCs/>
                <w:sz w:val="18"/>
              </w:rPr>
            </w:pPr>
          </w:p>
        </w:tc>
        <w:tc>
          <w:tcPr>
            <w:tcW w:w="621" w:type="pct"/>
            <w:vMerge w:val="continue"/>
            <w:shd w:val="clear" w:color="auto" w:fill="auto"/>
            <w:vAlign w:val="center"/>
          </w:tcPr>
          <w:p w14:paraId="15736331">
            <w:pPr>
              <w:spacing w:line="408" w:lineRule="auto"/>
              <w:jc w:val="center"/>
              <w:rPr>
                <w:rFonts w:hint="eastAsia" w:ascii="仿宋" w:hAnsi="仿宋" w:eastAsia="仿宋"/>
                <w:bCs/>
                <w:sz w:val="18"/>
              </w:rPr>
            </w:pPr>
          </w:p>
        </w:tc>
        <w:tc>
          <w:tcPr>
            <w:tcW w:w="902" w:type="pct"/>
            <w:shd w:val="clear" w:color="auto" w:fill="auto"/>
            <w:vAlign w:val="center"/>
          </w:tcPr>
          <w:p w14:paraId="06B11DEE">
            <w:pPr>
              <w:spacing w:line="408" w:lineRule="auto"/>
              <w:rPr>
                <w:rFonts w:hint="eastAsia" w:ascii="仿宋" w:hAnsi="仿宋" w:eastAsia="仿宋"/>
                <w:bCs/>
                <w:sz w:val="18"/>
                <w:lang w:eastAsia="zh-CN"/>
              </w:rPr>
            </w:pPr>
            <w:r>
              <w:rPr>
                <w:rFonts w:hint="eastAsia" w:ascii="仿宋" w:hAnsi="仿宋" w:eastAsia="仿宋"/>
                <w:bCs/>
                <w:sz w:val="18"/>
                <w:lang w:eastAsia="zh-CN"/>
              </w:rPr>
              <w:t>对护林员的监督情况（2分）</w:t>
            </w:r>
          </w:p>
        </w:tc>
        <w:tc>
          <w:tcPr>
            <w:tcW w:w="977" w:type="pct"/>
            <w:shd w:val="clear" w:color="auto" w:fill="auto"/>
            <w:vAlign w:val="center"/>
          </w:tcPr>
          <w:p w14:paraId="53D5DFBE">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主要评价部门（单位）对在森林防火防灾过程中，对护林员的监督程度。</w:t>
            </w:r>
          </w:p>
        </w:tc>
        <w:tc>
          <w:tcPr>
            <w:tcW w:w="1496" w:type="pct"/>
            <w:shd w:val="clear" w:color="auto" w:fill="auto"/>
            <w:vAlign w:val="center"/>
          </w:tcPr>
          <w:p w14:paraId="4EF56346">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是否对护林员日常的履职工作进行监督；</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护林员是否完成日常工作。</w:t>
            </w:r>
            <w:r>
              <w:rPr>
                <w:rFonts w:hint="eastAsia" w:ascii="仿宋" w:hAnsi="仿宋" w:eastAsia="仿宋"/>
                <w:bCs/>
                <w:sz w:val="18"/>
                <w:lang w:eastAsia="zh-CN"/>
              </w:rPr>
              <w:br w:type="textWrapping"/>
            </w:r>
            <w:r>
              <w:rPr>
                <w:rFonts w:hint="eastAsia" w:ascii="仿宋" w:hAnsi="仿宋" w:eastAsia="仿宋"/>
                <w:bCs/>
                <w:sz w:val="18"/>
                <w:lang w:eastAsia="zh-CN"/>
              </w:rPr>
              <w:t>一项不符合扣1分，扣完为止。</w:t>
            </w:r>
          </w:p>
        </w:tc>
        <w:tc>
          <w:tcPr>
            <w:tcW w:w="261" w:type="pct"/>
            <w:shd w:val="clear" w:color="auto" w:fill="auto"/>
            <w:vAlign w:val="center"/>
          </w:tcPr>
          <w:p w14:paraId="36EE59CF">
            <w:pPr>
              <w:spacing w:line="408" w:lineRule="auto"/>
              <w:jc w:val="right"/>
              <w:rPr>
                <w:rFonts w:hint="eastAsia" w:ascii="仿宋" w:hAnsi="仿宋" w:eastAsia="仿宋"/>
                <w:bCs/>
                <w:sz w:val="18"/>
              </w:rPr>
            </w:pPr>
            <w:r>
              <w:rPr>
                <w:rFonts w:hint="eastAsia" w:ascii="仿宋" w:hAnsi="仿宋" w:eastAsia="仿宋"/>
                <w:bCs/>
                <w:sz w:val="18"/>
              </w:rPr>
              <w:t>2</w:t>
            </w:r>
          </w:p>
        </w:tc>
        <w:tc>
          <w:tcPr>
            <w:tcW w:w="261" w:type="pct"/>
            <w:shd w:val="clear" w:color="auto" w:fill="auto"/>
            <w:vAlign w:val="center"/>
          </w:tcPr>
          <w:p w14:paraId="70F82AD2">
            <w:pPr>
              <w:spacing w:line="408" w:lineRule="auto"/>
              <w:jc w:val="right"/>
              <w:rPr>
                <w:rFonts w:hint="eastAsia" w:ascii="仿宋" w:hAnsi="仿宋" w:eastAsia="仿宋"/>
                <w:bCs/>
                <w:sz w:val="18"/>
              </w:rPr>
            </w:pPr>
            <w:r>
              <w:rPr>
                <w:rFonts w:hint="eastAsia" w:ascii="仿宋" w:hAnsi="仿宋" w:eastAsia="仿宋"/>
                <w:bCs/>
                <w:sz w:val="18"/>
              </w:rPr>
              <w:t>1</w:t>
            </w:r>
          </w:p>
        </w:tc>
      </w:tr>
      <w:tr w14:paraId="2395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812ED6D">
            <w:pPr>
              <w:spacing w:line="408" w:lineRule="auto"/>
              <w:jc w:val="center"/>
              <w:rPr>
                <w:rFonts w:hint="eastAsia" w:ascii="仿宋" w:hAnsi="仿宋" w:eastAsia="仿宋"/>
                <w:bCs/>
                <w:sz w:val="18"/>
              </w:rPr>
            </w:pPr>
          </w:p>
        </w:tc>
        <w:tc>
          <w:tcPr>
            <w:tcW w:w="621" w:type="pct"/>
            <w:vMerge w:val="continue"/>
            <w:shd w:val="clear" w:color="auto" w:fill="auto"/>
            <w:vAlign w:val="center"/>
          </w:tcPr>
          <w:p w14:paraId="092B6C8E">
            <w:pPr>
              <w:spacing w:line="408" w:lineRule="auto"/>
              <w:jc w:val="center"/>
              <w:rPr>
                <w:rFonts w:hint="eastAsia" w:ascii="仿宋" w:hAnsi="仿宋" w:eastAsia="仿宋"/>
                <w:bCs/>
                <w:sz w:val="18"/>
              </w:rPr>
            </w:pPr>
          </w:p>
        </w:tc>
        <w:tc>
          <w:tcPr>
            <w:tcW w:w="902" w:type="pct"/>
            <w:shd w:val="clear" w:color="auto" w:fill="auto"/>
            <w:vAlign w:val="center"/>
          </w:tcPr>
          <w:p w14:paraId="61F04419">
            <w:pPr>
              <w:spacing w:line="408" w:lineRule="auto"/>
              <w:rPr>
                <w:rFonts w:hint="eastAsia" w:ascii="仿宋" w:hAnsi="仿宋" w:eastAsia="仿宋"/>
                <w:bCs/>
                <w:sz w:val="18"/>
                <w:lang w:eastAsia="zh-CN"/>
              </w:rPr>
            </w:pPr>
            <w:r>
              <w:rPr>
                <w:rFonts w:hint="eastAsia" w:ascii="仿宋" w:hAnsi="仿宋" w:eastAsia="仿宋"/>
                <w:bCs/>
                <w:sz w:val="18"/>
                <w:lang w:eastAsia="zh-CN"/>
              </w:rPr>
              <w:t>对乡镇一级防火救灾建设的监督（3分）</w:t>
            </w:r>
          </w:p>
        </w:tc>
        <w:tc>
          <w:tcPr>
            <w:tcW w:w="977" w:type="pct"/>
            <w:shd w:val="clear" w:color="auto" w:fill="auto"/>
            <w:vAlign w:val="center"/>
          </w:tcPr>
          <w:p w14:paraId="59715BFB">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主要评价部门（单位）对乡镇一级单位的森林防火救灾建设的监督情况。</w:t>
            </w:r>
          </w:p>
        </w:tc>
        <w:tc>
          <w:tcPr>
            <w:tcW w:w="1496" w:type="pct"/>
            <w:shd w:val="clear" w:color="auto" w:fill="auto"/>
            <w:vAlign w:val="center"/>
          </w:tcPr>
          <w:p w14:paraId="6CE29169">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是否有走访乡镇一级单位；</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是否对半专业救火队的训练和建设进行监督；</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是否有对乡镇半专业救火队的备勤进行监督。</w:t>
            </w:r>
          </w:p>
        </w:tc>
        <w:tc>
          <w:tcPr>
            <w:tcW w:w="261" w:type="pct"/>
            <w:shd w:val="clear" w:color="auto" w:fill="auto"/>
            <w:vAlign w:val="center"/>
          </w:tcPr>
          <w:p w14:paraId="4AF15232">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26EB151E">
            <w:pPr>
              <w:spacing w:line="408" w:lineRule="auto"/>
              <w:jc w:val="right"/>
              <w:rPr>
                <w:rFonts w:hint="eastAsia" w:ascii="仿宋" w:hAnsi="仿宋" w:eastAsia="仿宋"/>
                <w:bCs/>
                <w:sz w:val="18"/>
              </w:rPr>
            </w:pPr>
            <w:r>
              <w:rPr>
                <w:rFonts w:hint="eastAsia" w:ascii="仿宋" w:hAnsi="仿宋" w:eastAsia="仿宋"/>
                <w:bCs/>
                <w:sz w:val="18"/>
              </w:rPr>
              <w:t>1</w:t>
            </w:r>
          </w:p>
        </w:tc>
      </w:tr>
      <w:tr w14:paraId="743F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8F16BEE">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0C66ACA">
            <w:pPr>
              <w:spacing w:line="408" w:lineRule="auto"/>
              <w:jc w:val="center"/>
              <w:rPr>
                <w:rFonts w:hint="eastAsia" w:ascii="仿宋" w:hAnsi="仿宋" w:eastAsia="仿宋"/>
                <w:bCs/>
                <w:sz w:val="18"/>
              </w:rPr>
            </w:pPr>
          </w:p>
        </w:tc>
        <w:tc>
          <w:tcPr>
            <w:tcW w:w="902" w:type="pct"/>
            <w:shd w:val="clear" w:color="auto" w:fill="auto"/>
            <w:vAlign w:val="center"/>
          </w:tcPr>
          <w:p w14:paraId="06FBC5B7">
            <w:pPr>
              <w:spacing w:line="408" w:lineRule="auto"/>
              <w:rPr>
                <w:rFonts w:hint="eastAsia" w:ascii="仿宋" w:hAnsi="仿宋" w:eastAsia="仿宋"/>
                <w:bCs/>
                <w:sz w:val="18"/>
                <w:lang w:eastAsia="zh-CN"/>
              </w:rPr>
            </w:pPr>
            <w:r>
              <w:rPr>
                <w:rFonts w:hint="eastAsia" w:ascii="仿宋" w:hAnsi="仿宋" w:eastAsia="仿宋"/>
                <w:bCs/>
                <w:sz w:val="18"/>
                <w:lang w:eastAsia="zh-CN"/>
              </w:rPr>
              <w:t>群众救援响应速度（3分）</w:t>
            </w:r>
          </w:p>
        </w:tc>
        <w:tc>
          <w:tcPr>
            <w:tcW w:w="977" w:type="pct"/>
            <w:shd w:val="clear" w:color="auto" w:fill="auto"/>
            <w:vAlign w:val="center"/>
          </w:tcPr>
          <w:p w14:paraId="03DCBA8D">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主要评价部门（单位）在进行救灾抗灾群众救援时的响应时间情况。</w:t>
            </w:r>
          </w:p>
        </w:tc>
        <w:tc>
          <w:tcPr>
            <w:tcW w:w="1496" w:type="pct"/>
            <w:shd w:val="clear" w:color="auto" w:fill="auto"/>
            <w:vAlign w:val="center"/>
          </w:tcPr>
          <w:p w14:paraId="45ED681F">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响应速度</w:t>
            </w:r>
            <w:r>
              <w:rPr>
                <w:rFonts w:ascii="仿宋" w:hAnsi="仿宋" w:eastAsia="仿宋"/>
                <w:bCs/>
                <w:sz w:val="18"/>
                <w:lang w:eastAsia="zh-CN"/>
              </w:rPr>
              <w:t>≤</w:t>
            </w:r>
            <w:r>
              <w:rPr>
                <w:rFonts w:hint="eastAsia" w:ascii="仿宋" w:hAnsi="仿宋" w:eastAsia="仿宋"/>
                <w:bCs/>
                <w:sz w:val="18"/>
                <w:lang w:eastAsia="zh-CN"/>
              </w:rPr>
              <w:t>5分钟，得3分；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5分钟＜响应速度</w:t>
            </w:r>
            <w:r>
              <w:rPr>
                <w:rFonts w:ascii="仿宋" w:hAnsi="仿宋" w:eastAsia="仿宋"/>
                <w:bCs/>
                <w:sz w:val="18"/>
                <w:lang w:eastAsia="zh-CN"/>
              </w:rPr>
              <w:t>≤</w:t>
            </w:r>
            <w:r>
              <w:rPr>
                <w:rFonts w:hint="eastAsia" w:ascii="仿宋" w:hAnsi="仿宋" w:eastAsia="仿宋"/>
                <w:bCs/>
                <w:sz w:val="18"/>
                <w:lang w:eastAsia="zh-CN"/>
              </w:rPr>
              <w:t>10分钟，得2分；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10分钟＜响应速度</w:t>
            </w:r>
            <w:r>
              <w:rPr>
                <w:rFonts w:ascii="仿宋" w:hAnsi="仿宋" w:eastAsia="仿宋"/>
                <w:bCs/>
                <w:sz w:val="18"/>
                <w:lang w:eastAsia="zh-CN"/>
              </w:rPr>
              <w:t>≤</w:t>
            </w:r>
            <w:r>
              <w:rPr>
                <w:rFonts w:hint="eastAsia" w:ascii="仿宋" w:hAnsi="仿宋" w:eastAsia="仿宋"/>
                <w:bCs/>
                <w:sz w:val="18"/>
                <w:lang w:eastAsia="zh-CN"/>
              </w:rPr>
              <w:t>15分钟，得1分；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15分钟＜响应速度，得0分。</w:t>
            </w:r>
          </w:p>
        </w:tc>
        <w:tc>
          <w:tcPr>
            <w:tcW w:w="261" w:type="pct"/>
            <w:shd w:val="clear" w:color="auto" w:fill="auto"/>
            <w:vAlign w:val="center"/>
          </w:tcPr>
          <w:p w14:paraId="3FC0503E">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4FD33257">
            <w:pPr>
              <w:spacing w:line="408" w:lineRule="auto"/>
              <w:jc w:val="right"/>
              <w:rPr>
                <w:rFonts w:hint="eastAsia" w:ascii="仿宋" w:hAnsi="仿宋" w:eastAsia="仿宋"/>
                <w:bCs/>
                <w:sz w:val="18"/>
              </w:rPr>
            </w:pPr>
            <w:r>
              <w:rPr>
                <w:rFonts w:hint="eastAsia" w:ascii="仿宋" w:hAnsi="仿宋" w:eastAsia="仿宋"/>
                <w:bCs/>
                <w:sz w:val="18"/>
              </w:rPr>
              <w:t>3</w:t>
            </w:r>
          </w:p>
        </w:tc>
      </w:tr>
      <w:tr w14:paraId="2AF9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2F10603A">
            <w:pPr>
              <w:spacing w:line="408" w:lineRule="auto"/>
              <w:jc w:val="center"/>
              <w:rPr>
                <w:rFonts w:hint="eastAsia" w:ascii="仿宋" w:hAnsi="仿宋" w:eastAsia="仿宋"/>
                <w:bCs/>
                <w:sz w:val="18"/>
              </w:rPr>
            </w:pPr>
          </w:p>
        </w:tc>
        <w:tc>
          <w:tcPr>
            <w:tcW w:w="621" w:type="pct"/>
            <w:shd w:val="clear" w:color="auto" w:fill="auto"/>
            <w:vAlign w:val="center"/>
          </w:tcPr>
          <w:p w14:paraId="224862BF">
            <w:pPr>
              <w:spacing w:line="408" w:lineRule="auto"/>
              <w:rPr>
                <w:rFonts w:hint="eastAsia" w:ascii="仿宋" w:hAnsi="仿宋" w:eastAsia="仿宋"/>
                <w:bCs/>
                <w:sz w:val="18"/>
              </w:rPr>
            </w:pPr>
            <w:r>
              <w:rPr>
                <w:rFonts w:hint="eastAsia" w:ascii="仿宋" w:hAnsi="仿宋" w:eastAsia="仿宋"/>
                <w:bCs/>
                <w:sz w:val="18"/>
              </w:rPr>
              <w:t>产出成本（3分）</w:t>
            </w:r>
          </w:p>
        </w:tc>
        <w:tc>
          <w:tcPr>
            <w:tcW w:w="902" w:type="pct"/>
            <w:shd w:val="clear" w:color="auto" w:fill="auto"/>
            <w:vAlign w:val="center"/>
          </w:tcPr>
          <w:p w14:paraId="4E00EC6A">
            <w:pPr>
              <w:spacing w:line="408" w:lineRule="auto"/>
              <w:rPr>
                <w:rFonts w:hint="eastAsia" w:ascii="仿宋" w:hAnsi="仿宋" w:eastAsia="仿宋"/>
                <w:bCs/>
                <w:sz w:val="18"/>
                <w:lang w:eastAsia="zh-CN"/>
              </w:rPr>
            </w:pPr>
            <w:r>
              <w:rPr>
                <w:rFonts w:hint="eastAsia" w:ascii="仿宋" w:hAnsi="仿宋" w:eastAsia="仿宋"/>
                <w:bCs/>
                <w:sz w:val="18"/>
                <w:lang w:eastAsia="zh-CN"/>
              </w:rPr>
              <w:t>项目成本控制率（3分）</w:t>
            </w:r>
          </w:p>
        </w:tc>
        <w:tc>
          <w:tcPr>
            <w:tcW w:w="977" w:type="pct"/>
            <w:shd w:val="clear" w:color="auto" w:fill="auto"/>
            <w:vAlign w:val="center"/>
          </w:tcPr>
          <w:p w14:paraId="147A6CBC">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主要评价部门（单位）在项目执行的过程中对项目投入成本的控制程度。</w:t>
            </w:r>
          </w:p>
        </w:tc>
        <w:tc>
          <w:tcPr>
            <w:tcW w:w="1496" w:type="pct"/>
            <w:shd w:val="clear" w:color="auto" w:fill="auto"/>
            <w:vAlign w:val="center"/>
          </w:tcPr>
          <w:p w14:paraId="37AA340D">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成本控制率</w:t>
            </w:r>
            <w:r>
              <w:rPr>
                <w:rFonts w:ascii="仿宋" w:hAnsi="仿宋" w:eastAsia="仿宋"/>
                <w:bCs/>
                <w:sz w:val="18"/>
                <w:lang w:eastAsia="zh-CN"/>
              </w:rPr>
              <w:t>≤</w:t>
            </w:r>
            <w:r>
              <w:rPr>
                <w:rFonts w:hint="eastAsia" w:ascii="仿宋" w:hAnsi="仿宋" w:eastAsia="仿宋"/>
                <w:bCs/>
                <w:sz w:val="18"/>
                <w:lang w:eastAsia="zh-CN"/>
              </w:rPr>
              <w:t>100%，得3分；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100%＜成本控制率</w:t>
            </w:r>
            <w:r>
              <w:rPr>
                <w:rFonts w:ascii="仿宋" w:hAnsi="仿宋" w:eastAsia="仿宋"/>
                <w:bCs/>
                <w:sz w:val="18"/>
                <w:lang w:eastAsia="zh-CN"/>
              </w:rPr>
              <w:t>≤</w:t>
            </w:r>
            <w:r>
              <w:rPr>
                <w:rFonts w:hint="eastAsia" w:ascii="仿宋" w:hAnsi="仿宋" w:eastAsia="仿宋"/>
                <w:bCs/>
                <w:sz w:val="18"/>
                <w:lang w:eastAsia="zh-CN"/>
              </w:rPr>
              <w:t>103%，得2分；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103%＜成本控制率</w:t>
            </w:r>
            <w:r>
              <w:rPr>
                <w:rFonts w:ascii="仿宋" w:hAnsi="仿宋" w:eastAsia="仿宋"/>
                <w:bCs/>
                <w:sz w:val="18"/>
                <w:lang w:eastAsia="zh-CN"/>
              </w:rPr>
              <w:t>≤</w:t>
            </w:r>
            <w:r>
              <w:rPr>
                <w:rFonts w:hint="eastAsia" w:ascii="仿宋" w:hAnsi="仿宋" w:eastAsia="仿宋"/>
                <w:bCs/>
                <w:sz w:val="18"/>
                <w:lang w:eastAsia="zh-CN"/>
              </w:rPr>
              <w:t>106%，得1分；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106%＜成本控制率</w:t>
            </w:r>
            <w:r>
              <w:rPr>
                <w:rFonts w:ascii="仿宋" w:hAnsi="仿宋" w:eastAsia="仿宋"/>
                <w:bCs/>
                <w:sz w:val="18"/>
                <w:lang w:eastAsia="zh-CN"/>
              </w:rPr>
              <w:t>≤</w:t>
            </w:r>
            <w:r>
              <w:rPr>
                <w:rFonts w:hint="eastAsia" w:ascii="仿宋" w:hAnsi="仿宋" w:eastAsia="仿宋"/>
                <w:bCs/>
                <w:sz w:val="18"/>
                <w:lang w:eastAsia="zh-CN"/>
              </w:rPr>
              <w:t>109%，得0分。</w:t>
            </w:r>
          </w:p>
        </w:tc>
        <w:tc>
          <w:tcPr>
            <w:tcW w:w="261" w:type="pct"/>
            <w:shd w:val="clear" w:color="auto" w:fill="auto"/>
            <w:vAlign w:val="center"/>
          </w:tcPr>
          <w:p w14:paraId="179BA2B4">
            <w:pPr>
              <w:spacing w:line="408" w:lineRule="auto"/>
              <w:jc w:val="right"/>
              <w:rPr>
                <w:rFonts w:hint="eastAsia" w:ascii="仿宋" w:hAnsi="仿宋" w:eastAsia="仿宋"/>
                <w:bCs/>
                <w:sz w:val="18"/>
              </w:rPr>
            </w:pPr>
            <w:r>
              <w:rPr>
                <w:rFonts w:hint="eastAsia" w:ascii="仿宋" w:hAnsi="仿宋" w:eastAsia="仿宋"/>
                <w:bCs/>
                <w:sz w:val="18"/>
              </w:rPr>
              <w:t>3</w:t>
            </w:r>
          </w:p>
        </w:tc>
        <w:tc>
          <w:tcPr>
            <w:tcW w:w="261" w:type="pct"/>
            <w:shd w:val="clear" w:color="auto" w:fill="auto"/>
            <w:vAlign w:val="center"/>
          </w:tcPr>
          <w:p w14:paraId="48BD8DE9">
            <w:pPr>
              <w:spacing w:line="408" w:lineRule="auto"/>
              <w:jc w:val="right"/>
              <w:rPr>
                <w:rFonts w:hint="eastAsia" w:ascii="仿宋" w:hAnsi="仿宋" w:eastAsia="仿宋"/>
                <w:bCs/>
                <w:sz w:val="18"/>
              </w:rPr>
            </w:pPr>
            <w:r>
              <w:rPr>
                <w:rFonts w:hint="eastAsia" w:ascii="仿宋" w:hAnsi="仿宋" w:eastAsia="仿宋"/>
                <w:bCs/>
                <w:sz w:val="18"/>
              </w:rPr>
              <w:t>3</w:t>
            </w:r>
          </w:p>
        </w:tc>
      </w:tr>
      <w:tr w14:paraId="33E9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restart"/>
            <w:shd w:val="clear" w:color="auto" w:fill="auto"/>
            <w:vAlign w:val="center"/>
          </w:tcPr>
          <w:p w14:paraId="73F2B7F4">
            <w:pPr>
              <w:spacing w:line="408" w:lineRule="auto"/>
              <w:rPr>
                <w:rFonts w:hint="eastAsia" w:ascii="仿宋" w:hAnsi="仿宋" w:eastAsia="仿宋"/>
                <w:bCs/>
                <w:sz w:val="18"/>
              </w:rPr>
            </w:pPr>
            <w:r>
              <w:rPr>
                <w:rFonts w:hint="eastAsia" w:ascii="仿宋" w:hAnsi="仿宋" w:eastAsia="仿宋"/>
                <w:bCs/>
                <w:sz w:val="18"/>
              </w:rPr>
              <w:t>效益（29%）</w:t>
            </w:r>
          </w:p>
        </w:tc>
        <w:tc>
          <w:tcPr>
            <w:tcW w:w="621" w:type="pct"/>
            <w:vMerge w:val="restart"/>
            <w:shd w:val="clear" w:color="auto" w:fill="auto"/>
            <w:vAlign w:val="center"/>
          </w:tcPr>
          <w:p w14:paraId="41880EC4">
            <w:pPr>
              <w:spacing w:line="408" w:lineRule="auto"/>
              <w:rPr>
                <w:rFonts w:hint="eastAsia" w:ascii="仿宋" w:hAnsi="仿宋" w:eastAsia="仿宋"/>
                <w:bCs/>
                <w:sz w:val="18"/>
              </w:rPr>
            </w:pPr>
            <w:r>
              <w:rPr>
                <w:rFonts w:hint="eastAsia" w:ascii="仿宋" w:hAnsi="仿宋" w:eastAsia="仿宋"/>
                <w:bCs/>
                <w:sz w:val="18"/>
              </w:rPr>
              <w:t>社会效益（25分）</w:t>
            </w:r>
          </w:p>
        </w:tc>
        <w:tc>
          <w:tcPr>
            <w:tcW w:w="902" w:type="pct"/>
            <w:shd w:val="clear" w:color="auto" w:fill="auto"/>
            <w:vAlign w:val="center"/>
          </w:tcPr>
          <w:p w14:paraId="1BAB4A40">
            <w:pPr>
              <w:spacing w:line="408" w:lineRule="auto"/>
              <w:rPr>
                <w:rFonts w:hint="eastAsia" w:ascii="仿宋" w:hAnsi="仿宋" w:eastAsia="仿宋"/>
                <w:bCs/>
                <w:sz w:val="18"/>
                <w:lang w:eastAsia="zh-CN"/>
              </w:rPr>
            </w:pPr>
            <w:r>
              <w:rPr>
                <w:rFonts w:hint="eastAsia" w:ascii="仿宋" w:hAnsi="仿宋" w:eastAsia="仿宋"/>
                <w:bCs/>
                <w:sz w:val="18"/>
                <w:lang w:eastAsia="zh-CN"/>
              </w:rPr>
              <w:t>基层防汛能力标准化建设情况（5分）</w:t>
            </w:r>
          </w:p>
        </w:tc>
        <w:tc>
          <w:tcPr>
            <w:tcW w:w="977" w:type="pct"/>
            <w:shd w:val="clear" w:color="auto" w:fill="auto"/>
            <w:vAlign w:val="center"/>
          </w:tcPr>
          <w:p w14:paraId="154C32F3">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主要评价部门（单位）完成基层防汛能力标准化建设任务的村社数量。</w:t>
            </w:r>
          </w:p>
        </w:tc>
        <w:tc>
          <w:tcPr>
            <w:tcW w:w="1496" w:type="pct"/>
            <w:shd w:val="clear" w:color="auto" w:fill="auto"/>
            <w:vAlign w:val="center"/>
          </w:tcPr>
          <w:p w14:paraId="274B4283">
            <w:pPr>
              <w:spacing w:line="408" w:lineRule="auto"/>
              <w:rPr>
                <w:rFonts w:hint="eastAsia" w:ascii="仿宋" w:hAnsi="仿宋" w:eastAsia="仿宋"/>
                <w:bCs/>
                <w:sz w:val="18"/>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村社数量</w:t>
            </w:r>
            <w:r>
              <w:rPr>
                <w:rFonts w:ascii="仿宋" w:hAnsi="仿宋" w:eastAsia="仿宋"/>
                <w:bCs/>
                <w:sz w:val="18"/>
                <w:lang w:eastAsia="zh-CN"/>
              </w:rPr>
              <w:t>≤</w:t>
            </w:r>
            <w:r>
              <w:rPr>
                <w:rFonts w:hint="eastAsia" w:ascii="仿宋" w:hAnsi="仿宋" w:eastAsia="仿宋"/>
                <w:bCs/>
                <w:sz w:val="18"/>
                <w:lang w:eastAsia="zh-CN"/>
              </w:rPr>
              <w:t>80个，得5分；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80个＜村社数量</w:t>
            </w:r>
            <w:r>
              <w:rPr>
                <w:rFonts w:ascii="仿宋" w:hAnsi="仿宋" w:eastAsia="仿宋"/>
                <w:bCs/>
                <w:sz w:val="18"/>
                <w:lang w:eastAsia="zh-CN"/>
              </w:rPr>
              <w:t>≤</w:t>
            </w:r>
            <w:r>
              <w:rPr>
                <w:rFonts w:hint="eastAsia" w:ascii="仿宋" w:hAnsi="仿宋" w:eastAsia="仿宋"/>
                <w:bCs/>
                <w:sz w:val="18"/>
                <w:lang w:eastAsia="zh-CN"/>
              </w:rPr>
              <w:t>70个，得4分；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70个＜村社数量</w:t>
            </w:r>
            <w:r>
              <w:rPr>
                <w:rFonts w:ascii="仿宋" w:hAnsi="仿宋" w:eastAsia="仿宋"/>
                <w:bCs/>
                <w:sz w:val="18"/>
                <w:lang w:eastAsia="zh-CN"/>
              </w:rPr>
              <w:t>≤</w:t>
            </w:r>
            <w:r>
              <w:rPr>
                <w:rFonts w:hint="eastAsia" w:ascii="仿宋" w:hAnsi="仿宋" w:eastAsia="仿宋"/>
                <w:bCs/>
                <w:sz w:val="18"/>
                <w:lang w:eastAsia="zh-CN"/>
              </w:rPr>
              <w:t>60个，得3分；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60个＜村社数量</w:t>
            </w:r>
            <w:r>
              <w:rPr>
                <w:rFonts w:ascii="仿宋" w:hAnsi="仿宋" w:eastAsia="仿宋"/>
                <w:bCs/>
                <w:sz w:val="18"/>
                <w:lang w:eastAsia="zh-CN"/>
              </w:rPr>
              <w:t>≤</w:t>
            </w:r>
            <w:r>
              <w:rPr>
                <w:rFonts w:hint="eastAsia" w:ascii="仿宋" w:hAnsi="仿宋" w:eastAsia="仿宋"/>
                <w:bCs/>
                <w:sz w:val="18"/>
                <w:lang w:eastAsia="zh-CN"/>
              </w:rPr>
              <w:t>50个，得2分；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50个＜村社数量</w:t>
            </w:r>
            <w:r>
              <w:rPr>
                <w:rFonts w:ascii="仿宋" w:hAnsi="仿宋" w:eastAsia="仿宋"/>
                <w:bCs/>
                <w:sz w:val="18"/>
                <w:lang w:eastAsia="zh-CN"/>
              </w:rPr>
              <w:t>≤</w:t>
            </w:r>
            <w:r>
              <w:rPr>
                <w:rFonts w:hint="eastAsia" w:ascii="仿宋" w:hAnsi="仿宋" w:eastAsia="仿宋"/>
                <w:bCs/>
                <w:sz w:val="18"/>
                <w:lang w:eastAsia="zh-CN"/>
              </w:rPr>
              <w:t>40个，得1分。</w:t>
            </w:r>
            <w:r>
              <w:rPr>
                <w:rFonts w:hint="eastAsia" w:ascii="仿宋" w:hAnsi="仿宋" w:eastAsia="仿宋"/>
                <w:bCs/>
                <w:sz w:val="18"/>
                <w:lang w:eastAsia="zh-CN"/>
              </w:rPr>
              <w:br w:type="textWrapping"/>
            </w:r>
            <w:r>
              <w:rPr>
                <w:rFonts w:ascii="仿宋" w:hAnsi="仿宋" w:eastAsia="仿宋"/>
                <w:bCs/>
                <w:sz w:val="18"/>
              </w:rPr>
              <w:t>⑥</w:t>
            </w:r>
            <w:r>
              <w:rPr>
                <w:rFonts w:hint="eastAsia" w:ascii="仿宋" w:hAnsi="仿宋" w:eastAsia="仿宋"/>
                <w:bCs/>
                <w:sz w:val="18"/>
              </w:rPr>
              <w:t>40个＜村社数量，得0分</w:t>
            </w:r>
          </w:p>
        </w:tc>
        <w:tc>
          <w:tcPr>
            <w:tcW w:w="261" w:type="pct"/>
            <w:shd w:val="clear" w:color="auto" w:fill="auto"/>
            <w:vAlign w:val="center"/>
          </w:tcPr>
          <w:p w14:paraId="0D4351D7">
            <w:pPr>
              <w:spacing w:line="408" w:lineRule="auto"/>
              <w:jc w:val="right"/>
              <w:rPr>
                <w:rFonts w:hint="eastAsia" w:ascii="仿宋" w:hAnsi="仿宋" w:eastAsia="仿宋"/>
                <w:bCs/>
                <w:sz w:val="18"/>
              </w:rPr>
            </w:pPr>
            <w:r>
              <w:rPr>
                <w:rFonts w:hint="eastAsia" w:ascii="仿宋" w:hAnsi="仿宋" w:eastAsia="仿宋"/>
                <w:bCs/>
                <w:sz w:val="18"/>
              </w:rPr>
              <w:t>5</w:t>
            </w:r>
          </w:p>
        </w:tc>
        <w:tc>
          <w:tcPr>
            <w:tcW w:w="261" w:type="pct"/>
            <w:shd w:val="clear" w:color="auto" w:fill="auto"/>
            <w:vAlign w:val="center"/>
          </w:tcPr>
          <w:p w14:paraId="6AA76C0F">
            <w:pPr>
              <w:spacing w:line="408" w:lineRule="auto"/>
              <w:jc w:val="right"/>
              <w:rPr>
                <w:rFonts w:hint="eastAsia" w:ascii="仿宋" w:hAnsi="仿宋" w:eastAsia="仿宋"/>
                <w:bCs/>
                <w:sz w:val="18"/>
              </w:rPr>
            </w:pPr>
            <w:r>
              <w:rPr>
                <w:rFonts w:hint="eastAsia" w:ascii="仿宋" w:hAnsi="仿宋" w:eastAsia="仿宋"/>
                <w:bCs/>
                <w:sz w:val="18"/>
              </w:rPr>
              <w:t>5</w:t>
            </w:r>
          </w:p>
        </w:tc>
      </w:tr>
      <w:tr w14:paraId="21B5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67FD117F">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2951258">
            <w:pPr>
              <w:spacing w:line="408" w:lineRule="auto"/>
              <w:jc w:val="center"/>
              <w:rPr>
                <w:rFonts w:hint="eastAsia" w:ascii="仿宋" w:hAnsi="仿宋" w:eastAsia="仿宋"/>
                <w:bCs/>
                <w:sz w:val="18"/>
              </w:rPr>
            </w:pPr>
          </w:p>
        </w:tc>
        <w:tc>
          <w:tcPr>
            <w:tcW w:w="902" w:type="pct"/>
            <w:shd w:val="clear" w:color="auto" w:fill="auto"/>
            <w:vAlign w:val="center"/>
          </w:tcPr>
          <w:p w14:paraId="5BEDB8AC">
            <w:pPr>
              <w:spacing w:line="408" w:lineRule="auto"/>
              <w:rPr>
                <w:rFonts w:hint="eastAsia" w:ascii="仿宋" w:hAnsi="仿宋" w:eastAsia="仿宋"/>
                <w:bCs/>
                <w:sz w:val="18"/>
                <w:lang w:eastAsia="zh-CN"/>
              </w:rPr>
            </w:pPr>
            <w:r>
              <w:rPr>
                <w:rFonts w:hint="eastAsia" w:ascii="仿宋" w:hAnsi="仿宋" w:eastAsia="仿宋"/>
                <w:bCs/>
                <w:sz w:val="18"/>
                <w:lang w:eastAsia="zh-CN"/>
              </w:rPr>
              <w:t>防火防汛安全生产宣传力度（4分）</w:t>
            </w:r>
          </w:p>
        </w:tc>
        <w:tc>
          <w:tcPr>
            <w:tcW w:w="977" w:type="pct"/>
            <w:shd w:val="clear" w:color="auto" w:fill="auto"/>
            <w:vAlign w:val="center"/>
          </w:tcPr>
          <w:p w14:paraId="49D27E51">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主要评价部门（单位）在防火防汛安全生产等方面的宣传力度。</w:t>
            </w:r>
          </w:p>
        </w:tc>
        <w:tc>
          <w:tcPr>
            <w:tcW w:w="1496" w:type="pct"/>
            <w:shd w:val="clear" w:color="auto" w:fill="auto"/>
            <w:vAlign w:val="center"/>
          </w:tcPr>
          <w:p w14:paraId="2B44CF7B">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宣传力度大，得4分；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宣传力度较大，得3分；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宣传力度适中，得2分；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宣传力度不足，得1分；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没进行相关宣传，得0分。</w:t>
            </w:r>
          </w:p>
        </w:tc>
        <w:tc>
          <w:tcPr>
            <w:tcW w:w="261" w:type="pct"/>
            <w:shd w:val="clear" w:color="auto" w:fill="auto"/>
            <w:vAlign w:val="center"/>
          </w:tcPr>
          <w:p w14:paraId="09D8644C">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4D8C7D71">
            <w:pPr>
              <w:spacing w:line="408" w:lineRule="auto"/>
              <w:jc w:val="right"/>
              <w:rPr>
                <w:rFonts w:hint="eastAsia" w:ascii="仿宋" w:hAnsi="仿宋" w:eastAsia="仿宋"/>
                <w:bCs/>
                <w:sz w:val="18"/>
              </w:rPr>
            </w:pPr>
            <w:r>
              <w:rPr>
                <w:rFonts w:hint="eastAsia" w:ascii="仿宋" w:hAnsi="仿宋" w:eastAsia="仿宋"/>
                <w:bCs/>
                <w:sz w:val="18"/>
              </w:rPr>
              <w:t>4</w:t>
            </w:r>
          </w:p>
        </w:tc>
      </w:tr>
      <w:tr w14:paraId="381B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62E802D8">
            <w:pPr>
              <w:spacing w:line="408" w:lineRule="auto"/>
              <w:jc w:val="center"/>
              <w:rPr>
                <w:rFonts w:hint="eastAsia" w:ascii="仿宋" w:hAnsi="仿宋" w:eastAsia="仿宋"/>
                <w:bCs/>
                <w:sz w:val="18"/>
              </w:rPr>
            </w:pPr>
          </w:p>
        </w:tc>
        <w:tc>
          <w:tcPr>
            <w:tcW w:w="621" w:type="pct"/>
            <w:vMerge w:val="continue"/>
            <w:shd w:val="clear" w:color="auto" w:fill="auto"/>
            <w:vAlign w:val="center"/>
          </w:tcPr>
          <w:p w14:paraId="79C20ABB">
            <w:pPr>
              <w:spacing w:line="408" w:lineRule="auto"/>
              <w:jc w:val="center"/>
              <w:rPr>
                <w:rFonts w:hint="eastAsia" w:ascii="仿宋" w:hAnsi="仿宋" w:eastAsia="仿宋"/>
                <w:bCs/>
                <w:sz w:val="18"/>
              </w:rPr>
            </w:pPr>
          </w:p>
        </w:tc>
        <w:tc>
          <w:tcPr>
            <w:tcW w:w="902" w:type="pct"/>
            <w:shd w:val="clear" w:color="auto" w:fill="auto"/>
            <w:vAlign w:val="center"/>
          </w:tcPr>
          <w:p w14:paraId="2422A836">
            <w:pPr>
              <w:spacing w:line="408" w:lineRule="auto"/>
              <w:rPr>
                <w:rFonts w:hint="eastAsia" w:ascii="仿宋" w:hAnsi="仿宋" w:eastAsia="仿宋"/>
                <w:bCs/>
                <w:sz w:val="18"/>
                <w:lang w:eastAsia="zh-CN"/>
              </w:rPr>
            </w:pPr>
            <w:r>
              <w:rPr>
                <w:rFonts w:hint="eastAsia" w:ascii="仿宋" w:hAnsi="仿宋" w:eastAsia="仿宋"/>
                <w:bCs/>
                <w:sz w:val="18"/>
                <w:lang w:eastAsia="zh-CN"/>
              </w:rPr>
              <w:t>联勤中心社会救助的次数（4分）</w:t>
            </w:r>
          </w:p>
        </w:tc>
        <w:tc>
          <w:tcPr>
            <w:tcW w:w="977" w:type="pct"/>
            <w:shd w:val="clear" w:color="auto" w:fill="auto"/>
            <w:vAlign w:val="center"/>
          </w:tcPr>
          <w:p w14:paraId="609BF841">
            <w:pPr>
              <w:spacing w:line="408" w:lineRule="auto"/>
              <w:rPr>
                <w:rFonts w:hint="eastAsia" w:ascii="仿宋" w:hAnsi="仿宋" w:eastAsia="仿宋"/>
                <w:bCs/>
                <w:sz w:val="18"/>
                <w:lang w:eastAsia="zh-CN"/>
              </w:rPr>
            </w:pPr>
            <w:r>
              <w:rPr>
                <w:rFonts w:hint="eastAsia" w:ascii="仿宋" w:hAnsi="仿宋" w:eastAsia="仿宋"/>
                <w:bCs/>
                <w:sz w:val="18"/>
                <w:lang w:eastAsia="zh-CN"/>
              </w:rPr>
              <w:t>社会应急救援联勤中心参与对社会群众救助的次数。</w:t>
            </w:r>
          </w:p>
        </w:tc>
        <w:tc>
          <w:tcPr>
            <w:tcW w:w="1496" w:type="pct"/>
            <w:shd w:val="clear" w:color="auto" w:fill="auto"/>
            <w:vAlign w:val="center"/>
          </w:tcPr>
          <w:p w14:paraId="5A8FD13E">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救助次数</w:t>
            </w:r>
            <w:r>
              <w:rPr>
                <w:rFonts w:ascii="仿宋" w:hAnsi="仿宋" w:eastAsia="仿宋"/>
                <w:bCs/>
                <w:sz w:val="18"/>
                <w:lang w:eastAsia="zh-CN"/>
              </w:rPr>
              <w:t>≥</w:t>
            </w:r>
            <w:r>
              <w:rPr>
                <w:rFonts w:hint="eastAsia" w:ascii="仿宋" w:hAnsi="仿宋" w:eastAsia="仿宋"/>
                <w:bCs/>
                <w:sz w:val="18"/>
                <w:lang w:eastAsia="zh-CN"/>
              </w:rPr>
              <w:t>300次，得4分；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300次&gt;救助次数</w:t>
            </w:r>
            <w:r>
              <w:rPr>
                <w:rFonts w:ascii="仿宋" w:hAnsi="仿宋" w:eastAsia="仿宋"/>
                <w:bCs/>
                <w:sz w:val="18"/>
                <w:lang w:eastAsia="zh-CN"/>
              </w:rPr>
              <w:t>≥</w:t>
            </w:r>
            <w:r>
              <w:rPr>
                <w:rFonts w:hint="eastAsia" w:ascii="仿宋" w:hAnsi="仿宋" w:eastAsia="仿宋"/>
                <w:bCs/>
                <w:sz w:val="18"/>
                <w:lang w:eastAsia="zh-CN"/>
              </w:rPr>
              <w:t>250次，得3分；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250次&gt;救助次数</w:t>
            </w:r>
            <w:r>
              <w:rPr>
                <w:rFonts w:ascii="仿宋" w:hAnsi="仿宋" w:eastAsia="仿宋"/>
                <w:bCs/>
                <w:sz w:val="18"/>
                <w:lang w:eastAsia="zh-CN"/>
              </w:rPr>
              <w:t>≥</w:t>
            </w:r>
            <w:r>
              <w:rPr>
                <w:rFonts w:hint="eastAsia" w:ascii="仿宋" w:hAnsi="仿宋" w:eastAsia="仿宋"/>
                <w:bCs/>
                <w:sz w:val="18"/>
                <w:lang w:eastAsia="zh-CN"/>
              </w:rPr>
              <w:t>200次，得2分；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200次&gt;救助次数</w:t>
            </w:r>
            <w:r>
              <w:rPr>
                <w:rFonts w:ascii="仿宋" w:hAnsi="仿宋" w:eastAsia="仿宋"/>
                <w:bCs/>
                <w:sz w:val="18"/>
                <w:lang w:eastAsia="zh-CN"/>
              </w:rPr>
              <w:t>≥</w:t>
            </w:r>
            <w:r>
              <w:rPr>
                <w:rFonts w:hint="eastAsia" w:ascii="仿宋" w:hAnsi="仿宋" w:eastAsia="仿宋"/>
                <w:bCs/>
                <w:sz w:val="18"/>
                <w:lang w:eastAsia="zh-CN"/>
              </w:rPr>
              <w:t>150次，得1分；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150次&gt;救助次数，得0分。</w:t>
            </w:r>
          </w:p>
        </w:tc>
        <w:tc>
          <w:tcPr>
            <w:tcW w:w="261" w:type="pct"/>
            <w:shd w:val="clear" w:color="auto" w:fill="auto"/>
            <w:vAlign w:val="center"/>
          </w:tcPr>
          <w:p w14:paraId="5A5B2C7C">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76C67FA3">
            <w:pPr>
              <w:spacing w:line="408" w:lineRule="auto"/>
              <w:jc w:val="right"/>
              <w:rPr>
                <w:rFonts w:hint="eastAsia" w:ascii="仿宋" w:hAnsi="仿宋" w:eastAsia="仿宋"/>
                <w:bCs/>
                <w:sz w:val="18"/>
              </w:rPr>
            </w:pPr>
            <w:r>
              <w:rPr>
                <w:rFonts w:hint="eastAsia" w:ascii="仿宋" w:hAnsi="仿宋" w:eastAsia="仿宋"/>
                <w:bCs/>
                <w:sz w:val="18"/>
              </w:rPr>
              <w:t>4</w:t>
            </w:r>
          </w:p>
        </w:tc>
      </w:tr>
      <w:tr w14:paraId="58F0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7CA7E48A">
            <w:pPr>
              <w:spacing w:line="408" w:lineRule="auto"/>
              <w:jc w:val="center"/>
              <w:rPr>
                <w:rFonts w:hint="eastAsia" w:ascii="仿宋" w:hAnsi="仿宋" w:eastAsia="仿宋"/>
                <w:bCs/>
                <w:sz w:val="18"/>
              </w:rPr>
            </w:pPr>
          </w:p>
        </w:tc>
        <w:tc>
          <w:tcPr>
            <w:tcW w:w="621" w:type="pct"/>
            <w:vMerge w:val="continue"/>
            <w:shd w:val="clear" w:color="auto" w:fill="auto"/>
            <w:vAlign w:val="center"/>
          </w:tcPr>
          <w:p w14:paraId="4FF78555">
            <w:pPr>
              <w:spacing w:line="408" w:lineRule="auto"/>
              <w:jc w:val="center"/>
              <w:rPr>
                <w:rFonts w:hint="eastAsia" w:ascii="仿宋" w:hAnsi="仿宋" w:eastAsia="仿宋"/>
                <w:bCs/>
                <w:sz w:val="18"/>
              </w:rPr>
            </w:pPr>
          </w:p>
        </w:tc>
        <w:tc>
          <w:tcPr>
            <w:tcW w:w="902" w:type="pct"/>
            <w:shd w:val="clear" w:color="auto" w:fill="auto"/>
            <w:vAlign w:val="center"/>
          </w:tcPr>
          <w:p w14:paraId="65C2E9D0">
            <w:pPr>
              <w:spacing w:line="408" w:lineRule="auto"/>
              <w:rPr>
                <w:rFonts w:hint="eastAsia" w:ascii="仿宋" w:hAnsi="仿宋" w:eastAsia="仿宋"/>
                <w:bCs/>
                <w:sz w:val="18"/>
                <w:lang w:eastAsia="zh-CN"/>
              </w:rPr>
            </w:pPr>
            <w:r>
              <w:rPr>
                <w:rFonts w:hint="eastAsia" w:ascii="仿宋" w:hAnsi="仿宋" w:eastAsia="仿宋"/>
                <w:bCs/>
                <w:sz w:val="18"/>
                <w:lang w:eastAsia="zh-CN"/>
              </w:rPr>
              <w:t>企业安全意识的提高情况（4分）</w:t>
            </w:r>
          </w:p>
        </w:tc>
        <w:tc>
          <w:tcPr>
            <w:tcW w:w="977" w:type="pct"/>
            <w:shd w:val="clear" w:color="auto" w:fill="auto"/>
            <w:vAlign w:val="center"/>
          </w:tcPr>
          <w:p w14:paraId="0190CBE6">
            <w:pPr>
              <w:spacing w:line="408" w:lineRule="auto"/>
              <w:rPr>
                <w:rFonts w:hint="eastAsia" w:ascii="仿宋" w:hAnsi="仿宋" w:eastAsia="仿宋"/>
                <w:bCs/>
                <w:sz w:val="18"/>
                <w:lang w:eastAsia="zh-CN"/>
              </w:rPr>
            </w:pPr>
            <w:r>
              <w:rPr>
                <w:rFonts w:hint="eastAsia" w:ascii="仿宋" w:hAnsi="仿宋" w:eastAsia="仿宋"/>
                <w:bCs/>
                <w:sz w:val="18"/>
                <w:lang w:eastAsia="zh-CN"/>
              </w:rPr>
              <w:t>用于评价辖区内企业安全生产意识的提高情况</w:t>
            </w:r>
          </w:p>
        </w:tc>
        <w:tc>
          <w:tcPr>
            <w:tcW w:w="1496" w:type="pct"/>
            <w:shd w:val="clear" w:color="auto" w:fill="auto"/>
            <w:vAlign w:val="center"/>
          </w:tcPr>
          <w:p w14:paraId="2AEAE948">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有大幅度提高，得4分；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有较大提高，得3分；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有一定程度提高，得2分；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小幅度提高，得1分；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没提高，得0分。</w:t>
            </w:r>
          </w:p>
        </w:tc>
        <w:tc>
          <w:tcPr>
            <w:tcW w:w="261" w:type="pct"/>
            <w:shd w:val="clear" w:color="auto" w:fill="auto"/>
            <w:vAlign w:val="center"/>
          </w:tcPr>
          <w:p w14:paraId="110447E0">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6C461DBF">
            <w:pPr>
              <w:spacing w:line="408" w:lineRule="auto"/>
              <w:jc w:val="right"/>
              <w:rPr>
                <w:rFonts w:hint="eastAsia" w:ascii="仿宋" w:hAnsi="仿宋" w:eastAsia="仿宋"/>
                <w:bCs/>
                <w:sz w:val="18"/>
              </w:rPr>
            </w:pPr>
            <w:r>
              <w:rPr>
                <w:rFonts w:hint="eastAsia" w:ascii="仿宋" w:hAnsi="仿宋" w:eastAsia="仿宋"/>
                <w:bCs/>
                <w:sz w:val="18"/>
              </w:rPr>
              <w:t>4</w:t>
            </w:r>
          </w:p>
        </w:tc>
      </w:tr>
      <w:tr w14:paraId="1FC2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47D47A25">
            <w:pPr>
              <w:spacing w:line="408" w:lineRule="auto"/>
              <w:jc w:val="center"/>
              <w:rPr>
                <w:rFonts w:hint="eastAsia" w:ascii="仿宋" w:hAnsi="仿宋" w:eastAsia="仿宋"/>
                <w:bCs/>
                <w:sz w:val="18"/>
              </w:rPr>
            </w:pPr>
          </w:p>
        </w:tc>
        <w:tc>
          <w:tcPr>
            <w:tcW w:w="621" w:type="pct"/>
            <w:vMerge w:val="continue"/>
            <w:shd w:val="clear" w:color="auto" w:fill="auto"/>
            <w:vAlign w:val="center"/>
          </w:tcPr>
          <w:p w14:paraId="3D5EC571">
            <w:pPr>
              <w:spacing w:line="408" w:lineRule="auto"/>
              <w:jc w:val="center"/>
              <w:rPr>
                <w:rFonts w:hint="eastAsia" w:ascii="仿宋" w:hAnsi="仿宋" w:eastAsia="仿宋"/>
                <w:bCs/>
                <w:sz w:val="18"/>
              </w:rPr>
            </w:pPr>
          </w:p>
        </w:tc>
        <w:tc>
          <w:tcPr>
            <w:tcW w:w="902" w:type="pct"/>
            <w:shd w:val="clear" w:color="auto" w:fill="auto"/>
            <w:vAlign w:val="center"/>
          </w:tcPr>
          <w:p w14:paraId="77C95E62">
            <w:pPr>
              <w:spacing w:line="408" w:lineRule="auto"/>
              <w:rPr>
                <w:rFonts w:hint="eastAsia" w:ascii="仿宋" w:hAnsi="仿宋" w:eastAsia="仿宋"/>
                <w:bCs/>
                <w:sz w:val="18"/>
                <w:lang w:eastAsia="zh-CN"/>
              </w:rPr>
            </w:pPr>
            <w:r>
              <w:rPr>
                <w:rFonts w:hint="eastAsia" w:ascii="仿宋" w:hAnsi="仿宋" w:eastAsia="仿宋"/>
                <w:bCs/>
                <w:sz w:val="18"/>
                <w:lang w:eastAsia="zh-CN"/>
              </w:rPr>
              <w:t>安全宣传教育引导次数（4分）</w:t>
            </w:r>
          </w:p>
        </w:tc>
        <w:tc>
          <w:tcPr>
            <w:tcW w:w="977" w:type="pct"/>
            <w:shd w:val="clear" w:color="auto" w:fill="auto"/>
            <w:vAlign w:val="center"/>
          </w:tcPr>
          <w:p w14:paraId="0336C9BF">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主要评价部门（单位）对企业生产安全教育及防火防灾等安全教育的宣传力度。</w:t>
            </w:r>
          </w:p>
        </w:tc>
        <w:tc>
          <w:tcPr>
            <w:tcW w:w="1496" w:type="pct"/>
            <w:shd w:val="clear" w:color="auto" w:fill="auto"/>
            <w:vAlign w:val="center"/>
          </w:tcPr>
          <w:p w14:paraId="67E6467A">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宣传引导次数</w:t>
            </w:r>
            <w:r>
              <w:rPr>
                <w:rFonts w:ascii="仿宋" w:hAnsi="仿宋" w:eastAsia="仿宋"/>
                <w:bCs/>
                <w:sz w:val="18"/>
                <w:lang w:eastAsia="zh-CN"/>
              </w:rPr>
              <w:t>≥</w:t>
            </w:r>
            <w:r>
              <w:rPr>
                <w:rFonts w:hint="eastAsia" w:ascii="仿宋" w:hAnsi="仿宋" w:eastAsia="仿宋"/>
                <w:bCs/>
                <w:sz w:val="18"/>
                <w:lang w:eastAsia="zh-CN"/>
              </w:rPr>
              <w:t>40次，得4分；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40次&gt;宣传引导次数</w:t>
            </w:r>
            <w:r>
              <w:rPr>
                <w:rFonts w:ascii="仿宋" w:hAnsi="仿宋" w:eastAsia="仿宋"/>
                <w:bCs/>
                <w:sz w:val="18"/>
                <w:lang w:eastAsia="zh-CN"/>
              </w:rPr>
              <w:t>≥</w:t>
            </w:r>
            <w:r>
              <w:rPr>
                <w:rFonts w:hint="eastAsia" w:ascii="仿宋" w:hAnsi="仿宋" w:eastAsia="仿宋"/>
                <w:bCs/>
                <w:sz w:val="18"/>
                <w:lang w:eastAsia="zh-CN"/>
              </w:rPr>
              <w:t>35次，得3分；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35次&gt;宣传引导次数</w:t>
            </w:r>
            <w:r>
              <w:rPr>
                <w:rFonts w:ascii="仿宋" w:hAnsi="仿宋" w:eastAsia="仿宋"/>
                <w:bCs/>
                <w:sz w:val="18"/>
                <w:lang w:eastAsia="zh-CN"/>
              </w:rPr>
              <w:t>≥</w:t>
            </w:r>
            <w:r>
              <w:rPr>
                <w:rFonts w:hint="eastAsia" w:ascii="仿宋" w:hAnsi="仿宋" w:eastAsia="仿宋"/>
                <w:bCs/>
                <w:sz w:val="18"/>
                <w:lang w:eastAsia="zh-CN"/>
              </w:rPr>
              <w:t>30次，得2分；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30次&gt;宣传引导次数</w:t>
            </w:r>
            <w:r>
              <w:rPr>
                <w:rFonts w:ascii="仿宋" w:hAnsi="仿宋" w:eastAsia="仿宋"/>
                <w:bCs/>
                <w:sz w:val="18"/>
                <w:lang w:eastAsia="zh-CN"/>
              </w:rPr>
              <w:t>≥</w:t>
            </w:r>
            <w:r>
              <w:rPr>
                <w:rFonts w:hint="eastAsia" w:ascii="仿宋" w:hAnsi="仿宋" w:eastAsia="仿宋"/>
                <w:bCs/>
                <w:sz w:val="18"/>
                <w:lang w:eastAsia="zh-CN"/>
              </w:rPr>
              <w:t>25次，得1分。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25次&gt;宣传引导次数，得0分。</w:t>
            </w:r>
          </w:p>
        </w:tc>
        <w:tc>
          <w:tcPr>
            <w:tcW w:w="261" w:type="pct"/>
            <w:shd w:val="clear" w:color="auto" w:fill="auto"/>
            <w:vAlign w:val="center"/>
          </w:tcPr>
          <w:p w14:paraId="082AA8F7">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67A0D2C3">
            <w:pPr>
              <w:spacing w:line="408" w:lineRule="auto"/>
              <w:jc w:val="right"/>
              <w:rPr>
                <w:rFonts w:hint="eastAsia" w:ascii="仿宋" w:hAnsi="仿宋" w:eastAsia="仿宋"/>
                <w:bCs/>
                <w:sz w:val="18"/>
              </w:rPr>
            </w:pPr>
            <w:r>
              <w:rPr>
                <w:rFonts w:hint="eastAsia" w:ascii="仿宋" w:hAnsi="仿宋" w:eastAsia="仿宋"/>
                <w:bCs/>
                <w:sz w:val="18"/>
              </w:rPr>
              <w:t>4</w:t>
            </w:r>
          </w:p>
        </w:tc>
      </w:tr>
      <w:tr w14:paraId="1492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25DE1D54">
            <w:pPr>
              <w:spacing w:line="408" w:lineRule="auto"/>
              <w:jc w:val="center"/>
              <w:rPr>
                <w:rFonts w:hint="eastAsia" w:ascii="仿宋" w:hAnsi="仿宋" w:eastAsia="仿宋"/>
                <w:bCs/>
                <w:sz w:val="18"/>
              </w:rPr>
            </w:pPr>
          </w:p>
        </w:tc>
        <w:tc>
          <w:tcPr>
            <w:tcW w:w="621" w:type="pct"/>
            <w:vMerge w:val="continue"/>
            <w:shd w:val="clear" w:color="auto" w:fill="auto"/>
            <w:vAlign w:val="center"/>
          </w:tcPr>
          <w:p w14:paraId="5517EF17">
            <w:pPr>
              <w:spacing w:line="408" w:lineRule="auto"/>
              <w:jc w:val="center"/>
              <w:rPr>
                <w:rFonts w:hint="eastAsia" w:ascii="仿宋" w:hAnsi="仿宋" w:eastAsia="仿宋"/>
                <w:bCs/>
                <w:sz w:val="18"/>
              </w:rPr>
            </w:pPr>
          </w:p>
        </w:tc>
        <w:tc>
          <w:tcPr>
            <w:tcW w:w="902" w:type="pct"/>
            <w:shd w:val="clear" w:color="auto" w:fill="auto"/>
            <w:vAlign w:val="center"/>
          </w:tcPr>
          <w:p w14:paraId="123C26F4">
            <w:pPr>
              <w:spacing w:line="408" w:lineRule="auto"/>
              <w:rPr>
                <w:rFonts w:hint="eastAsia" w:ascii="仿宋" w:hAnsi="仿宋" w:eastAsia="仿宋"/>
                <w:bCs/>
                <w:sz w:val="18"/>
                <w:lang w:eastAsia="zh-CN"/>
              </w:rPr>
            </w:pPr>
            <w:r>
              <w:rPr>
                <w:rFonts w:hint="eastAsia" w:ascii="仿宋" w:hAnsi="仿宋" w:eastAsia="仿宋"/>
                <w:bCs/>
                <w:sz w:val="18"/>
                <w:lang w:eastAsia="zh-CN"/>
              </w:rPr>
              <w:t>企业安全隐患的排查力度（4分）</w:t>
            </w:r>
          </w:p>
        </w:tc>
        <w:tc>
          <w:tcPr>
            <w:tcW w:w="977" w:type="pct"/>
            <w:shd w:val="clear" w:color="auto" w:fill="auto"/>
            <w:vAlign w:val="center"/>
          </w:tcPr>
          <w:p w14:paraId="28AF157D">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主要评价部门（单位）在企业安全生产检查的过程中排查安全隐患点的力度，对企业安全隐患的排查力度是否有所提高。</w:t>
            </w:r>
          </w:p>
        </w:tc>
        <w:tc>
          <w:tcPr>
            <w:tcW w:w="1496" w:type="pct"/>
            <w:shd w:val="clear" w:color="auto" w:fill="auto"/>
            <w:vAlign w:val="center"/>
          </w:tcPr>
          <w:p w14:paraId="5FD834C0">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有大幅度提高，得4分；</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有较大提高，得3分；</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有一定程度提高，得2分；</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小幅度提高，得1分；</w:t>
            </w:r>
            <w:r>
              <w:rPr>
                <w:rFonts w:hint="eastAsia" w:ascii="仿宋" w:hAnsi="仿宋" w:eastAsia="仿宋"/>
                <w:bCs/>
                <w:sz w:val="18"/>
                <w:lang w:eastAsia="zh-CN"/>
              </w:rPr>
              <w:br w:type="textWrapping"/>
            </w:r>
            <w:r>
              <w:rPr>
                <w:rFonts w:ascii="仿宋" w:hAnsi="仿宋" w:eastAsia="仿宋"/>
                <w:bCs/>
                <w:sz w:val="18"/>
                <w:lang w:eastAsia="zh-CN"/>
              </w:rPr>
              <w:t>⑤</w:t>
            </w:r>
            <w:r>
              <w:rPr>
                <w:rFonts w:hint="eastAsia" w:ascii="仿宋" w:hAnsi="仿宋" w:eastAsia="仿宋"/>
                <w:bCs/>
                <w:sz w:val="18"/>
                <w:lang w:eastAsia="zh-CN"/>
              </w:rPr>
              <w:t>没提高，得0分。</w:t>
            </w:r>
          </w:p>
        </w:tc>
        <w:tc>
          <w:tcPr>
            <w:tcW w:w="261" w:type="pct"/>
            <w:shd w:val="clear" w:color="auto" w:fill="auto"/>
            <w:vAlign w:val="center"/>
          </w:tcPr>
          <w:p w14:paraId="046C8983">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52E41F4F">
            <w:pPr>
              <w:spacing w:line="408" w:lineRule="auto"/>
              <w:jc w:val="right"/>
              <w:rPr>
                <w:rFonts w:hint="eastAsia" w:ascii="仿宋" w:hAnsi="仿宋" w:eastAsia="仿宋"/>
                <w:bCs/>
                <w:sz w:val="18"/>
              </w:rPr>
            </w:pPr>
            <w:r>
              <w:rPr>
                <w:rFonts w:hint="eastAsia" w:ascii="仿宋" w:hAnsi="仿宋" w:eastAsia="仿宋"/>
                <w:bCs/>
                <w:sz w:val="18"/>
              </w:rPr>
              <w:t>4</w:t>
            </w:r>
          </w:p>
        </w:tc>
      </w:tr>
      <w:tr w14:paraId="7BA0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82" w:type="pct"/>
            <w:vMerge w:val="continue"/>
            <w:shd w:val="clear" w:color="auto" w:fill="auto"/>
            <w:vAlign w:val="center"/>
          </w:tcPr>
          <w:p w14:paraId="3F103230">
            <w:pPr>
              <w:spacing w:line="408" w:lineRule="auto"/>
              <w:jc w:val="center"/>
              <w:rPr>
                <w:rFonts w:hint="eastAsia" w:ascii="仿宋" w:hAnsi="仿宋" w:eastAsia="仿宋"/>
                <w:bCs/>
                <w:sz w:val="18"/>
              </w:rPr>
            </w:pPr>
          </w:p>
        </w:tc>
        <w:tc>
          <w:tcPr>
            <w:tcW w:w="621" w:type="pct"/>
            <w:shd w:val="clear" w:color="auto" w:fill="auto"/>
            <w:vAlign w:val="center"/>
          </w:tcPr>
          <w:p w14:paraId="6B622A8F">
            <w:pPr>
              <w:spacing w:line="408" w:lineRule="auto"/>
              <w:rPr>
                <w:rFonts w:hint="eastAsia" w:ascii="仿宋" w:hAnsi="仿宋" w:eastAsia="仿宋"/>
                <w:bCs/>
                <w:sz w:val="18"/>
              </w:rPr>
            </w:pPr>
            <w:r>
              <w:rPr>
                <w:rFonts w:hint="eastAsia" w:ascii="仿宋" w:hAnsi="仿宋" w:eastAsia="仿宋"/>
                <w:bCs/>
                <w:sz w:val="18"/>
              </w:rPr>
              <w:t>满意度（4分）</w:t>
            </w:r>
          </w:p>
        </w:tc>
        <w:tc>
          <w:tcPr>
            <w:tcW w:w="902" w:type="pct"/>
            <w:shd w:val="clear" w:color="auto" w:fill="auto"/>
            <w:vAlign w:val="center"/>
          </w:tcPr>
          <w:p w14:paraId="3007A8F6">
            <w:pPr>
              <w:spacing w:line="408" w:lineRule="auto"/>
              <w:rPr>
                <w:rFonts w:hint="eastAsia" w:ascii="仿宋" w:hAnsi="仿宋" w:eastAsia="仿宋"/>
                <w:bCs/>
                <w:sz w:val="18"/>
                <w:lang w:eastAsia="zh-CN"/>
              </w:rPr>
            </w:pPr>
            <w:r>
              <w:rPr>
                <w:rFonts w:hint="eastAsia" w:ascii="仿宋" w:hAnsi="仿宋" w:eastAsia="仿宋"/>
                <w:bCs/>
                <w:sz w:val="18"/>
                <w:lang w:eastAsia="zh-CN"/>
              </w:rPr>
              <w:t>群众对应急管理局的满意度情况（4分）</w:t>
            </w:r>
          </w:p>
        </w:tc>
        <w:tc>
          <w:tcPr>
            <w:tcW w:w="977" w:type="pct"/>
            <w:shd w:val="clear" w:color="auto" w:fill="auto"/>
            <w:vAlign w:val="center"/>
          </w:tcPr>
          <w:p w14:paraId="30E9A655">
            <w:pPr>
              <w:spacing w:line="408" w:lineRule="auto"/>
              <w:rPr>
                <w:rFonts w:hint="eastAsia" w:ascii="仿宋" w:hAnsi="仿宋" w:eastAsia="仿宋"/>
                <w:bCs/>
                <w:sz w:val="18"/>
                <w:lang w:eastAsia="zh-CN"/>
              </w:rPr>
            </w:pPr>
            <w:r>
              <w:rPr>
                <w:rFonts w:hint="eastAsia" w:ascii="仿宋" w:hAnsi="仿宋" w:eastAsia="仿宋"/>
                <w:bCs/>
                <w:sz w:val="18"/>
                <w:lang w:eastAsia="zh-CN"/>
              </w:rPr>
              <w:t>主要评价群众对于应急管理局的工作是否感到满意。</w:t>
            </w:r>
          </w:p>
        </w:tc>
        <w:tc>
          <w:tcPr>
            <w:tcW w:w="1496" w:type="pct"/>
            <w:shd w:val="clear" w:color="auto" w:fill="auto"/>
            <w:vAlign w:val="center"/>
          </w:tcPr>
          <w:p w14:paraId="0E9ED0DE">
            <w:pPr>
              <w:spacing w:line="408" w:lineRule="auto"/>
              <w:rPr>
                <w:rFonts w:hint="eastAsia" w:ascii="仿宋" w:hAnsi="仿宋" w:eastAsia="仿宋"/>
                <w:bCs/>
                <w:sz w:val="18"/>
                <w:lang w:eastAsia="zh-CN"/>
              </w:rPr>
            </w:pPr>
            <w:r>
              <w:rPr>
                <w:rFonts w:hint="eastAsia" w:ascii="仿宋" w:hAnsi="仿宋" w:eastAsia="仿宋"/>
                <w:bCs/>
                <w:sz w:val="18"/>
                <w:lang w:eastAsia="zh-CN"/>
              </w:rPr>
              <w:t>评价要点：</w:t>
            </w:r>
            <w:r>
              <w:rPr>
                <w:rFonts w:hint="eastAsia" w:ascii="仿宋" w:hAnsi="仿宋" w:eastAsia="仿宋"/>
                <w:bCs/>
                <w:sz w:val="18"/>
                <w:lang w:eastAsia="zh-CN"/>
              </w:rPr>
              <w:br w:type="textWrapping"/>
            </w:r>
            <w:r>
              <w:rPr>
                <w:rFonts w:ascii="仿宋" w:hAnsi="仿宋" w:eastAsia="仿宋"/>
                <w:bCs/>
                <w:sz w:val="18"/>
                <w:lang w:eastAsia="zh-CN"/>
              </w:rPr>
              <w:t>①</w:t>
            </w:r>
            <w:r>
              <w:rPr>
                <w:rFonts w:hint="eastAsia" w:ascii="仿宋" w:hAnsi="仿宋" w:eastAsia="仿宋"/>
                <w:bCs/>
                <w:sz w:val="18"/>
                <w:lang w:eastAsia="zh-CN"/>
              </w:rPr>
              <w:t>非常满意；</w:t>
            </w:r>
            <w:r>
              <w:rPr>
                <w:rFonts w:hint="eastAsia" w:ascii="仿宋" w:hAnsi="仿宋" w:eastAsia="仿宋"/>
                <w:bCs/>
                <w:sz w:val="18"/>
                <w:lang w:eastAsia="zh-CN"/>
              </w:rPr>
              <w:br w:type="textWrapping"/>
            </w:r>
            <w:r>
              <w:rPr>
                <w:rFonts w:ascii="仿宋" w:hAnsi="仿宋" w:eastAsia="仿宋"/>
                <w:bCs/>
                <w:sz w:val="18"/>
                <w:lang w:eastAsia="zh-CN"/>
              </w:rPr>
              <w:t>②</w:t>
            </w:r>
            <w:r>
              <w:rPr>
                <w:rFonts w:hint="eastAsia" w:ascii="仿宋" w:hAnsi="仿宋" w:eastAsia="仿宋"/>
                <w:bCs/>
                <w:sz w:val="18"/>
                <w:lang w:eastAsia="zh-CN"/>
              </w:rPr>
              <w:t>基本满意；</w:t>
            </w:r>
            <w:r>
              <w:rPr>
                <w:rFonts w:hint="eastAsia" w:ascii="仿宋" w:hAnsi="仿宋" w:eastAsia="仿宋"/>
                <w:bCs/>
                <w:sz w:val="18"/>
                <w:lang w:eastAsia="zh-CN"/>
              </w:rPr>
              <w:br w:type="textWrapping"/>
            </w:r>
            <w:r>
              <w:rPr>
                <w:rFonts w:ascii="仿宋" w:hAnsi="仿宋" w:eastAsia="仿宋"/>
                <w:bCs/>
                <w:sz w:val="18"/>
                <w:lang w:eastAsia="zh-CN"/>
              </w:rPr>
              <w:t>③</w:t>
            </w:r>
            <w:r>
              <w:rPr>
                <w:rFonts w:hint="eastAsia" w:ascii="仿宋" w:hAnsi="仿宋" w:eastAsia="仿宋"/>
                <w:bCs/>
                <w:sz w:val="18"/>
                <w:lang w:eastAsia="zh-CN"/>
              </w:rPr>
              <w:t>有一定投诉；</w:t>
            </w:r>
            <w:r>
              <w:rPr>
                <w:rFonts w:hint="eastAsia" w:ascii="仿宋" w:hAnsi="仿宋" w:eastAsia="仿宋"/>
                <w:bCs/>
                <w:sz w:val="18"/>
                <w:lang w:eastAsia="zh-CN"/>
              </w:rPr>
              <w:br w:type="textWrapping"/>
            </w:r>
            <w:r>
              <w:rPr>
                <w:rFonts w:ascii="仿宋" w:hAnsi="仿宋" w:eastAsia="仿宋"/>
                <w:bCs/>
                <w:sz w:val="18"/>
                <w:lang w:eastAsia="zh-CN"/>
              </w:rPr>
              <w:t>④</w:t>
            </w:r>
            <w:r>
              <w:rPr>
                <w:rFonts w:hint="eastAsia" w:ascii="仿宋" w:hAnsi="仿宋" w:eastAsia="仿宋"/>
                <w:bCs/>
                <w:sz w:val="18"/>
                <w:lang w:eastAsia="zh-CN"/>
              </w:rPr>
              <w:t>不满意。</w:t>
            </w:r>
            <w:r>
              <w:rPr>
                <w:rFonts w:hint="eastAsia" w:ascii="仿宋" w:hAnsi="仿宋" w:eastAsia="仿宋"/>
                <w:bCs/>
                <w:sz w:val="18"/>
                <w:lang w:eastAsia="zh-CN"/>
              </w:rPr>
              <w:br w:type="textWrapping"/>
            </w:r>
            <w:r>
              <w:rPr>
                <w:rFonts w:hint="eastAsia" w:ascii="仿宋" w:hAnsi="仿宋" w:eastAsia="仿宋"/>
                <w:bCs/>
                <w:sz w:val="18"/>
                <w:lang w:eastAsia="zh-CN"/>
              </w:rPr>
              <w:t>有非常满意4分，基本满意3分，有一定投诉2分，不满意1分。</w:t>
            </w:r>
          </w:p>
        </w:tc>
        <w:tc>
          <w:tcPr>
            <w:tcW w:w="261" w:type="pct"/>
            <w:shd w:val="clear" w:color="auto" w:fill="auto"/>
            <w:vAlign w:val="center"/>
          </w:tcPr>
          <w:p w14:paraId="7DBF7AC9">
            <w:pPr>
              <w:spacing w:line="408" w:lineRule="auto"/>
              <w:jc w:val="right"/>
              <w:rPr>
                <w:rFonts w:hint="eastAsia" w:ascii="仿宋" w:hAnsi="仿宋" w:eastAsia="仿宋"/>
                <w:bCs/>
                <w:sz w:val="18"/>
              </w:rPr>
            </w:pPr>
            <w:r>
              <w:rPr>
                <w:rFonts w:hint="eastAsia" w:ascii="仿宋" w:hAnsi="仿宋" w:eastAsia="仿宋"/>
                <w:bCs/>
                <w:sz w:val="18"/>
              </w:rPr>
              <w:t>4</w:t>
            </w:r>
          </w:p>
        </w:tc>
        <w:tc>
          <w:tcPr>
            <w:tcW w:w="261" w:type="pct"/>
            <w:shd w:val="clear" w:color="auto" w:fill="auto"/>
            <w:vAlign w:val="center"/>
          </w:tcPr>
          <w:p w14:paraId="35D65C51">
            <w:pPr>
              <w:spacing w:line="408" w:lineRule="auto"/>
              <w:jc w:val="right"/>
              <w:rPr>
                <w:rFonts w:hint="eastAsia" w:ascii="仿宋" w:hAnsi="仿宋" w:eastAsia="仿宋"/>
                <w:bCs/>
                <w:sz w:val="18"/>
              </w:rPr>
            </w:pPr>
            <w:r>
              <w:rPr>
                <w:rFonts w:hint="eastAsia" w:ascii="仿宋" w:hAnsi="仿宋" w:eastAsia="仿宋"/>
                <w:bCs/>
                <w:sz w:val="18"/>
              </w:rPr>
              <w:t>4</w:t>
            </w:r>
          </w:p>
        </w:tc>
      </w:tr>
      <w:tr w14:paraId="5AC6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478" w:type="pct"/>
            <w:gridSpan w:val="5"/>
            <w:shd w:val="clear" w:color="auto" w:fill="auto"/>
            <w:vAlign w:val="center"/>
          </w:tcPr>
          <w:p w14:paraId="0B857B77">
            <w:pPr>
              <w:spacing w:line="408" w:lineRule="auto"/>
              <w:rPr>
                <w:rFonts w:hint="eastAsia" w:ascii="仿宋" w:hAnsi="仿宋" w:eastAsia="仿宋"/>
                <w:bCs/>
                <w:sz w:val="18"/>
              </w:rPr>
            </w:pPr>
            <w:r>
              <w:rPr>
                <w:rFonts w:hint="eastAsia" w:ascii="仿宋" w:hAnsi="仿宋" w:eastAsia="仿宋"/>
                <w:bCs/>
                <w:sz w:val="18"/>
              </w:rPr>
              <w:t>总得分</w:t>
            </w:r>
          </w:p>
        </w:tc>
        <w:tc>
          <w:tcPr>
            <w:tcW w:w="522" w:type="pct"/>
            <w:gridSpan w:val="2"/>
            <w:shd w:val="clear" w:color="auto" w:fill="auto"/>
            <w:vAlign w:val="center"/>
          </w:tcPr>
          <w:p w14:paraId="1ADE3C94">
            <w:pPr>
              <w:spacing w:line="408" w:lineRule="auto"/>
              <w:jc w:val="center"/>
              <w:rPr>
                <w:rFonts w:hint="eastAsia" w:ascii="仿宋" w:hAnsi="仿宋" w:eastAsia="仿宋"/>
                <w:bCs/>
                <w:sz w:val="18"/>
                <w:lang w:eastAsia="zh-CN"/>
              </w:rPr>
            </w:pPr>
            <w:r>
              <w:rPr>
                <w:rFonts w:hint="eastAsia" w:ascii="仿宋" w:hAnsi="仿宋" w:eastAsia="仿宋"/>
                <w:bCs/>
                <w:sz w:val="18"/>
                <w:lang w:eastAsia="zh-CN"/>
              </w:rPr>
              <w:t>90.9</w:t>
            </w:r>
          </w:p>
        </w:tc>
      </w:tr>
      <w:bookmarkEnd w:id="0"/>
    </w:tbl>
    <w:p w14:paraId="165ACDE2">
      <w:pPr>
        <w:widowControl w:val="0"/>
        <w:overflowPunct w:val="0"/>
        <w:snapToGrid/>
        <w:spacing w:line="360" w:lineRule="auto"/>
        <w:rPr>
          <w:rFonts w:hint="eastAsia" w:ascii="仿宋" w:hAnsi="仿宋" w:eastAsia="仿宋" w:cs="仿宋"/>
          <w:b/>
          <w:bCs/>
          <w:color w:val="auto"/>
          <w:spacing w:val="-1"/>
          <w:lang w:eastAsia="zh-CN"/>
          <w14:textOutline w14:w="5105" w14:cap="sq" w14:cmpd="sng" w14:algn="ctr">
            <w14:solidFill>
              <w14:srgbClr w14:val="000000"/>
            </w14:solidFill>
            <w14:prstDash w14:val="solid"/>
            <w14:bevel/>
          </w14:textOutline>
        </w:rPr>
      </w:pPr>
    </w:p>
    <w:sectPr>
      <w:pgSz w:w="11906" w:h="16839"/>
      <w:pgMar w:top="1304" w:right="966" w:bottom="1304" w:left="1785" w:header="0" w:footer="98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ppleSystemUIFont">
    <w:altName w:val="Cambria"/>
    <w:panose1 w:val="00000000000000000000"/>
    <w:charset w:val="00"/>
    <w:family w:val="roman"/>
    <w:pitch w:val="default"/>
    <w:sig w:usb0="00000000" w:usb1="00000000" w:usb2="00000000" w:usb3="00000000" w:csb0="00000000" w:csb1="00000000"/>
  </w:font>
  <w:font w:name="UICTFontTextStyleBody">
    <w:altName w:val="Cambria"/>
    <w:panose1 w:val="00000000000000000000"/>
    <w:charset w:val="00"/>
    <w:family w:val="roman"/>
    <w:pitch w:val="default"/>
    <w:sig w:usb0="00000000" w:usb1="00000000" w:usb2="00000000" w:usb3="00000000" w:csb0="00000000" w:csb1="00000000"/>
  </w:font>
  <w:font w:name="UICTFontTextStyleEmphasizedBody">
    <w:altName w:val="Cambria"/>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0099569"/>
    </w:sdtPr>
    <w:sdtContent>
      <w:p w14:paraId="49E6FF59">
        <w:pPr>
          <w:pStyle w:val="57"/>
          <w:jc w:val="center"/>
        </w:pPr>
        <w:r>
          <w:fldChar w:fldCharType="begin"/>
        </w:r>
        <w:r>
          <w:instrText xml:space="preserve">PAGE   \* MERGEFORMAT</w:instrText>
        </w:r>
        <w:r>
          <w:fldChar w:fldCharType="separate"/>
        </w:r>
        <w:r>
          <w:rPr>
            <w:lang w:val="zh-CN" w:eastAsia="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8"/>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7"/>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7"/>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1"/>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TBmMTQzYjhmZDZlY2ViY2QzNWMzZDBjYzNkNDNkNDcifQ=="/>
    <w:docVar w:name="KSO_WPS_MARK_KEY" w:val="c5fe0de4-6065-45a9-aaed-0a98bf3ad792"/>
  </w:docVars>
  <w:rsids>
    <w:rsidRoot w:val="008947DC"/>
    <w:rsid w:val="000034E5"/>
    <w:rsid w:val="00007E59"/>
    <w:rsid w:val="00023592"/>
    <w:rsid w:val="00023D0F"/>
    <w:rsid w:val="00030E21"/>
    <w:rsid w:val="0003162D"/>
    <w:rsid w:val="000373D1"/>
    <w:rsid w:val="00050CD1"/>
    <w:rsid w:val="000625C4"/>
    <w:rsid w:val="00071144"/>
    <w:rsid w:val="00076B82"/>
    <w:rsid w:val="0008065B"/>
    <w:rsid w:val="00085E4D"/>
    <w:rsid w:val="000A06B1"/>
    <w:rsid w:val="000A1B37"/>
    <w:rsid w:val="000A690F"/>
    <w:rsid w:val="000B41D0"/>
    <w:rsid w:val="000D531A"/>
    <w:rsid w:val="000D647C"/>
    <w:rsid w:val="000E257A"/>
    <w:rsid w:val="000E7100"/>
    <w:rsid w:val="000F37BC"/>
    <w:rsid w:val="000F3A39"/>
    <w:rsid w:val="000F4416"/>
    <w:rsid w:val="000F503B"/>
    <w:rsid w:val="001067E7"/>
    <w:rsid w:val="00107734"/>
    <w:rsid w:val="001079C5"/>
    <w:rsid w:val="001125C3"/>
    <w:rsid w:val="00115EEA"/>
    <w:rsid w:val="00120450"/>
    <w:rsid w:val="00124BEC"/>
    <w:rsid w:val="00144A46"/>
    <w:rsid w:val="00146175"/>
    <w:rsid w:val="00147468"/>
    <w:rsid w:val="001561DE"/>
    <w:rsid w:val="0016029B"/>
    <w:rsid w:val="00160DE2"/>
    <w:rsid w:val="001642AE"/>
    <w:rsid w:val="00165267"/>
    <w:rsid w:val="00167D28"/>
    <w:rsid w:val="001834A0"/>
    <w:rsid w:val="001A5D7E"/>
    <w:rsid w:val="001A6087"/>
    <w:rsid w:val="001B121E"/>
    <w:rsid w:val="001B78CB"/>
    <w:rsid w:val="001C030D"/>
    <w:rsid w:val="001C0F39"/>
    <w:rsid w:val="001C5F51"/>
    <w:rsid w:val="001C65A1"/>
    <w:rsid w:val="001D1C09"/>
    <w:rsid w:val="001D537C"/>
    <w:rsid w:val="001E2B37"/>
    <w:rsid w:val="001E616E"/>
    <w:rsid w:val="001E71BC"/>
    <w:rsid w:val="001F0F81"/>
    <w:rsid w:val="001F3E1D"/>
    <w:rsid w:val="00203013"/>
    <w:rsid w:val="00206F6A"/>
    <w:rsid w:val="002250FE"/>
    <w:rsid w:val="002321EF"/>
    <w:rsid w:val="00236D74"/>
    <w:rsid w:val="0024017D"/>
    <w:rsid w:val="00243515"/>
    <w:rsid w:val="0024393B"/>
    <w:rsid w:val="00243F78"/>
    <w:rsid w:val="0024697D"/>
    <w:rsid w:val="00255964"/>
    <w:rsid w:val="00265A44"/>
    <w:rsid w:val="00273CB6"/>
    <w:rsid w:val="00277BD8"/>
    <w:rsid w:val="00277F15"/>
    <w:rsid w:val="00282FB2"/>
    <w:rsid w:val="002837AB"/>
    <w:rsid w:val="0029432C"/>
    <w:rsid w:val="002A2BB0"/>
    <w:rsid w:val="002A5439"/>
    <w:rsid w:val="002A7D5E"/>
    <w:rsid w:val="002C2AFB"/>
    <w:rsid w:val="002D0431"/>
    <w:rsid w:val="002D3475"/>
    <w:rsid w:val="002E1BB3"/>
    <w:rsid w:val="002E2D1B"/>
    <w:rsid w:val="002E79BD"/>
    <w:rsid w:val="002F574F"/>
    <w:rsid w:val="00300E5C"/>
    <w:rsid w:val="00302D7F"/>
    <w:rsid w:val="00307EC0"/>
    <w:rsid w:val="0031485E"/>
    <w:rsid w:val="00316B63"/>
    <w:rsid w:val="00323B9B"/>
    <w:rsid w:val="00331188"/>
    <w:rsid w:val="003339EE"/>
    <w:rsid w:val="00343856"/>
    <w:rsid w:val="00355BAC"/>
    <w:rsid w:val="00360AAE"/>
    <w:rsid w:val="00361553"/>
    <w:rsid w:val="00366E82"/>
    <w:rsid w:val="00384308"/>
    <w:rsid w:val="00393FC8"/>
    <w:rsid w:val="003B0B01"/>
    <w:rsid w:val="003C2582"/>
    <w:rsid w:val="003C6331"/>
    <w:rsid w:val="003D1444"/>
    <w:rsid w:val="003D47E4"/>
    <w:rsid w:val="003D52B6"/>
    <w:rsid w:val="003E0536"/>
    <w:rsid w:val="003E60F2"/>
    <w:rsid w:val="004010DC"/>
    <w:rsid w:val="00401125"/>
    <w:rsid w:val="00401EB6"/>
    <w:rsid w:val="004070A9"/>
    <w:rsid w:val="0042329C"/>
    <w:rsid w:val="004275D6"/>
    <w:rsid w:val="0043177B"/>
    <w:rsid w:val="00432527"/>
    <w:rsid w:val="00435403"/>
    <w:rsid w:val="00435E09"/>
    <w:rsid w:val="004378D5"/>
    <w:rsid w:val="004402F1"/>
    <w:rsid w:val="00446431"/>
    <w:rsid w:val="00456CA0"/>
    <w:rsid w:val="004631BD"/>
    <w:rsid w:val="00473E4E"/>
    <w:rsid w:val="00485160"/>
    <w:rsid w:val="004865FE"/>
    <w:rsid w:val="004972F1"/>
    <w:rsid w:val="004A1402"/>
    <w:rsid w:val="004A3A6A"/>
    <w:rsid w:val="004B79C2"/>
    <w:rsid w:val="004C40D1"/>
    <w:rsid w:val="004C704D"/>
    <w:rsid w:val="004D1153"/>
    <w:rsid w:val="004D2B60"/>
    <w:rsid w:val="004D71C2"/>
    <w:rsid w:val="004F4A1D"/>
    <w:rsid w:val="005037C8"/>
    <w:rsid w:val="00505AFB"/>
    <w:rsid w:val="00510EC8"/>
    <w:rsid w:val="0051569F"/>
    <w:rsid w:val="00531BCD"/>
    <w:rsid w:val="0053295D"/>
    <w:rsid w:val="00536C62"/>
    <w:rsid w:val="005470A1"/>
    <w:rsid w:val="005519BA"/>
    <w:rsid w:val="00571441"/>
    <w:rsid w:val="005743B0"/>
    <w:rsid w:val="005769D1"/>
    <w:rsid w:val="00577179"/>
    <w:rsid w:val="00580630"/>
    <w:rsid w:val="00592572"/>
    <w:rsid w:val="00595D02"/>
    <w:rsid w:val="00596E28"/>
    <w:rsid w:val="005B03A8"/>
    <w:rsid w:val="005B0BCF"/>
    <w:rsid w:val="005B23F9"/>
    <w:rsid w:val="005D5844"/>
    <w:rsid w:val="005E2A7E"/>
    <w:rsid w:val="005E4750"/>
    <w:rsid w:val="005F5937"/>
    <w:rsid w:val="005F731A"/>
    <w:rsid w:val="00613CBB"/>
    <w:rsid w:val="00615463"/>
    <w:rsid w:val="00620512"/>
    <w:rsid w:val="00623B12"/>
    <w:rsid w:val="00623EC1"/>
    <w:rsid w:val="006346B9"/>
    <w:rsid w:val="0063678B"/>
    <w:rsid w:val="00636BB9"/>
    <w:rsid w:val="006457DB"/>
    <w:rsid w:val="006601DD"/>
    <w:rsid w:val="0066037B"/>
    <w:rsid w:val="006634AE"/>
    <w:rsid w:val="00665737"/>
    <w:rsid w:val="00666939"/>
    <w:rsid w:val="006673CD"/>
    <w:rsid w:val="0066741F"/>
    <w:rsid w:val="00671BD1"/>
    <w:rsid w:val="0067246A"/>
    <w:rsid w:val="00672C1B"/>
    <w:rsid w:val="00672F9F"/>
    <w:rsid w:val="006769DB"/>
    <w:rsid w:val="00676FDA"/>
    <w:rsid w:val="00684DFA"/>
    <w:rsid w:val="00685748"/>
    <w:rsid w:val="006A0FC5"/>
    <w:rsid w:val="006A655F"/>
    <w:rsid w:val="006A74E1"/>
    <w:rsid w:val="006B18A9"/>
    <w:rsid w:val="006C19A1"/>
    <w:rsid w:val="006C368A"/>
    <w:rsid w:val="006E38D8"/>
    <w:rsid w:val="006E687D"/>
    <w:rsid w:val="006F1AC3"/>
    <w:rsid w:val="006F4213"/>
    <w:rsid w:val="006F7B7E"/>
    <w:rsid w:val="00702D3F"/>
    <w:rsid w:val="00703C98"/>
    <w:rsid w:val="00706C21"/>
    <w:rsid w:val="00711C9F"/>
    <w:rsid w:val="00715F97"/>
    <w:rsid w:val="0073244E"/>
    <w:rsid w:val="00735095"/>
    <w:rsid w:val="0073751D"/>
    <w:rsid w:val="0074325C"/>
    <w:rsid w:val="00752ED6"/>
    <w:rsid w:val="007538C1"/>
    <w:rsid w:val="007628AA"/>
    <w:rsid w:val="00766A44"/>
    <w:rsid w:val="007671C8"/>
    <w:rsid w:val="00767713"/>
    <w:rsid w:val="00770C6F"/>
    <w:rsid w:val="00775A24"/>
    <w:rsid w:val="0078037B"/>
    <w:rsid w:val="007860D2"/>
    <w:rsid w:val="00796610"/>
    <w:rsid w:val="007A016C"/>
    <w:rsid w:val="007A6DEC"/>
    <w:rsid w:val="007B348E"/>
    <w:rsid w:val="007C147C"/>
    <w:rsid w:val="007D020A"/>
    <w:rsid w:val="007D05E2"/>
    <w:rsid w:val="007D163D"/>
    <w:rsid w:val="007D5C8C"/>
    <w:rsid w:val="007D7A62"/>
    <w:rsid w:val="007E5ED3"/>
    <w:rsid w:val="007F23E3"/>
    <w:rsid w:val="008026EA"/>
    <w:rsid w:val="00810A3E"/>
    <w:rsid w:val="008204BD"/>
    <w:rsid w:val="008246CC"/>
    <w:rsid w:val="008410B0"/>
    <w:rsid w:val="008500DC"/>
    <w:rsid w:val="008623F1"/>
    <w:rsid w:val="0086309D"/>
    <w:rsid w:val="00867722"/>
    <w:rsid w:val="00872F18"/>
    <w:rsid w:val="008839C8"/>
    <w:rsid w:val="008947DC"/>
    <w:rsid w:val="008B09A5"/>
    <w:rsid w:val="008B6B3D"/>
    <w:rsid w:val="008B725F"/>
    <w:rsid w:val="008B74B3"/>
    <w:rsid w:val="008B79A3"/>
    <w:rsid w:val="008C2C2C"/>
    <w:rsid w:val="008C5CE9"/>
    <w:rsid w:val="008C6ACD"/>
    <w:rsid w:val="008C746A"/>
    <w:rsid w:val="008C78F3"/>
    <w:rsid w:val="008D5B26"/>
    <w:rsid w:val="008D7991"/>
    <w:rsid w:val="008E12F1"/>
    <w:rsid w:val="008F41B0"/>
    <w:rsid w:val="008F49A0"/>
    <w:rsid w:val="008F56B2"/>
    <w:rsid w:val="008F5E8E"/>
    <w:rsid w:val="0090026F"/>
    <w:rsid w:val="00907895"/>
    <w:rsid w:val="009154CF"/>
    <w:rsid w:val="00915626"/>
    <w:rsid w:val="00920BD3"/>
    <w:rsid w:val="00924100"/>
    <w:rsid w:val="009319A2"/>
    <w:rsid w:val="00935319"/>
    <w:rsid w:val="009375F0"/>
    <w:rsid w:val="00943752"/>
    <w:rsid w:val="00945EED"/>
    <w:rsid w:val="00946970"/>
    <w:rsid w:val="0095081C"/>
    <w:rsid w:val="009627C3"/>
    <w:rsid w:val="009741F1"/>
    <w:rsid w:val="00975BFB"/>
    <w:rsid w:val="00983F1F"/>
    <w:rsid w:val="0098650F"/>
    <w:rsid w:val="00993F89"/>
    <w:rsid w:val="009A1C9B"/>
    <w:rsid w:val="009A3093"/>
    <w:rsid w:val="009A64FA"/>
    <w:rsid w:val="009B5230"/>
    <w:rsid w:val="009C4121"/>
    <w:rsid w:val="009C78FD"/>
    <w:rsid w:val="009D3787"/>
    <w:rsid w:val="009D5EE0"/>
    <w:rsid w:val="009E4134"/>
    <w:rsid w:val="009E7358"/>
    <w:rsid w:val="009F4F98"/>
    <w:rsid w:val="009F6CE4"/>
    <w:rsid w:val="00A01B81"/>
    <w:rsid w:val="00A17D94"/>
    <w:rsid w:val="00A22D99"/>
    <w:rsid w:val="00A25182"/>
    <w:rsid w:val="00A32BD4"/>
    <w:rsid w:val="00A41875"/>
    <w:rsid w:val="00A425B4"/>
    <w:rsid w:val="00A45307"/>
    <w:rsid w:val="00A46BB4"/>
    <w:rsid w:val="00A52D4E"/>
    <w:rsid w:val="00A607A1"/>
    <w:rsid w:val="00A6271C"/>
    <w:rsid w:val="00A6788A"/>
    <w:rsid w:val="00A70049"/>
    <w:rsid w:val="00A74FF1"/>
    <w:rsid w:val="00A752EC"/>
    <w:rsid w:val="00A77ED7"/>
    <w:rsid w:val="00A82DCE"/>
    <w:rsid w:val="00A843DC"/>
    <w:rsid w:val="00A864AB"/>
    <w:rsid w:val="00A90DA5"/>
    <w:rsid w:val="00A965C3"/>
    <w:rsid w:val="00AA0EF1"/>
    <w:rsid w:val="00AA60F0"/>
    <w:rsid w:val="00AA76FD"/>
    <w:rsid w:val="00AC2403"/>
    <w:rsid w:val="00AC6FA1"/>
    <w:rsid w:val="00AD386A"/>
    <w:rsid w:val="00AE0C34"/>
    <w:rsid w:val="00AE3572"/>
    <w:rsid w:val="00AE6E26"/>
    <w:rsid w:val="00AE7254"/>
    <w:rsid w:val="00B064DB"/>
    <w:rsid w:val="00B1230B"/>
    <w:rsid w:val="00B20415"/>
    <w:rsid w:val="00B27A8C"/>
    <w:rsid w:val="00B36D1F"/>
    <w:rsid w:val="00B36F44"/>
    <w:rsid w:val="00B37BCC"/>
    <w:rsid w:val="00B504F4"/>
    <w:rsid w:val="00B57BA4"/>
    <w:rsid w:val="00B7383A"/>
    <w:rsid w:val="00B76B83"/>
    <w:rsid w:val="00B81D37"/>
    <w:rsid w:val="00B92A1F"/>
    <w:rsid w:val="00B93E40"/>
    <w:rsid w:val="00B95A44"/>
    <w:rsid w:val="00BA2E15"/>
    <w:rsid w:val="00BB472B"/>
    <w:rsid w:val="00BD079B"/>
    <w:rsid w:val="00BD4091"/>
    <w:rsid w:val="00BD6EC9"/>
    <w:rsid w:val="00BE0ACE"/>
    <w:rsid w:val="00BE3477"/>
    <w:rsid w:val="00BE38C6"/>
    <w:rsid w:val="00BE597F"/>
    <w:rsid w:val="00BE7E38"/>
    <w:rsid w:val="00C02DEE"/>
    <w:rsid w:val="00C07490"/>
    <w:rsid w:val="00C13C6C"/>
    <w:rsid w:val="00C26802"/>
    <w:rsid w:val="00C3482C"/>
    <w:rsid w:val="00C3561C"/>
    <w:rsid w:val="00C3795B"/>
    <w:rsid w:val="00C40520"/>
    <w:rsid w:val="00C42164"/>
    <w:rsid w:val="00C56997"/>
    <w:rsid w:val="00C57A88"/>
    <w:rsid w:val="00C65EBA"/>
    <w:rsid w:val="00C7162C"/>
    <w:rsid w:val="00C809AF"/>
    <w:rsid w:val="00C81425"/>
    <w:rsid w:val="00C82BEB"/>
    <w:rsid w:val="00C915C4"/>
    <w:rsid w:val="00CA7258"/>
    <w:rsid w:val="00CB19F7"/>
    <w:rsid w:val="00CB22B1"/>
    <w:rsid w:val="00CB47F0"/>
    <w:rsid w:val="00CB5B87"/>
    <w:rsid w:val="00CB7611"/>
    <w:rsid w:val="00CC2DA0"/>
    <w:rsid w:val="00CD1DA7"/>
    <w:rsid w:val="00CD4DDF"/>
    <w:rsid w:val="00CE24D5"/>
    <w:rsid w:val="00CF038E"/>
    <w:rsid w:val="00CF084A"/>
    <w:rsid w:val="00CF1BB7"/>
    <w:rsid w:val="00CF2D6D"/>
    <w:rsid w:val="00D01B4D"/>
    <w:rsid w:val="00D02E0F"/>
    <w:rsid w:val="00D02E7F"/>
    <w:rsid w:val="00D179A4"/>
    <w:rsid w:val="00D17B82"/>
    <w:rsid w:val="00D20343"/>
    <w:rsid w:val="00D26AA1"/>
    <w:rsid w:val="00D30FB1"/>
    <w:rsid w:val="00D326CB"/>
    <w:rsid w:val="00D343A9"/>
    <w:rsid w:val="00D51945"/>
    <w:rsid w:val="00D51EA7"/>
    <w:rsid w:val="00D625E2"/>
    <w:rsid w:val="00D6391D"/>
    <w:rsid w:val="00D7022B"/>
    <w:rsid w:val="00D74DAA"/>
    <w:rsid w:val="00D77E8A"/>
    <w:rsid w:val="00D824BC"/>
    <w:rsid w:val="00D870AC"/>
    <w:rsid w:val="00D97829"/>
    <w:rsid w:val="00DA4C23"/>
    <w:rsid w:val="00DA5092"/>
    <w:rsid w:val="00DC0949"/>
    <w:rsid w:val="00DC338A"/>
    <w:rsid w:val="00DD20FE"/>
    <w:rsid w:val="00DD381F"/>
    <w:rsid w:val="00DE10D2"/>
    <w:rsid w:val="00DE23A9"/>
    <w:rsid w:val="00DE48C4"/>
    <w:rsid w:val="00DF56DB"/>
    <w:rsid w:val="00E018B7"/>
    <w:rsid w:val="00E13843"/>
    <w:rsid w:val="00E16308"/>
    <w:rsid w:val="00E2303F"/>
    <w:rsid w:val="00E318CA"/>
    <w:rsid w:val="00E3351E"/>
    <w:rsid w:val="00E43580"/>
    <w:rsid w:val="00E436C8"/>
    <w:rsid w:val="00E50119"/>
    <w:rsid w:val="00E6308C"/>
    <w:rsid w:val="00E670D8"/>
    <w:rsid w:val="00E70106"/>
    <w:rsid w:val="00E80C8B"/>
    <w:rsid w:val="00E82150"/>
    <w:rsid w:val="00E843B0"/>
    <w:rsid w:val="00E85EBF"/>
    <w:rsid w:val="00E86B73"/>
    <w:rsid w:val="00EC25ED"/>
    <w:rsid w:val="00EC501C"/>
    <w:rsid w:val="00EC7EE1"/>
    <w:rsid w:val="00ED134F"/>
    <w:rsid w:val="00EE16EA"/>
    <w:rsid w:val="00EE6CE0"/>
    <w:rsid w:val="00EF0C55"/>
    <w:rsid w:val="00EF29D2"/>
    <w:rsid w:val="00EF3EA7"/>
    <w:rsid w:val="00F021E4"/>
    <w:rsid w:val="00F03840"/>
    <w:rsid w:val="00F03BE7"/>
    <w:rsid w:val="00F045E9"/>
    <w:rsid w:val="00F11560"/>
    <w:rsid w:val="00F13CC8"/>
    <w:rsid w:val="00F20272"/>
    <w:rsid w:val="00F21F73"/>
    <w:rsid w:val="00F36E5D"/>
    <w:rsid w:val="00F456F9"/>
    <w:rsid w:val="00F532B2"/>
    <w:rsid w:val="00F54DA6"/>
    <w:rsid w:val="00F55AB7"/>
    <w:rsid w:val="00F62D39"/>
    <w:rsid w:val="00F66A93"/>
    <w:rsid w:val="00F74B65"/>
    <w:rsid w:val="00F74E28"/>
    <w:rsid w:val="00F81DDA"/>
    <w:rsid w:val="00F875E8"/>
    <w:rsid w:val="00FB1583"/>
    <w:rsid w:val="00FB1DDA"/>
    <w:rsid w:val="00FB366F"/>
    <w:rsid w:val="00FC1EFE"/>
    <w:rsid w:val="00FC2B2F"/>
    <w:rsid w:val="00FC41DF"/>
    <w:rsid w:val="00FC4A2D"/>
    <w:rsid w:val="00FD3DB6"/>
    <w:rsid w:val="00FE7836"/>
    <w:rsid w:val="00FF329B"/>
    <w:rsid w:val="00FF7A5A"/>
    <w:rsid w:val="02C31095"/>
    <w:rsid w:val="030376E3"/>
    <w:rsid w:val="03221C10"/>
    <w:rsid w:val="033034D9"/>
    <w:rsid w:val="03C230FA"/>
    <w:rsid w:val="07FF4B94"/>
    <w:rsid w:val="08C711B3"/>
    <w:rsid w:val="0C9509E4"/>
    <w:rsid w:val="130F539E"/>
    <w:rsid w:val="13CD0C35"/>
    <w:rsid w:val="145E6E6F"/>
    <w:rsid w:val="146D0A6C"/>
    <w:rsid w:val="14C50C9C"/>
    <w:rsid w:val="15396F94"/>
    <w:rsid w:val="16A82624"/>
    <w:rsid w:val="16E548EB"/>
    <w:rsid w:val="176E561B"/>
    <w:rsid w:val="176F66EF"/>
    <w:rsid w:val="1CD00986"/>
    <w:rsid w:val="1D154A60"/>
    <w:rsid w:val="1E8F7C25"/>
    <w:rsid w:val="20795D62"/>
    <w:rsid w:val="21D07A77"/>
    <w:rsid w:val="235F48DA"/>
    <w:rsid w:val="238F4B68"/>
    <w:rsid w:val="24087E38"/>
    <w:rsid w:val="287700A8"/>
    <w:rsid w:val="28F419DB"/>
    <w:rsid w:val="2A9071FF"/>
    <w:rsid w:val="2B0D6AA1"/>
    <w:rsid w:val="2B147E30"/>
    <w:rsid w:val="2E271C28"/>
    <w:rsid w:val="2E736BEE"/>
    <w:rsid w:val="2F1F2286"/>
    <w:rsid w:val="2F370099"/>
    <w:rsid w:val="2F4078CC"/>
    <w:rsid w:val="30DF67EA"/>
    <w:rsid w:val="31095E89"/>
    <w:rsid w:val="35213875"/>
    <w:rsid w:val="36E20DE2"/>
    <w:rsid w:val="39913058"/>
    <w:rsid w:val="39F16E23"/>
    <w:rsid w:val="3FEA7570"/>
    <w:rsid w:val="40DB5220"/>
    <w:rsid w:val="41C13BB8"/>
    <w:rsid w:val="45343151"/>
    <w:rsid w:val="4B553E21"/>
    <w:rsid w:val="4DC039B3"/>
    <w:rsid w:val="4F642884"/>
    <w:rsid w:val="4F6E54B1"/>
    <w:rsid w:val="504454E3"/>
    <w:rsid w:val="557D01FC"/>
    <w:rsid w:val="56881689"/>
    <w:rsid w:val="58312C75"/>
    <w:rsid w:val="5866766D"/>
    <w:rsid w:val="58DD0FB2"/>
    <w:rsid w:val="59246D29"/>
    <w:rsid w:val="59F82547"/>
    <w:rsid w:val="5AC10B8B"/>
    <w:rsid w:val="5EBF6A6A"/>
    <w:rsid w:val="60115C4B"/>
    <w:rsid w:val="60F15F42"/>
    <w:rsid w:val="627E54C7"/>
    <w:rsid w:val="65F36A2B"/>
    <w:rsid w:val="68DD65A0"/>
    <w:rsid w:val="6B0B5576"/>
    <w:rsid w:val="70001CFE"/>
    <w:rsid w:val="7111359B"/>
    <w:rsid w:val="72A66B8C"/>
    <w:rsid w:val="72E476B5"/>
    <w:rsid w:val="742F4960"/>
    <w:rsid w:val="778C4B7B"/>
    <w:rsid w:val="786D3CA8"/>
    <w:rsid w:val="788D679B"/>
    <w:rsid w:val="7DD272EC"/>
    <w:rsid w:val="7E243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name="Body Text"/>
    <w:lsdException w:qFormat="1"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nhideWhenUsed="0" w:uiPriority="0" w:semiHidden="0" w:name="Balloon Text"/>
    <w:lsdException w:qFormat="1" w:unhideWhenUsed="0" w:uiPriority="0" w:semiHidden="0" w:name="Table Grid"/>
    <w:lsdException w:qFormat="1" w:uiPriority="99" w:semiHidden="0" w:name="Table Theme"/>
    <w:lsdException w:qFormat="1" w:uiPriority="99" w:name="Placeholder Text"/>
    <w:lsdException w:qFormat="1" w:uiPriority="99" w:name="No Spacing"/>
    <w:lsdException w:qFormat="1" w:uiPriority="60" w:name="Light Shading"/>
    <w:lsdException w:qFormat="1" w:uiPriority="61" w:name="Light List"/>
    <w:lsdException w:qFormat="1" w:uiPriority="62" w:name="Light Grid"/>
    <w:lsdException w:qFormat="1" w:uiPriority="63" w:name="Medium Shading 1"/>
    <w:lsdException w:qFormat="1" w:uiPriority="64" w:name="Medium Shading 2"/>
    <w:lsdException w:qFormat="1" w:uiPriority="65" w:name="Medium List 1"/>
    <w:lsdException w:qFormat="1" w:uiPriority="66" w:name="Medium List 2"/>
    <w:lsdException w:qFormat="1" w:uiPriority="67" w:name="Medium Grid 1"/>
    <w:lsdException w:qFormat="1" w:uiPriority="68" w:name="Medium Grid 2"/>
    <w:lsdException w:qFormat="1" w:uiPriority="69" w:name="Medium Grid 3"/>
    <w:lsdException w:qFormat="1" w:uiPriority="70" w:name="Dark List"/>
    <w:lsdException w:qFormat="1" w:uiPriority="71" w:name="Colorful Shading"/>
    <w:lsdException w:qFormat="1" w:uiPriority="72" w:name="Colorful List"/>
    <w:lsdException w:qFormat="1" w:uiPriority="73" w:name="Colorful Grid"/>
    <w:lsdException w:qFormat="1" w:uiPriority="60" w:name="Light Shading Accent 1"/>
    <w:lsdException w:qFormat="1" w:uiPriority="61" w:name="Light List Accent 1"/>
    <w:lsdException w:qFormat="1" w:uiPriority="62" w:name="Light Grid Accent 1"/>
    <w:lsdException w:qFormat="1" w:uiPriority="63" w:name="Medium Shading 1 Accent 1"/>
    <w:lsdException w:qFormat="1" w:uiPriority="64" w:name="Medium Shading 2 Accent 1"/>
    <w:lsdException w:qFormat="1" w:uiPriority="65" w:name="Medium List 1 Accent 1"/>
    <w:lsdException w:qFormat="1" w:uiPriority="99" w:name="List Paragraph"/>
    <w:lsdException w:qFormat="1" w:uiPriority="99" w:name="Quote"/>
    <w:lsdException w:qFormat="1" w:uiPriority="99"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qFormat="1"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eastAsia="黑体"/>
      <w:b/>
      <w:sz w:val="32"/>
    </w:rPr>
  </w:style>
  <w:style w:type="paragraph" w:styleId="5">
    <w:name w:val="heading 3"/>
    <w:basedOn w:val="1"/>
    <w:next w:val="1"/>
    <w:unhideWhenUsed/>
    <w:qFormat/>
    <w:uiPriority w:val="0"/>
    <w:pPr>
      <w:keepNext/>
      <w:keepLines/>
      <w:spacing w:before="260" w:after="260" w:line="413" w:lineRule="auto"/>
      <w:outlineLvl w:val="2"/>
    </w:pPr>
    <w:rPr>
      <w:b/>
      <w:sz w:val="32"/>
    </w:rPr>
  </w:style>
  <w:style w:type="paragraph" w:styleId="6">
    <w:name w:val="heading 4"/>
    <w:basedOn w:val="1"/>
    <w:next w:val="1"/>
    <w:unhideWhenUsed/>
    <w:qFormat/>
    <w:uiPriority w:val="0"/>
    <w:pPr>
      <w:keepNext/>
      <w:keepLines/>
      <w:spacing w:before="280" w:after="290" w:line="372" w:lineRule="auto"/>
      <w:outlineLvl w:val="3"/>
    </w:pPr>
    <w:rPr>
      <w:rFonts w:eastAsia="黑体"/>
      <w:b/>
      <w:sz w:val="28"/>
    </w:rPr>
  </w:style>
  <w:style w:type="paragraph" w:styleId="7">
    <w:name w:val="heading 5"/>
    <w:basedOn w:val="1"/>
    <w:next w:val="1"/>
    <w:link w:val="559"/>
    <w:semiHidden/>
    <w:unhideWhenUsed/>
    <w:qFormat/>
    <w:uiPriority w:val="0"/>
    <w:pPr>
      <w:keepNext/>
      <w:keepLines/>
      <w:spacing w:before="280" w:after="290" w:line="376" w:lineRule="auto"/>
      <w:outlineLvl w:val="4"/>
    </w:pPr>
    <w:rPr>
      <w:b/>
      <w:bCs/>
      <w:sz w:val="28"/>
      <w:szCs w:val="28"/>
    </w:rPr>
  </w:style>
  <w:style w:type="paragraph" w:styleId="8">
    <w:name w:val="heading 6"/>
    <w:basedOn w:val="1"/>
    <w:next w:val="1"/>
    <w:link w:val="560"/>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561"/>
    <w:semiHidden/>
    <w:unhideWhenUsed/>
    <w:qFormat/>
    <w:uiPriority w:val="0"/>
    <w:pPr>
      <w:keepNext/>
      <w:keepLines/>
      <w:spacing w:before="240" w:after="64" w:line="320" w:lineRule="auto"/>
      <w:outlineLvl w:val="6"/>
    </w:pPr>
    <w:rPr>
      <w:b/>
      <w:bCs/>
      <w:sz w:val="24"/>
      <w:szCs w:val="24"/>
    </w:rPr>
  </w:style>
  <w:style w:type="paragraph" w:styleId="10">
    <w:name w:val="heading 8"/>
    <w:basedOn w:val="1"/>
    <w:next w:val="1"/>
    <w:link w:val="562"/>
    <w:semiHidden/>
    <w:unhideWhenUsed/>
    <w:qFormat/>
    <w:uiPriority w:val="0"/>
    <w:pPr>
      <w:keepNext/>
      <w:keepLines/>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563"/>
    <w:semiHidden/>
    <w:unhideWhenUsed/>
    <w:qFormat/>
    <w:uiPriority w:val="0"/>
    <w:pPr>
      <w:keepNext/>
      <w:keepLines/>
      <w:spacing w:before="240" w:after="64" w:line="320" w:lineRule="auto"/>
      <w:outlineLvl w:val="8"/>
    </w:pPr>
    <w:rPr>
      <w:rFonts w:asciiTheme="majorHAnsi" w:hAnsiTheme="majorHAnsi" w:eastAsiaTheme="majorEastAsia" w:cstheme="majorBidi"/>
    </w:rPr>
  </w:style>
  <w:style w:type="character" w:default="1" w:styleId="319">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569"/>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ascii="Courier New" w:hAnsi="Courier New" w:eastAsia="宋体" w:cs="Courier New"/>
      <w:snapToGrid w:val="0"/>
      <w:color w:val="000000"/>
      <w:sz w:val="24"/>
      <w:szCs w:val="24"/>
      <w:lang w:val="en-US" w:eastAsia="en-US" w:bidi="ar-SA"/>
    </w:rPr>
  </w:style>
  <w:style w:type="paragraph" w:styleId="12">
    <w:name w:val="List 3"/>
    <w:basedOn w:val="1"/>
    <w:qFormat/>
    <w:uiPriority w:val="0"/>
    <w:pPr>
      <w:ind w:left="100" w:leftChars="400" w:hanging="200" w:hangingChars="200"/>
      <w:contextualSpacing/>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contextualSpacing/>
    </w:pPr>
  </w:style>
  <w:style w:type="paragraph" w:styleId="15">
    <w:name w:val="table of authorities"/>
    <w:basedOn w:val="1"/>
    <w:next w:val="1"/>
    <w:qFormat/>
    <w:uiPriority w:val="0"/>
    <w:pPr>
      <w:ind w:left="420" w:leftChars="200"/>
    </w:pPr>
  </w:style>
  <w:style w:type="paragraph" w:styleId="16">
    <w:name w:val="Note Heading"/>
    <w:basedOn w:val="1"/>
    <w:next w:val="1"/>
    <w:link w:val="864"/>
    <w:qFormat/>
    <w:uiPriority w:val="0"/>
    <w:pPr>
      <w:jc w:val="center"/>
    </w:pPr>
  </w:style>
  <w:style w:type="paragraph" w:styleId="17">
    <w:name w:val="List Bullet 4"/>
    <w:basedOn w:val="1"/>
    <w:qFormat/>
    <w:uiPriority w:val="0"/>
    <w:pPr>
      <w:numPr>
        <w:ilvl w:val="0"/>
        <w:numId w:val="2"/>
      </w:numPr>
      <w:contextualSpacing/>
    </w:pPr>
  </w:style>
  <w:style w:type="paragraph" w:styleId="18">
    <w:name w:val="index 8"/>
    <w:basedOn w:val="1"/>
    <w:next w:val="1"/>
    <w:qFormat/>
    <w:uiPriority w:val="0"/>
    <w:pPr>
      <w:ind w:left="1400" w:leftChars="1400"/>
    </w:pPr>
  </w:style>
  <w:style w:type="paragraph" w:styleId="19">
    <w:name w:val="E-mail Signature"/>
    <w:basedOn w:val="1"/>
    <w:link w:val="567"/>
    <w:qFormat/>
    <w:uiPriority w:val="0"/>
  </w:style>
  <w:style w:type="paragraph" w:styleId="20">
    <w:name w:val="List Number"/>
    <w:basedOn w:val="1"/>
    <w:qFormat/>
    <w:uiPriority w:val="0"/>
    <w:pPr>
      <w:numPr>
        <w:ilvl w:val="0"/>
        <w:numId w:val="3"/>
      </w:numPr>
      <w:contextualSpacing/>
    </w:pPr>
  </w:style>
  <w:style w:type="paragraph" w:styleId="21">
    <w:name w:val="Normal Indent"/>
    <w:basedOn w:val="1"/>
    <w:qFormat/>
    <w:uiPriority w:val="0"/>
    <w:pPr>
      <w:ind w:firstLine="420" w:firstLineChars="200"/>
    </w:pPr>
  </w:style>
  <w:style w:type="paragraph" w:styleId="22">
    <w:name w:val="caption"/>
    <w:basedOn w:val="1"/>
    <w:next w:val="1"/>
    <w:semiHidden/>
    <w:unhideWhenUsed/>
    <w:qFormat/>
    <w:uiPriority w:val="0"/>
    <w:rPr>
      <w:rFonts w:eastAsia="黑体" w:asciiTheme="majorHAnsi" w:hAnsiTheme="majorHAnsi" w:cstheme="majorBidi"/>
      <w:sz w:val="20"/>
      <w:szCs w:val="20"/>
    </w:rPr>
  </w:style>
  <w:style w:type="paragraph" w:styleId="23">
    <w:name w:val="index 5"/>
    <w:next w:val="1"/>
    <w:unhideWhenUsed/>
    <w:qFormat/>
    <w:uiPriority w:val="0"/>
    <w:pPr>
      <w:widowControl w:val="0"/>
      <w:ind w:left="1680"/>
    </w:pPr>
    <w:rPr>
      <w:rFonts w:ascii="宋体" w:hAnsi="Times New Roman" w:eastAsia="宋体" w:cs="Times New Roman"/>
      <w:kern w:val="2"/>
      <w:sz w:val="24"/>
      <w:szCs w:val="21"/>
      <w:lang w:val="en-US" w:eastAsia="zh-CN" w:bidi="ar-SA"/>
    </w:rPr>
  </w:style>
  <w:style w:type="paragraph" w:styleId="24">
    <w:name w:val="List Bullet"/>
    <w:basedOn w:val="1"/>
    <w:qFormat/>
    <w:uiPriority w:val="0"/>
    <w:pPr>
      <w:numPr>
        <w:ilvl w:val="0"/>
        <w:numId w:val="4"/>
      </w:numPr>
      <w:contextualSpacing/>
    </w:pPr>
  </w:style>
  <w:style w:type="paragraph" w:styleId="25">
    <w:name w:val="envelope address"/>
    <w:basedOn w:val="1"/>
    <w:qFormat/>
    <w:uiPriority w:val="0"/>
    <w:pPr>
      <w:framePr w:w="7920" w:h="1980" w:hRule="exact" w:hSpace="180" w:wrap="auto" w:vAnchor="margin" w:hAnchor="page" w:xAlign="center" w:yAlign="bottom"/>
      <w:ind w:left="100" w:leftChars="1400"/>
    </w:pPr>
    <w:rPr>
      <w:rFonts w:asciiTheme="majorHAnsi" w:hAnsiTheme="majorHAnsi" w:eastAsiaTheme="majorEastAsia" w:cstheme="majorBidi"/>
      <w:sz w:val="24"/>
      <w:szCs w:val="24"/>
    </w:rPr>
  </w:style>
  <w:style w:type="paragraph" w:styleId="26">
    <w:name w:val="Document Map"/>
    <w:basedOn w:val="1"/>
    <w:link w:val="835"/>
    <w:qFormat/>
    <w:uiPriority w:val="0"/>
    <w:rPr>
      <w:rFonts w:ascii="Microsoft YaHei UI" w:eastAsia="Microsoft YaHei UI"/>
      <w:sz w:val="18"/>
      <w:szCs w:val="18"/>
    </w:rPr>
  </w:style>
  <w:style w:type="paragraph" w:styleId="27">
    <w:name w:val="toa heading"/>
    <w:basedOn w:val="1"/>
    <w:next w:val="1"/>
    <w:qFormat/>
    <w:uiPriority w:val="0"/>
    <w:pPr>
      <w:spacing w:before="120"/>
    </w:pPr>
    <w:rPr>
      <w:rFonts w:asciiTheme="majorHAnsi" w:hAnsiTheme="majorHAnsi" w:eastAsiaTheme="majorEastAsia" w:cstheme="majorBidi"/>
      <w:sz w:val="24"/>
      <w:szCs w:val="24"/>
    </w:rPr>
  </w:style>
  <w:style w:type="paragraph" w:styleId="28">
    <w:name w:val="annotation text"/>
    <w:basedOn w:val="1"/>
    <w:link w:val="547"/>
    <w:qFormat/>
    <w:uiPriority w:val="0"/>
  </w:style>
  <w:style w:type="paragraph" w:styleId="29">
    <w:name w:val="index 6"/>
    <w:basedOn w:val="1"/>
    <w:next w:val="1"/>
    <w:qFormat/>
    <w:uiPriority w:val="0"/>
    <w:pPr>
      <w:ind w:left="1000" w:leftChars="1000"/>
    </w:pPr>
  </w:style>
  <w:style w:type="paragraph" w:styleId="30">
    <w:name w:val="Salutation"/>
    <w:basedOn w:val="1"/>
    <w:next w:val="1"/>
    <w:link w:val="566"/>
    <w:qFormat/>
    <w:uiPriority w:val="0"/>
  </w:style>
  <w:style w:type="paragraph" w:styleId="31">
    <w:name w:val="Body Text 3"/>
    <w:basedOn w:val="1"/>
    <w:link w:val="855"/>
    <w:qFormat/>
    <w:uiPriority w:val="0"/>
    <w:pPr>
      <w:spacing w:after="120"/>
    </w:pPr>
    <w:rPr>
      <w:sz w:val="16"/>
      <w:szCs w:val="16"/>
    </w:rPr>
  </w:style>
  <w:style w:type="paragraph" w:styleId="32">
    <w:name w:val="Closing"/>
    <w:basedOn w:val="1"/>
    <w:link w:val="571"/>
    <w:qFormat/>
    <w:uiPriority w:val="0"/>
    <w:pPr>
      <w:ind w:left="100" w:leftChars="2100"/>
    </w:pPr>
  </w:style>
  <w:style w:type="paragraph" w:styleId="33">
    <w:name w:val="List Bullet 3"/>
    <w:basedOn w:val="1"/>
    <w:qFormat/>
    <w:uiPriority w:val="0"/>
    <w:pPr>
      <w:numPr>
        <w:ilvl w:val="0"/>
        <w:numId w:val="5"/>
      </w:numPr>
      <w:contextualSpacing/>
    </w:pPr>
  </w:style>
  <w:style w:type="paragraph" w:styleId="34">
    <w:name w:val="Body Text"/>
    <w:basedOn w:val="1"/>
    <w:link w:val="856"/>
    <w:semiHidden/>
    <w:qFormat/>
    <w:uiPriority w:val="0"/>
  </w:style>
  <w:style w:type="paragraph" w:styleId="35">
    <w:name w:val="Body Text Indent"/>
    <w:basedOn w:val="1"/>
    <w:next w:val="36"/>
    <w:link w:val="858"/>
    <w:unhideWhenUsed/>
    <w:qFormat/>
    <w:uiPriority w:val="99"/>
    <w:pPr>
      <w:spacing w:after="120"/>
      <w:ind w:left="420" w:leftChars="200"/>
    </w:pPr>
  </w:style>
  <w:style w:type="paragraph" w:styleId="3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37">
    <w:name w:val="List Number 3"/>
    <w:basedOn w:val="1"/>
    <w:qFormat/>
    <w:uiPriority w:val="0"/>
    <w:pPr>
      <w:numPr>
        <w:ilvl w:val="0"/>
        <w:numId w:val="6"/>
      </w:numPr>
      <w:contextualSpacing/>
    </w:pPr>
  </w:style>
  <w:style w:type="paragraph" w:styleId="38">
    <w:name w:val="List 2"/>
    <w:basedOn w:val="1"/>
    <w:qFormat/>
    <w:uiPriority w:val="0"/>
    <w:pPr>
      <w:ind w:left="100" w:leftChars="200" w:hanging="200" w:hangingChars="200"/>
      <w:contextualSpacing/>
    </w:pPr>
  </w:style>
  <w:style w:type="paragraph" w:styleId="39">
    <w:name w:val="List Continue"/>
    <w:basedOn w:val="1"/>
    <w:qFormat/>
    <w:uiPriority w:val="0"/>
    <w:pPr>
      <w:spacing w:after="120"/>
      <w:ind w:left="420" w:leftChars="200"/>
      <w:contextualSpacing/>
    </w:pPr>
  </w:style>
  <w:style w:type="paragraph" w:styleId="40">
    <w:name w:val="Block Text"/>
    <w:basedOn w:val="1"/>
    <w:qFormat/>
    <w:uiPriority w:val="0"/>
    <w:pPr>
      <w:spacing w:after="120"/>
      <w:ind w:left="1440" w:leftChars="700" w:right="1440" w:rightChars="700"/>
    </w:pPr>
  </w:style>
  <w:style w:type="paragraph" w:styleId="41">
    <w:name w:val="List Bullet 2"/>
    <w:basedOn w:val="1"/>
    <w:qFormat/>
    <w:uiPriority w:val="0"/>
    <w:pPr>
      <w:numPr>
        <w:ilvl w:val="0"/>
        <w:numId w:val="7"/>
      </w:numPr>
      <w:contextualSpacing/>
    </w:pPr>
  </w:style>
  <w:style w:type="paragraph" w:styleId="42">
    <w:name w:val="HTML Address"/>
    <w:basedOn w:val="1"/>
    <w:link w:val="551"/>
    <w:qFormat/>
    <w:uiPriority w:val="0"/>
    <w:rPr>
      <w:i/>
      <w:iCs/>
    </w:rPr>
  </w:style>
  <w:style w:type="paragraph" w:styleId="43">
    <w:name w:val="index 4"/>
    <w:basedOn w:val="1"/>
    <w:next w:val="1"/>
    <w:qFormat/>
    <w:uiPriority w:val="0"/>
    <w:pPr>
      <w:ind w:left="600" w:leftChars="600"/>
    </w:pPr>
  </w:style>
  <w:style w:type="paragraph" w:styleId="44">
    <w:name w:val="toc 5"/>
    <w:basedOn w:val="1"/>
    <w:next w:val="1"/>
    <w:qFormat/>
    <w:uiPriority w:val="0"/>
    <w:pPr>
      <w:ind w:left="1680" w:leftChars="800"/>
    </w:pPr>
  </w:style>
  <w:style w:type="paragraph" w:styleId="45">
    <w:name w:val="toc 3"/>
    <w:basedOn w:val="1"/>
    <w:next w:val="1"/>
    <w:qFormat/>
    <w:uiPriority w:val="39"/>
    <w:pPr>
      <w:ind w:left="840" w:leftChars="400"/>
    </w:pPr>
  </w:style>
  <w:style w:type="paragraph" w:styleId="46">
    <w:name w:val="Plain Text"/>
    <w:basedOn w:val="1"/>
    <w:qFormat/>
    <w:uiPriority w:val="0"/>
    <w:pPr>
      <w:spacing w:before="100" w:beforeAutospacing="1" w:after="100" w:afterAutospacing="1"/>
    </w:pPr>
    <w:rPr>
      <w:rFonts w:ascii="宋体" w:hAnsi="宋体" w:cs="宋体"/>
      <w:sz w:val="24"/>
    </w:rPr>
  </w:style>
  <w:style w:type="paragraph" w:styleId="47">
    <w:name w:val="List Bullet 5"/>
    <w:basedOn w:val="1"/>
    <w:qFormat/>
    <w:uiPriority w:val="0"/>
    <w:pPr>
      <w:numPr>
        <w:ilvl w:val="0"/>
        <w:numId w:val="8"/>
      </w:numPr>
      <w:contextualSpacing/>
    </w:pPr>
  </w:style>
  <w:style w:type="paragraph" w:styleId="48">
    <w:name w:val="List Number 4"/>
    <w:basedOn w:val="1"/>
    <w:qFormat/>
    <w:uiPriority w:val="0"/>
    <w:pPr>
      <w:numPr>
        <w:ilvl w:val="0"/>
        <w:numId w:val="9"/>
      </w:numPr>
      <w:contextualSpacing/>
    </w:pPr>
  </w:style>
  <w:style w:type="paragraph" w:styleId="49">
    <w:name w:val="toc 8"/>
    <w:basedOn w:val="1"/>
    <w:next w:val="1"/>
    <w:qFormat/>
    <w:uiPriority w:val="0"/>
    <w:pPr>
      <w:ind w:left="2940" w:leftChars="1400"/>
    </w:pPr>
  </w:style>
  <w:style w:type="paragraph" w:styleId="50">
    <w:name w:val="index 3"/>
    <w:basedOn w:val="1"/>
    <w:next w:val="1"/>
    <w:qFormat/>
    <w:uiPriority w:val="0"/>
    <w:pPr>
      <w:ind w:left="400" w:leftChars="400"/>
    </w:pPr>
  </w:style>
  <w:style w:type="paragraph" w:styleId="51">
    <w:name w:val="Date"/>
    <w:basedOn w:val="1"/>
    <w:next w:val="1"/>
    <w:link w:val="720"/>
    <w:qFormat/>
    <w:uiPriority w:val="0"/>
    <w:pPr>
      <w:ind w:left="100" w:leftChars="2500"/>
    </w:pPr>
  </w:style>
  <w:style w:type="paragraph" w:styleId="52">
    <w:name w:val="Body Text Indent 2"/>
    <w:basedOn w:val="1"/>
    <w:link w:val="860"/>
    <w:qFormat/>
    <w:uiPriority w:val="0"/>
    <w:pPr>
      <w:spacing w:after="120" w:line="480" w:lineRule="auto"/>
      <w:ind w:left="420" w:leftChars="200"/>
    </w:pPr>
  </w:style>
  <w:style w:type="paragraph" w:styleId="53">
    <w:name w:val="endnote text"/>
    <w:basedOn w:val="1"/>
    <w:link w:val="833"/>
    <w:qFormat/>
    <w:uiPriority w:val="0"/>
  </w:style>
  <w:style w:type="paragraph" w:styleId="54">
    <w:name w:val="List Continue 5"/>
    <w:basedOn w:val="1"/>
    <w:qFormat/>
    <w:uiPriority w:val="0"/>
    <w:pPr>
      <w:spacing w:after="120"/>
      <w:ind w:left="2100" w:leftChars="1000"/>
      <w:contextualSpacing/>
    </w:pPr>
  </w:style>
  <w:style w:type="paragraph" w:styleId="55">
    <w:name w:val="Balloon Text"/>
    <w:basedOn w:val="1"/>
    <w:next w:val="56"/>
    <w:qFormat/>
    <w:uiPriority w:val="0"/>
    <w:rPr>
      <w:sz w:val="18"/>
      <w:szCs w:val="18"/>
    </w:rPr>
  </w:style>
  <w:style w:type="paragraph" w:customStyle="1" w:styleId="56">
    <w:name w:val="正文缩进311"/>
    <w:next w:val="1"/>
    <w:qFormat/>
    <w:uiPriority w:val="0"/>
    <w:pPr>
      <w:wordWrap w:val="0"/>
      <w:ind w:left="3400"/>
      <w:jc w:val="both"/>
    </w:pPr>
    <w:rPr>
      <w:rFonts w:ascii="Calibri" w:hAnsi="Calibri" w:eastAsia="宋体" w:cs="Times New Roman"/>
      <w:sz w:val="21"/>
      <w:szCs w:val="22"/>
      <w:lang w:val="en-US" w:eastAsia="zh-CN" w:bidi="ar-SA"/>
    </w:rPr>
  </w:style>
  <w:style w:type="paragraph" w:styleId="57">
    <w:name w:val="footer"/>
    <w:basedOn w:val="1"/>
    <w:link w:val="549"/>
    <w:qFormat/>
    <w:uiPriority w:val="99"/>
    <w:pPr>
      <w:tabs>
        <w:tab w:val="center" w:pos="4153"/>
        <w:tab w:val="right" w:pos="8306"/>
      </w:tabs>
    </w:pPr>
    <w:rPr>
      <w:sz w:val="18"/>
      <w:szCs w:val="18"/>
    </w:rPr>
  </w:style>
  <w:style w:type="paragraph" w:styleId="58">
    <w:name w:val="envelope return"/>
    <w:basedOn w:val="1"/>
    <w:qFormat/>
    <w:uiPriority w:val="0"/>
    <w:rPr>
      <w:rFonts w:asciiTheme="majorHAnsi" w:hAnsiTheme="majorHAnsi" w:eastAsiaTheme="majorEastAsia" w:cstheme="majorBidi"/>
    </w:rPr>
  </w:style>
  <w:style w:type="paragraph" w:styleId="59">
    <w:name w:val="Signature"/>
    <w:basedOn w:val="1"/>
    <w:link w:val="586"/>
    <w:qFormat/>
    <w:uiPriority w:val="0"/>
    <w:pPr>
      <w:ind w:left="100" w:leftChars="2100"/>
    </w:pPr>
  </w:style>
  <w:style w:type="paragraph" w:styleId="60">
    <w:name w:val="toc 1"/>
    <w:basedOn w:val="1"/>
    <w:next w:val="1"/>
    <w:qFormat/>
    <w:uiPriority w:val="39"/>
  </w:style>
  <w:style w:type="paragraph" w:styleId="61">
    <w:name w:val="List Continue 4"/>
    <w:basedOn w:val="1"/>
    <w:qFormat/>
    <w:uiPriority w:val="0"/>
    <w:pPr>
      <w:spacing w:after="120"/>
      <w:ind w:left="1680" w:leftChars="800"/>
      <w:contextualSpacing/>
    </w:pPr>
  </w:style>
  <w:style w:type="paragraph" w:styleId="62">
    <w:name w:val="toc 4"/>
    <w:basedOn w:val="1"/>
    <w:next w:val="1"/>
    <w:qFormat/>
    <w:uiPriority w:val="0"/>
    <w:pPr>
      <w:ind w:left="1260" w:leftChars="600"/>
    </w:pPr>
  </w:style>
  <w:style w:type="paragraph" w:styleId="63">
    <w:name w:val="index heading"/>
    <w:basedOn w:val="1"/>
    <w:next w:val="64"/>
    <w:qFormat/>
    <w:uiPriority w:val="0"/>
    <w:rPr>
      <w:rFonts w:asciiTheme="majorHAnsi" w:hAnsiTheme="majorHAnsi" w:eastAsiaTheme="majorEastAsia" w:cstheme="majorBidi"/>
      <w:b/>
      <w:bCs/>
    </w:rPr>
  </w:style>
  <w:style w:type="paragraph" w:styleId="64">
    <w:name w:val="index 1"/>
    <w:basedOn w:val="1"/>
    <w:next w:val="1"/>
    <w:qFormat/>
    <w:uiPriority w:val="0"/>
  </w:style>
  <w:style w:type="paragraph" w:styleId="65">
    <w:name w:val="Subtitle"/>
    <w:basedOn w:val="1"/>
    <w:next w:val="1"/>
    <w:link w:val="568"/>
    <w:qFormat/>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66">
    <w:name w:val="List Number 5"/>
    <w:basedOn w:val="1"/>
    <w:qFormat/>
    <w:uiPriority w:val="0"/>
    <w:pPr>
      <w:numPr>
        <w:ilvl w:val="0"/>
        <w:numId w:val="10"/>
      </w:numPr>
      <w:contextualSpacing/>
    </w:pPr>
  </w:style>
  <w:style w:type="paragraph" w:styleId="67">
    <w:name w:val="List"/>
    <w:basedOn w:val="1"/>
    <w:qFormat/>
    <w:uiPriority w:val="0"/>
    <w:pPr>
      <w:ind w:left="200" w:hanging="200" w:hangingChars="200"/>
      <w:contextualSpacing/>
    </w:pPr>
  </w:style>
  <w:style w:type="paragraph" w:styleId="68">
    <w:name w:val="footnote text"/>
    <w:basedOn w:val="1"/>
    <w:link w:val="570"/>
    <w:qFormat/>
    <w:uiPriority w:val="0"/>
    <w:rPr>
      <w:sz w:val="18"/>
      <w:szCs w:val="18"/>
    </w:rPr>
  </w:style>
  <w:style w:type="paragraph" w:styleId="69">
    <w:name w:val="toc 6"/>
    <w:basedOn w:val="1"/>
    <w:next w:val="1"/>
    <w:qFormat/>
    <w:uiPriority w:val="0"/>
    <w:pPr>
      <w:ind w:left="2100" w:leftChars="1000"/>
    </w:pPr>
  </w:style>
  <w:style w:type="paragraph" w:styleId="70">
    <w:name w:val="List 5"/>
    <w:basedOn w:val="1"/>
    <w:qFormat/>
    <w:uiPriority w:val="0"/>
    <w:pPr>
      <w:ind w:left="100" w:leftChars="800" w:hanging="200" w:hangingChars="200"/>
      <w:contextualSpacing/>
    </w:pPr>
  </w:style>
  <w:style w:type="paragraph" w:styleId="71">
    <w:name w:val="Body Text Indent 3"/>
    <w:basedOn w:val="1"/>
    <w:link w:val="861"/>
    <w:qFormat/>
    <w:uiPriority w:val="0"/>
    <w:pPr>
      <w:spacing w:after="120"/>
      <w:ind w:left="420" w:leftChars="200"/>
    </w:pPr>
    <w:rPr>
      <w:sz w:val="16"/>
      <w:szCs w:val="16"/>
    </w:rPr>
  </w:style>
  <w:style w:type="paragraph" w:styleId="72">
    <w:name w:val="index 7"/>
    <w:basedOn w:val="1"/>
    <w:next w:val="1"/>
    <w:qFormat/>
    <w:uiPriority w:val="0"/>
    <w:pPr>
      <w:ind w:left="1200" w:leftChars="1200"/>
    </w:pPr>
  </w:style>
  <w:style w:type="paragraph" w:styleId="73">
    <w:name w:val="index 9"/>
    <w:basedOn w:val="1"/>
    <w:next w:val="1"/>
    <w:qFormat/>
    <w:uiPriority w:val="0"/>
    <w:pPr>
      <w:ind w:left="1600" w:leftChars="1600"/>
    </w:pPr>
  </w:style>
  <w:style w:type="paragraph" w:styleId="74">
    <w:name w:val="table of figures"/>
    <w:basedOn w:val="1"/>
    <w:next w:val="1"/>
    <w:qFormat/>
    <w:uiPriority w:val="0"/>
    <w:pPr>
      <w:ind w:left="200" w:leftChars="200" w:hanging="200" w:hangingChars="200"/>
    </w:pPr>
  </w:style>
  <w:style w:type="paragraph" w:styleId="75">
    <w:name w:val="toc 2"/>
    <w:basedOn w:val="1"/>
    <w:next w:val="1"/>
    <w:qFormat/>
    <w:uiPriority w:val="39"/>
    <w:pPr>
      <w:ind w:left="420" w:leftChars="200"/>
    </w:pPr>
  </w:style>
  <w:style w:type="paragraph" w:styleId="76">
    <w:name w:val="toc 9"/>
    <w:basedOn w:val="1"/>
    <w:next w:val="1"/>
    <w:qFormat/>
    <w:uiPriority w:val="0"/>
    <w:pPr>
      <w:ind w:left="3360" w:leftChars="1600"/>
    </w:pPr>
  </w:style>
  <w:style w:type="paragraph" w:styleId="77">
    <w:name w:val="Body Text 2"/>
    <w:basedOn w:val="1"/>
    <w:link w:val="854"/>
    <w:qFormat/>
    <w:uiPriority w:val="0"/>
    <w:pPr>
      <w:spacing w:after="120" w:line="480" w:lineRule="auto"/>
    </w:pPr>
  </w:style>
  <w:style w:type="paragraph" w:styleId="78">
    <w:name w:val="List 4"/>
    <w:basedOn w:val="1"/>
    <w:qFormat/>
    <w:uiPriority w:val="0"/>
    <w:pPr>
      <w:ind w:left="100" w:leftChars="600" w:hanging="200" w:hangingChars="200"/>
      <w:contextualSpacing/>
    </w:pPr>
  </w:style>
  <w:style w:type="paragraph" w:styleId="79">
    <w:name w:val="List Continue 2"/>
    <w:basedOn w:val="1"/>
    <w:qFormat/>
    <w:uiPriority w:val="0"/>
    <w:pPr>
      <w:spacing w:after="120"/>
      <w:ind w:left="840" w:leftChars="400"/>
      <w:contextualSpacing/>
    </w:pPr>
  </w:style>
  <w:style w:type="paragraph" w:styleId="80">
    <w:name w:val="Message Header"/>
    <w:basedOn w:val="1"/>
    <w:link w:val="846"/>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szCs w:val="24"/>
    </w:rPr>
  </w:style>
  <w:style w:type="paragraph" w:styleId="81">
    <w:name w:val="HTML Preformatted"/>
    <w:basedOn w:val="1"/>
    <w:link w:val="552"/>
    <w:qFormat/>
    <w:uiPriority w:val="0"/>
    <w:rPr>
      <w:rFonts w:ascii="Courier New" w:hAnsi="Courier New" w:cs="Courier New"/>
      <w:sz w:val="20"/>
      <w:szCs w:val="20"/>
    </w:rPr>
  </w:style>
  <w:style w:type="paragraph" w:styleId="82">
    <w:name w:val="Normal (Web)"/>
    <w:basedOn w:val="1"/>
    <w:qFormat/>
    <w:uiPriority w:val="0"/>
    <w:pPr>
      <w:spacing w:beforeAutospacing="1" w:afterAutospacing="1"/>
    </w:pPr>
    <w:rPr>
      <w:rFonts w:cs="Times New Roman"/>
      <w:sz w:val="24"/>
      <w:lang w:eastAsia="zh-CN"/>
    </w:rPr>
  </w:style>
  <w:style w:type="paragraph" w:styleId="83">
    <w:name w:val="List Continue 3"/>
    <w:basedOn w:val="1"/>
    <w:qFormat/>
    <w:uiPriority w:val="0"/>
    <w:pPr>
      <w:spacing w:after="120"/>
      <w:ind w:left="1260" w:leftChars="600"/>
      <w:contextualSpacing/>
    </w:pPr>
  </w:style>
  <w:style w:type="paragraph" w:styleId="84">
    <w:name w:val="index 2"/>
    <w:basedOn w:val="1"/>
    <w:next w:val="1"/>
    <w:qFormat/>
    <w:uiPriority w:val="0"/>
    <w:pPr>
      <w:ind w:left="200" w:leftChars="200"/>
    </w:pPr>
  </w:style>
  <w:style w:type="paragraph" w:styleId="85">
    <w:name w:val="Title"/>
    <w:basedOn w:val="1"/>
    <w:next w:val="1"/>
    <w:link w:val="558"/>
    <w:qFormat/>
    <w:uiPriority w:val="0"/>
    <w:pPr>
      <w:spacing w:before="240" w:after="60"/>
      <w:jc w:val="center"/>
      <w:outlineLvl w:val="0"/>
    </w:pPr>
    <w:rPr>
      <w:rFonts w:asciiTheme="majorHAnsi" w:hAnsiTheme="majorHAnsi" w:eastAsiaTheme="majorEastAsia" w:cstheme="majorBidi"/>
      <w:b/>
      <w:bCs/>
      <w:sz w:val="32"/>
      <w:szCs w:val="32"/>
    </w:rPr>
  </w:style>
  <w:style w:type="paragraph" w:styleId="86">
    <w:name w:val="annotation subject"/>
    <w:basedOn w:val="28"/>
    <w:next w:val="28"/>
    <w:link w:val="548"/>
    <w:qFormat/>
    <w:uiPriority w:val="0"/>
    <w:rPr>
      <w:b/>
      <w:bCs/>
    </w:rPr>
  </w:style>
  <w:style w:type="paragraph" w:styleId="87">
    <w:name w:val="Body Text First Indent"/>
    <w:basedOn w:val="34"/>
    <w:link w:val="857"/>
    <w:qFormat/>
    <w:uiPriority w:val="0"/>
    <w:pPr>
      <w:spacing w:after="120"/>
      <w:ind w:firstLine="420" w:firstLineChars="100"/>
    </w:pPr>
  </w:style>
  <w:style w:type="paragraph" w:styleId="88">
    <w:name w:val="Body Text First Indent 2"/>
    <w:basedOn w:val="35"/>
    <w:link w:val="859"/>
    <w:qFormat/>
    <w:uiPriority w:val="0"/>
    <w:pPr>
      <w:ind w:firstLine="420" w:firstLineChars="200"/>
    </w:pPr>
  </w:style>
  <w:style w:type="table" w:styleId="90">
    <w:name w:val="Table Grid"/>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unhideWhenUsed/>
    <w:qFormat/>
    <w:uiPriority w:val="99"/>
    <w:pPr>
      <w:kinsoku w:val="0"/>
      <w:autoSpaceDE w:val="0"/>
      <w:autoSpaceDN w:val="0"/>
      <w:adjustRightInd w:val="0"/>
      <w:snapToGri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semiHidden/>
    <w:unhideWhenUsed/>
    <w:qFormat/>
    <w:uiPriority w:val="0"/>
    <w:pPr>
      <w:kinsoku w:val="0"/>
      <w:autoSpaceDE w:val="0"/>
      <w:autoSpaceDN w:val="0"/>
      <w:adjustRightInd w:val="0"/>
      <w:snapToGrid w:val="0"/>
      <w:textAlignment w:val="baseline"/>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semiHidden/>
    <w:unhideWhenUsed/>
    <w:qFormat/>
    <w:uiPriority w:val="0"/>
    <w:pPr>
      <w:kinsoku w:val="0"/>
      <w:autoSpaceDE w:val="0"/>
      <w:autoSpaceDN w:val="0"/>
      <w:adjustRightInd w:val="0"/>
      <w:snapToGrid w:val="0"/>
      <w:textAlignment w:val="baseline"/>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semiHidden/>
    <w:unhideWhenUsed/>
    <w:qFormat/>
    <w:uiPriority w:val="0"/>
    <w:pPr>
      <w:kinsoku w:val="0"/>
      <w:autoSpaceDE w:val="0"/>
      <w:autoSpaceDN w:val="0"/>
      <w:adjustRightInd w:val="0"/>
      <w:snapToGrid w:val="0"/>
      <w:textAlignment w:val="baseline"/>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semiHidden/>
    <w:unhideWhenUsed/>
    <w:qFormat/>
    <w:uiPriority w:val="0"/>
    <w:pPr>
      <w:kinsoku w:val="0"/>
      <w:autoSpaceDE w:val="0"/>
      <w:autoSpaceDN w:val="0"/>
      <w:adjustRightInd w:val="0"/>
      <w:snapToGrid w:val="0"/>
      <w:textAlignment w:val="baseline"/>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6">
    <w:name w:val="Table Classic 1"/>
    <w:basedOn w:val="89"/>
    <w:semiHidden/>
    <w:unhideWhenUsed/>
    <w:qFormat/>
    <w:uiPriority w:val="0"/>
    <w:pPr>
      <w:kinsoku w:val="0"/>
      <w:autoSpaceDE w:val="0"/>
      <w:autoSpaceDN w:val="0"/>
      <w:adjustRightInd w:val="0"/>
      <w:snapToGrid w:val="0"/>
      <w:textAlignment w:val="baseline"/>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semiHidden/>
    <w:unhideWhenUsed/>
    <w:qFormat/>
    <w:uiPriority w:val="0"/>
    <w:pPr>
      <w:kinsoku w:val="0"/>
      <w:autoSpaceDE w:val="0"/>
      <w:autoSpaceDN w:val="0"/>
      <w:adjustRightInd w:val="0"/>
      <w:snapToGrid w:val="0"/>
      <w:textAlignment w:val="baseline"/>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semiHidden/>
    <w:unhideWhenUsed/>
    <w:qFormat/>
    <w:uiPriority w:val="0"/>
    <w:pPr>
      <w:kinsoku w:val="0"/>
      <w:autoSpaceDE w:val="0"/>
      <w:autoSpaceDN w:val="0"/>
      <w:adjustRightInd w:val="0"/>
      <w:snapToGrid w:val="0"/>
      <w:textAlignment w:val="baseline"/>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semiHidden/>
    <w:unhideWhenUsed/>
    <w:qFormat/>
    <w:uiPriority w:val="0"/>
    <w:pPr>
      <w:kinsoku w:val="0"/>
      <w:autoSpaceDE w:val="0"/>
      <w:autoSpaceDN w:val="0"/>
      <w:adjustRightInd w:val="0"/>
      <w:snapToGrid w:val="0"/>
      <w:textAlignment w:val="baseline"/>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semiHidden/>
    <w:unhideWhenUsed/>
    <w:qFormat/>
    <w:uiPriority w:val="0"/>
    <w:pPr>
      <w:kinsoku w:val="0"/>
      <w:autoSpaceDE w:val="0"/>
      <w:autoSpaceDN w:val="0"/>
      <w:adjustRightInd w:val="0"/>
      <w:snapToGrid w:val="0"/>
      <w:textAlignment w:val="baseline"/>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semiHidden/>
    <w:unhideWhenUsed/>
    <w:qFormat/>
    <w:uiPriority w:val="0"/>
    <w:pPr>
      <w:kinsoku w:val="0"/>
      <w:autoSpaceDE w:val="0"/>
      <w:autoSpaceDN w:val="0"/>
      <w:adjustRightInd w:val="0"/>
      <w:snapToGrid w:val="0"/>
      <w:textAlignment w:val="baseline"/>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semiHidden/>
    <w:unhideWhenUsed/>
    <w:qFormat/>
    <w:uiPriority w:val="0"/>
    <w:pPr>
      <w:kinsoku w:val="0"/>
      <w:autoSpaceDE w:val="0"/>
      <w:autoSpaceDN w:val="0"/>
      <w:adjustRightInd w:val="0"/>
      <w:snapToGrid w:val="0"/>
      <w:textAlignment w:val="baseline"/>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semiHidden/>
    <w:unhideWhenUsed/>
    <w:qFormat/>
    <w:uiPriority w:val="0"/>
    <w:pPr>
      <w:kinsoku w:val="0"/>
      <w:autoSpaceDE w:val="0"/>
      <w:autoSpaceDN w:val="0"/>
      <w:adjustRightInd w:val="0"/>
      <w:snapToGrid w:val="0"/>
      <w:textAlignment w:val="baseline"/>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semiHidden/>
    <w:unhideWhenUsed/>
    <w:qFormat/>
    <w:uiPriority w:val="0"/>
    <w:pPr>
      <w:kinsoku w:val="0"/>
      <w:autoSpaceDE w:val="0"/>
      <w:autoSpaceDN w:val="0"/>
      <w:adjustRightInd w:val="0"/>
      <w:snapToGrid w:val="0"/>
      <w:textAlignment w:val="baseline"/>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semiHidden/>
    <w:unhideWhenUsed/>
    <w:qFormat/>
    <w:uiPriority w:val="0"/>
    <w:pPr>
      <w:kinsoku w:val="0"/>
      <w:autoSpaceDE w:val="0"/>
      <w:autoSpaceDN w:val="0"/>
      <w:adjustRightInd w:val="0"/>
      <w:snapToGrid w:val="0"/>
      <w:textAlignment w:val="baseline"/>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semiHidden/>
    <w:unhideWhenUsed/>
    <w:qFormat/>
    <w:uiPriority w:val="0"/>
    <w:pPr>
      <w:kinsoku w:val="0"/>
      <w:autoSpaceDE w:val="0"/>
      <w:autoSpaceDN w:val="0"/>
      <w:adjustRightInd w:val="0"/>
      <w:snapToGrid w:val="0"/>
      <w:textAlignment w:val="baseline"/>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semiHidden/>
    <w:unhideWhenUsed/>
    <w:qFormat/>
    <w:uiPriority w:val="0"/>
    <w:pPr>
      <w:kinsoku w:val="0"/>
      <w:autoSpaceDE w:val="0"/>
      <w:autoSpaceDN w:val="0"/>
      <w:adjustRightInd w:val="0"/>
      <w:snapToGrid w:val="0"/>
      <w:textAlignment w:val="baseline"/>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semiHidden/>
    <w:unhideWhenUsed/>
    <w:qFormat/>
    <w:uiPriority w:val="0"/>
    <w:pPr>
      <w:kinsoku w:val="0"/>
      <w:autoSpaceDE w:val="0"/>
      <w:autoSpaceDN w:val="0"/>
      <w:adjustRightInd w:val="0"/>
      <w:snapToGrid w:val="0"/>
      <w:textAlignment w:val="baseline"/>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semiHidden/>
    <w:unhideWhenUsed/>
    <w:qFormat/>
    <w:uiPriority w:val="0"/>
    <w:pPr>
      <w:kinsoku w:val="0"/>
      <w:autoSpaceDE w:val="0"/>
      <w:autoSpaceDN w:val="0"/>
      <w:adjustRightInd w:val="0"/>
      <w:snapToGrid w:val="0"/>
      <w:textAlignment w:val="baseline"/>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semiHidden/>
    <w:unhideWhenUsed/>
    <w:qFormat/>
    <w:uiPriority w:val="0"/>
    <w:pPr>
      <w:kinsoku w:val="0"/>
      <w:autoSpaceDE w:val="0"/>
      <w:autoSpaceDN w:val="0"/>
      <w:adjustRightInd w:val="0"/>
      <w:snapToGrid w:val="0"/>
      <w:textAlignment w:val="baseline"/>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semiHidden/>
    <w:unhideWhenUsed/>
    <w:qFormat/>
    <w:uiPriority w:val="0"/>
    <w:pPr>
      <w:kinsoku w:val="0"/>
      <w:autoSpaceDE w:val="0"/>
      <w:autoSpaceDN w:val="0"/>
      <w:adjustRightInd w:val="0"/>
      <w:snapToGrid w:val="0"/>
      <w:textAlignment w:val="baseline"/>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semiHidden/>
    <w:unhideWhenUsed/>
    <w:qFormat/>
    <w:uiPriority w:val="0"/>
    <w:pPr>
      <w:kinsoku w:val="0"/>
      <w:autoSpaceDE w:val="0"/>
      <w:autoSpaceDN w:val="0"/>
      <w:adjustRightInd w:val="0"/>
      <w:snapToGrid w:val="0"/>
      <w:textAlignment w:val="baseline"/>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semiHidden/>
    <w:unhideWhenUsed/>
    <w:qFormat/>
    <w:uiPriority w:val="0"/>
    <w:pPr>
      <w:kinsoku w:val="0"/>
      <w:autoSpaceDE w:val="0"/>
      <w:autoSpaceDN w:val="0"/>
      <w:adjustRightInd w:val="0"/>
      <w:snapToGrid w:val="0"/>
      <w:textAlignment w:val="baseline"/>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semiHidden/>
    <w:unhideWhenUsed/>
    <w:qFormat/>
    <w:uiPriority w:val="0"/>
    <w:pPr>
      <w:kinsoku w:val="0"/>
      <w:autoSpaceDE w:val="0"/>
      <w:autoSpaceDN w:val="0"/>
      <w:adjustRightInd w:val="0"/>
      <w:snapToGrid w:val="0"/>
      <w:textAlignment w:val="baseline"/>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semiHidden/>
    <w:unhideWhenUsed/>
    <w:qFormat/>
    <w:uiPriority w:val="0"/>
    <w:pPr>
      <w:kinsoku w:val="0"/>
      <w:autoSpaceDE w:val="0"/>
      <w:autoSpaceDN w:val="0"/>
      <w:adjustRightInd w:val="0"/>
      <w:snapToGrid w:val="0"/>
      <w:textAlignment w:val="baseline"/>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semiHidden/>
    <w:unhideWhenUsed/>
    <w:qFormat/>
    <w:uiPriority w:val="0"/>
    <w:pPr>
      <w:kinsoku w:val="0"/>
      <w:autoSpaceDE w:val="0"/>
      <w:autoSpaceDN w:val="0"/>
      <w:adjustRightInd w:val="0"/>
      <w:snapToGrid w:val="0"/>
      <w:textAlignment w:val="baseline"/>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semiHidden/>
    <w:unhideWhenUsed/>
    <w:qFormat/>
    <w:uiPriority w:val="0"/>
    <w:pPr>
      <w:kinsoku w:val="0"/>
      <w:autoSpaceDE w:val="0"/>
      <w:autoSpaceDN w:val="0"/>
      <w:adjustRightInd w:val="0"/>
      <w:snapToGrid w:val="0"/>
      <w:textAlignment w:val="baseline"/>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unhideWhenUsed/>
    <w:qFormat/>
    <w:uiPriority w:val="0"/>
    <w:pPr>
      <w:kinsoku w:val="0"/>
      <w:autoSpaceDE w:val="0"/>
      <w:autoSpaceDN w:val="0"/>
      <w:adjustRightInd w:val="0"/>
      <w:snapToGrid w:val="0"/>
      <w:textAlignment w:val="baseline"/>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semiHidden/>
    <w:unhideWhenUsed/>
    <w:qFormat/>
    <w:uiPriority w:val="0"/>
    <w:pPr>
      <w:kinsoku w:val="0"/>
      <w:autoSpaceDE w:val="0"/>
      <w:autoSpaceDN w:val="0"/>
      <w:adjustRightInd w:val="0"/>
      <w:snapToGrid w:val="0"/>
      <w:textAlignment w:val="baseline"/>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semiHidden/>
    <w:unhideWhenUsed/>
    <w:qFormat/>
    <w:uiPriority w:val="0"/>
    <w:pPr>
      <w:kinsoku w:val="0"/>
      <w:autoSpaceDE w:val="0"/>
      <w:autoSpaceDN w:val="0"/>
      <w:adjustRightInd w:val="0"/>
      <w:snapToGrid w:val="0"/>
      <w:textAlignment w:val="baseline"/>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semiHidden/>
    <w:unhideWhenUsed/>
    <w:qFormat/>
    <w:uiPriority w:val="0"/>
    <w:pPr>
      <w:kinsoku w:val="0"/>
      <w:autoSpaceDE w:val="0"/>
      <w:autoSpaceDN w:val="0"/>
      <w:adjustRightInd w:val="0"/>
      <w:snapToGrid w:val="0"/>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semiHidden/>
    <w:unhideWhenUsed/>
    <w:qFormat/>
    <w:uiPriority w:val="0"/>
    <w:pPr>
      <w:kinsoku w:val="0"/>
      <w:autoSpaceDE w:val="0"/>
      <w:autoSpaceDN w:val="0"/>
      <w:adjustRightInd w:val="0"/>
      <w:snapToGrid w:val="0"/>
      <w:textAlignment w:val="baseline"/>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semiHidden/>
    <w:unhideWhenUsed/>
    <w:qFormat/>
    <w:uiPriority w:val="0"/>
    <w:pPr>
      <w:kinsoku w:val="0"/>
      <w:autoSpaceDE w:val="0"/>
      <w:autoSpaceDN w:val="0"/>
      <w:adjustRightInd w:val="0"/>
      <w:snapToGrid w:val="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semiHidden/>
    <w:unhideWhenUsed/>
    <w:qFormat/>
    <w:uiPriority w:val="0"/>
    <w:pPr>
      <w:kinsoku w:val="0"/>
      <w:autoSpaceDE w:val="0"/>
      <w:autoSpaceDN w:val="0"/>
      <w:adjustRightInd w:val="0"/>
      <w:snapToGrid w:val="0"/>
      <w:textAlignment w:val="baseline"/>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semiHidden/>
    <w:unhideWhenUsed/>
    <w:qFormat/>
    <w:uiPriority w:val="0"/>
    <w:pPr>
      <w:kinsoku w:val="0"/>
      <w:autoSpaceDE w:val="0"/>
      <w:autoSpaceDN w:val="0"/>
      <w:adjustRightInd w:val="0"/>
      <w:snapToGrid w:val="0"/>
      <w:textAlignment w:val="baseline"/>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semiHidden/>
    <w:unhideWhenUsed/>
    <w:qFormat/>
    <w:uiPriority w:val="0"/>
    <w:pPr>
      <w:kinsoku w:val="0"/>
      <w:autoSpaceDE w:val="0"/>
      <w:autoSpaceDN w:val="0"/>
      <w:adjustRightInd w:val="0"/>
      <w:snapToGrid w:val="0"/>
      <w:textAlignment w:val="baseline"/>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semiHidden/>
    <w:unhideWhenUsed/>
    <w:qFormat/>
    <w:uiPriority w:val="0"/>
    <w:pPr>
      <w:kinsoku w:val="0"/>
      <w:autoSpaceDE w:val="0"/>
      <w:autoSpaceDN w:val="0"/>
      <w:adjustRightInd w:val="0"/>
      <w:snapToGrid w:val="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semiHidden/>
    <w:unhideWhenUsed/>
    <w:qFormat/>
    <w:uiPriority w:val="0"/>
    <w:pPr>
      <w:kinsoku w:val="0"/>
      <w:autoSpaceDE w:val="0"/>
      <w:autoSpaceDN w:val="0"/>
      <w:adjustRightInd w:val="0"/>
      <w:snapToGrid w:val="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4">
    <w:name w:val="Light Shading"/>
    <w:basedOn w:val="89"/>
    <w:semiHidden/>
    <w:unhideWhenUsed/>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5">
    <w:name w:val="Light Shading Accent 1"/>
    <w:basedOn w:val="89"/>
    <w:semiHidden/>
    <w:unhideWhenUsed/>
    <w:qFormat/>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6">
    <w:name w:val="Light Shading Accent 2"/>
    <w:basedOn w:val="89"/>
    <w:semiHidden/>
    <w:unhideWhenUsed/>
    <w:qFormat/>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137">
    <w:name w:val="Light Shading Accent 3"/>
    <w:basedOn w:val="89"/>
    <w:semiHidden/>
    <w:unhideWhenUsed/>
    <w:qFormat/>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8">
    <w:name w:val="Light Shading Accent 4"/>
    <w:basedOn w:val="89"/>
    <w:semiHidden/>
    <w:unhideWhenUsed/>
    <w:qFormat/>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39">
    <w:name w:val="Light Shading Accent 5"/>
    <w:basedOn w:val="89"/>
    <w:semiHidden/>
    <w:unhideWhenUsed/>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140">
    <w:name w:val="Light Shading Accent 6"/>
    <w:basedOn w:val="89"/>
    <w:semiHidden/>
    <w:unhideWhenUsed/>
    <w:qFormat/>
    <w:uiPriority w:val="60"/>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141">
    <w:name w:val="Light List"/>
    <w:basedOn w:val="89"/>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2">
    <w:name w:val="Light List Accent 1"/>
    <w:basedOn w:val="89"/>
    <w:semiHidden/>
    <w:unhideWhenUsed/>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143">
    <w:name w:val="Light List Accent 2"/>
    <w:basedOn w:val="89"/>
    <w:semiHidden/>
    <w:unhideWhenUsed/>
    <w:qFormat/>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144">
    <w:name w:val="Light List Accent 3"/>
    <w:basedOn w:val="89"/>
    <w:semiHidden/>
    <w:unhideWhenUsed/>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145">
    <w:name w:val="Light List Accent 4"/>
    <w:basedOn w:val="89"/>
    <w:semiHidden/>
    <w:unhideWhenUsed/>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146">
    <w:name w:val="Light List Accent 5"/>
    <w:basedOn w:val="89"/>
    <w:semiHidden/>
    <w:unhideWhenUsed/>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147">
    <w:name w:val="Light List Accent 6"/>
    <w:basedOn w:val="89"/>
    <w:semiHidden/>
    <w:unhideWhenUsed/>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148">
    <w:name w:val="Light Grid"/>
    <w:basedOn w:val="89"/>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9">
    <w:name w:val="Light Grid Accent 1"/>
    <w:basedOn w:val="89"/>
    <w:semiHidden/>
    <w:unhideWhenUsed/>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150">
    <w:name w:val="Light Grid Accent 2"/>
    <w:basedOn w:val="89"/>
    <w:semiHidden/>
    <w:unhideWhenUsed/>
    <w:qFormat/>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151">
    <w:name w:val="Light Grid Accent 3"/>
    <w:basedOn w:val="89"/>
    <w:semiHidden/>
    <w:unhideWhenUsed/>
    <w:qFormat/>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152">
    <w:name w:val="Light Grid Accent 4"/>
    <w:basedOn w:val="89"/>
    <w:semiHidden/>
    <w:unhideWhenUsed/>
    <w:qFormat/>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53">
    <w:name w:val="Light Grid Accent 5"/>
    <w:basedOn w:val="89"/>
    <w:semiHidden/>
    <w:unhideWhenUsed/>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154">
    <w:name w:val="Light Grid Accent 6"/>
    <w:basedOn w:val="89"/>
    <w:semiHidden/>
    <w:unhideWhenUsed/>
    <w:qFormat/>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155">
    <w:name w:val="Medium Shading 1"/>
    <w:basedOn w:val="89"/>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6">
    <w:name w:val="Medium Shading 1 Accent 1"/>
    <w:basedOn w:val="89"/>
    <w:semiHidden/>
    <w:unhideWhenUsed/>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57">
    <w:name w:val="Medium Shading 1 Accent 2"/>
    <w:basedOn w:val="89"/>
    <w:semiHidden/>
    <w:unhideWhenUsed/>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158">
    <w:name w:val="Medium Shading 1 Accent 3"/>
    <w:basedOn w:val="89"/>
    <w:semiHidden/>
    <w:unhideWhenUsed/>
    <w:qFormat/>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59">
    <w:name w:val="Medium Shading 1 Accent 4"/>
    <w:basedOn w:val="89"/>
    <w:semiHidden/>
    <w:unhideWhenUsed/>
    <w:qFormat/>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60">
    <w:name w:val="Medium Shading 1 Accent 5"/>
    <w:basedOn w:val="89"/>
    <w:semiHidden/>
    <w:unhideWhenUsed/>
    <w:qFormat/>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161">
    <w:name w:val="Medium Shading 1 Accent 6"/>
    <w:basedOn w:val="89"/>
    <w:semiHidden/>
    <w:unhideWhenUsed/>
    <w:qFormat/>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162">
    <w:name w:val="Medium Shading 2"/>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3">
    <w:name w:val="Medium Shading 2 Accent 1"/>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2"/>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3"/>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4"/>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5"/>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Shading 2 Accent 6"/>
    <w:basedOn w:val="89"/>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9">
    <w:name w:val="Medium List 1"/>
    <w:basedOn w:val="89"/>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70">
    <w:name w:val="Medium List 1 Accent 1"/>
    <w:basedOn w:val="89"/>
    <w:semiHidden/>
    <w:unhideWhenUsed/>
    <w:qFormat/>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71">
    <w:name w:val="Medium List 1 Accent 2"/>
    <w:basedOn w:val="89"/>
    <w:semiHidden/>
    <w:unhideWhenUsed/>
    <w:qFormat/>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172">
    <w:name w:val="Medium List 1 Accent 3"/>
    <w:basedOn w:val="89"/>
    <w:semiHidden/>
    <w:unhideWhenUsed/>
    <w:qFormat/>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73">
    <w:name w:val="Medium List 1 Accent 4"/>
    <w:basedOn w:val="89"/>
    <w:semiHidden/>
    <w:unhideWhenUsed/>
    <w:qFormat/>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74">
    <w:name w:val="Medium List 1 Accent 5"/>
    <w:basedOn w:val="89"/>
    <w:semiHidden/>
    <w:unhideWhenUsed/>
    <w:qFormat/>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175">
    <w:name w:val="Medium List 1 Accent 6"/>
    <w:basedOn w:val="89"/>
    <w:semiHidden/>
    <w:unhideWhenUsed/>
    <w:qFormat/>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176">
    <w:name w:val="Medium List 2"/>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1"/>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2"/>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3"/>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4"/>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5"/>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List 2 Accent 6"/>
    <w:basedOn w:val="89"/>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3">
    <w:name w:val="Medium Grid 1"/>
    <w:basedOn w:val="89"/>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4">
    <w:name w:val="Medium Grid 1 Accent 1"/>
    <w:basedOn w:val="89"/>
    <w:semiHidden/>
    <w:unhideWhenUsed/>
    <w:qFormat/>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85">
    <w:name w:val="Medium Grid 1 Accent 2"/>
    <w:basedOn w:val="89"/>
    <w:semiHidden/>
    <w:unhideWhenUsed/>
    <w:qFormat/>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86">
    <w:name w:val="Medium Grid 1 Accent 3"/>
    <w:basedOn w:val="89"/>
    <w:semiHidden/>
    <w:unhideWhenUsed/>
    <w:qFormat/>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87">
    <w:name w:val="Medium Grid 1 Accent 4"/>
    <w:basedOn w:val="89"/>
    <w:semiHidden/>
    <w:unhideWhenUsed/>
    <w:qFormat/>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88">
    <w:name w:val="Medium Grid 1 Accent 5"/>
    <w:basedOn w:val="89"/>
    <w:semiHidden/>
    <w:unhideWhenUsed/>
    <w:qFormat/>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89">
    <w:name w:val="Medium Grid 1 Accent 6"/>
    <w:basedOn w:val="89"/>
    <w:semiHidden/>
    <w:unhideWhenUsed/>
    <w:qFormat/>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90">
    <w:name w:val="Medium Grid 2"/>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1">
    <w:name w:val="Medium Grid 2 Accent 1"/>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192">
    <w:name w:val="Medium Grid 2 Accent 2"/>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193">
    <w:name w:val="Medium Grid 2 Accent 3"/>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194">
    <w:name w:val="Medium Grid 2 Accent 4"/>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195">
    <w:name w:val="Medium Grid 2 Accent 5"/>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96">
    <w:name w:val="Medium Grid 2 Accent 6"/>
    <w:basedOn w:val="89"/>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97">
    <w:name w:val="Medium Grid 3"/>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8">
    <w:name w:val="Medium Grid 3 Accent 1"/>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99">
    <w:name w:val="Medium Grid 3 Accent 2"/>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200">
    <w:name w:val="Medium Grid 3 Accent 3"/>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201">
    <w:name w:val="Medium Grid 3 Accent 4"/>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202">
    <w:name w:val="Medium Grid 3 Accent 5"/>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203">
    <w:name w:val="Medium Grid 3 Accent 6"/>
    <w:basedOn w:val="89"/>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204">
    <w:name w:val="Dark List"/>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5">
    <w:name w:val="Dark List Accent 1"/>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206">
    <w:name w:val="Dark List Accent 2"/>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207">
    <w:name w:val="Dark List Accent 3"/>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08">
    <w:name w:val="Dark List Accent 4"/>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209">
    <w:name w:val="Dark List Accent 5"/>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210">
    <w:name w:val="Dark List Accent 6"/>
    <w:basedOn w:val="89"/>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211">
    <w:name w:val="Colorful Shading"/>
    <w:basedOn w:val="89"/>
    <w:semiHidden/>
    <w:unhideWhenUsed/>
    <w:qFormat/>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1"/>
    <w:basedOn w:val="89"/>
    <w:semiHidden/>
    <w:unhideWhenUsed/>
    <w:qFormat/>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2"/>
    <w:basedOn w:val="89"/>
    <w:semiHidden/>
    <w:unhideWhenUsed/>
    <w:qFormat/>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4">
    <w:name w:val="Colorful Shading Accent 3"/>
    <w:basedOn w:val="89"/>
    <w:semiHidden/>
    <w:unhideWhenUsed/>
    <w:qFormat/>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15">
    <w:name w:val="Colorful Shading Accent 4"/>
    <w:basedOn w:val="89"/>
    <w:semiHidden/>
    <w:unhideWhenUsed/>
    <w:qFormat/>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5"/>
    <w:basedOn w:val="89"/>
    <w:semiHidden/>
    <w:unhideWhenUsed/>
    <w:qFormat/>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Shading Accent 6"/>
    <w:basedOn w:val="89"/>
    <w:semiHidden/>
    <w:unhideWhenUsed/>
    <w:qFormat/>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8">
    <w:name w:val="Colorful List"/>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9">
    <w:name w:val="Colorful List Accent 1"/>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20">
    <w:name w:val="Colorful List Accent 2"/>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221">
    <w:name w:val="Colorful List Accent 3"/>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22">
    <w:name w:val="Colorful List Accent 4"/>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223">
    <w:name w:val="Colorful List Accent 5"/>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224">
    <w:name w:val="Colorful List Accent 6"/>
    <w:basedOn w:val="89"/>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225">
    <w:name w:val="Colorful Grid"/>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6">
    <w:name w:val="Colorful Grid Accent 1"/>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227">
    <w:name w:val="Colorful Grid Accent 2"/>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228">
    <w:name w:val="Colorful Grid Accent 3"/>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29">
    <w:name w:val="Colorful Grid Accent 4"/>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30">
    <w:name w:val="Colorful Grid Accent 5"/>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31">
    <w:name w:val="Colorful Grid Accent 6"/>
    <w:basedOn w:val="89"/>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232">
    <w:name w:val="正文 CharProp"/>
    <w:qFormat/>
    <w:uiPriority w:val="0"/>
    <w:rPr>
      <w:rFonts w:ascii="Arial" w:hAnsi="Arial" w:eastAsia="Arial" w:cs="Arial"/>
      <w:snapToGrid w:val="0"/>
      <w:color w:val="000000"/>
      <w:sz w:val="21"/>
      <w:szCs w:val="21"/>
      <w:lang w:val="en-US" w:eastAsia="en-US" w:bidi="ar-SA"/>
    </w:rPr>
  </w:style>
  <w:style w:type="character" w:customStyle="1" w:styleId="233">
    <w:name w:val="标题 1 CharProp"/>
    <w:qFormat/>
    <w:uiPriority w:val="0"/>
    <w:rPr>
      <w:b/>
      <w:kern w:val="44"/>
      <w:sz w:val="44"/>
    </w:rPr>
  </w:style>
  <w:style w:type="character" w:customStyle="1" w:styleId="234">
    <w:name w:val="标题 2 CharProp"/>
    <w:qFormat/>
    <w:uiPriority w:val="0"/>
    <w:rPr>
      <w:rFonts w:eastAsia="黑体"/>
      <w:b/>
      <w:sz w:val="32"/>
    </w:rPr>
  </w:style>
  <w:style w:type="character" w:customStyle="1" w:styleId="235">
    <w:name w:val="标题 3 CharProp"/>
    <w:qFormat/>
    <w:uiPriority w:val="0"/>
    <w:rPr>
      <w:b/>
      <w:sz w:val="32"/>
    </w:rPr>
  </w:style>
  <w:style w:type="character" w:customStyle="1" w:styleId="236">
    <w:name w:val="标题 4 CharProp"/>
    <w:qFormat/>
    <w:uiPriority w:val="0"/>
    <w:rPr>
      <w:rFonts w:eastAsia="黑体"/>
      <w:b/>
      <w:sz w:val="28"/>
    </w:rPr>
  </w:style>
  <w:style w:type="character" w:customStyle="1" w:styleId="237">
    <w:name w:val="标题 5 CharProp"/>
    <w:qFormat/>
    <w:uiPriority w:val="0"/>
    <w:rPr>
      <w:b/>
      <w:bCs/>
      <w:sz w:val="28"/>
      <w:szCs w:val="28"/>
    </w:rPr>
  </w:style>
  <w:style w:type="character" w:customStyle="1" w:styleId="238">
    <w:name w:val="标题 6 CharProp"/>
    <w:qFormat/>
    <w:uiPriority w:val="0"/>
    <w:rPr>
      <w:rFonts w:asciiTheme="majorHAnsi" w:hAnsiTheme="majorHAnsi" w:eastAsiaTheme="majorEastAsia" w:cstheme="majorBidi"/>
      <w:b/>
      <w:bCs/>
      <w:sz w:val="24"/>
      <w:szCs w:val="24"/>
    </w:rPr>
  </w:style>
  <w:style w:type="character" w:customStyle="1" w:styleId="239">
    <w:name w:val="标题 7 CharProp"/>
    <w:qFormat/>
    <w:uiPriority w:val="0"/>
    <w:rPr>
      <w:b/>
      <w:bCs/>
      <w:sz w:val="24"/>
      <w:szCs w:val="24"/>
    </w:rPr>
  </w:style>
  <w:style w:type="character" w:customStyle="1" w:styleId="240">
    <w:name w:val="标题 8 CharProp"/>
    <w:qFormat/>
    <w:uiPriority w:val="0"/>
    <w:rPr>
      <w:rFonts w:asciiTheme="majorHAnsi" w:hAnsiTheme="majorHAnsi" w:eastAsiaTheme="majorEastAsia" w:cstheme="majorBidi"/>
      <w:sz w:val="24"/>
      <w:szCs w:val="24"/>
    </w:rPr>
  </w:style>
  <w:style w:type="character" w:customStyle="1" w:styleId="241">
    <w:name w:val="标题 9 CharProp"/>
    <w:qFormat/>
    <w:uiPriority w:val="0"/>
    <w:rPr>
      <w:rFonts w:asciiTheme="majorHAnsi" w:hAnsiTheme="majorHAnsi" w:eastAsiaTheme="majorEastAsia" w:cstheme="majorBidi"/>
    </w:rPr>
  </w:style>
  <w:style w:type="character" w:customStyle="1" w:styleId="242">
    <w:name w:val="列表 3 CharProp"/>
    <w:qFormat/>
    <w:uiPriority w:val="0"/>
  </w:style>
  <w:style w:type="character" w:customStyle="1" w:styleId="243">
    <w:name w:val="批注主题 CharProp"/>
    <w:qFormat/>
    <w:uiPriority w:val="0"/>
    <w:rPr>
      <w:b/>
      <w:bCs/>
    </w:rPr>
  </w:style>
  <w:style w:type="character" w:customStyle="1" w:styleId="244">
    <w:name w:val="目录 7 CharProp"/>
    <w:qFormat/>
    <w:uiPriority w:val="0"/>
  </w:style>
  <w:style w:type="character" w:customStyle="1" w:styleId="245">
    <w:name w:val="正文首行缩进 CharProp"/>
    <w:qFormat/>
    <w:uiPriority w:val="0"/>
  </w:style>
  <w:style w:type="character" w:customStyle="1" w:styleId="246">
    <w:name w:val="列表编号 2 CharProp"/>
    <w:qFormat/>
    <w:uiPriority w:val="0"/>
  </w:style>
  <w:style w:type="character" w:customStyle="1" w:styleId="247">
    <w:name w:val="引文目录 CharProp"/>
    <w:qFormat/>
    <w:uiPriority w:val="0"/>
  </w:style>
  <w:style w:type="character" w:customStyle="1" w:styleId="248">
    <w:name w:val="宏文本 CharProp"/>
    <w:qFormat/>
    <w:uiPriority w:val="0"/>
    <w:rPr>
      <w:rFonts w:ascii="Courier New" w:hAnsi="Courier New" w:eastAsia="宋体" w:cs="Courier New"/>
      <w:snapToGrid w:val="0"/>
      <w:color w:val="000000"/>
      <w:sz w:val="24"/>
      <w:szCs w:val="24"/>
      <w:lang w:val="en-US" w:eastAsia="en-US" w:bidi="ar-SA"/>
    </w:rPr>
  </w:style>
  <w:style w:type="character" w:customStyle="1" w:styleId="249">
    <w:name w:val="注释标题 CharProp"/>
    <w:qFormat/>
    <w:uiPriority w:val="0"/>
  </w:style>
  <w:style w:type="character" w:customStyle="1" w:styleId="250">
    <w:name w:val="列表项目符号 4 CharProp"/>
    <w:qFormat/>
    <w:uiPriority w:val="0"/>
  </w:style>
  <w:style w:type="character" w:customStyle="1" w:styleId="251">
    <w:name w:val="索引 8 CharProp"/>
    <w:qFormat/>
    <w:uiPriority w:val="0"/>
  </w:style>
  <w:style w:type="character" w:customStyle="1" w:styleId="252">
    <w:name w:val="电子邮件签名 CharProp"/>
    <w:qFormat/>
    <w:uiPriority w:val="0"/>
  </w:style>
  <w:style w:type="character" w:customStyle="1" w:styleId="253">
    <w:name w:val="列表编号 CharProp"/>
    <w:qFormat/>
    <w:uiPriority w:val="0"/>
  </w:style>
  <w:style w:type="character" w:customStyle="1" w:styleId="254">
    <w:name w:val="正文缩进 CharProp"/>
    <w:qFormat/>
    <w:uiPriority w:val="0"/>
  </w:style>
  <w:style w:type="character" w:customStyle="1" w:styleId="255">
    <w:name w:val="题注 CharProp"/>
    <w:qFormat/>
    <w:uiPriority w:val="0"/>
    <w:rPr>
      <w:rFonts w:eastAsia="黑体" w:asciiTheme="majorHAnsi" w:hAnsiTheme="majorHAnsi" w:cstheme="majorBidi"/>
      <w:sz w:val="20"/>
      <w:szCs w:val="20"/>
    </w:rPr>
  </w:style>
  <w:style w:type="character" w:customStyle="1" w:styleId="256">
    <w:name w:val="索引 5 CharProp"/>
    <w:qFormat/>
    <w:uiPriority w:val="0"/>
    <w:rPr>
      <w:rFonts w:ascii="宋体" w:hAnsi="Times New Roman" w:eastAsia="宋体" w:cs="Times New Roman"/>
      <w:kern w:val="2"/>
      <w:sz w:val="24"/>
      <w:szCs w:val="21"/>
      <w:lang w:val="en-US" w:eastAsia="zh-CN" w:bidi="ar-SA"/>
    </w:rPr>
  </w:style>
  <w:style w:type="character" w:customStyle="1" w:styleId="257">
    <w:name w:val="列表项目符号 CharProp"/>
    <w:qFormat/>
    <w:uiPriority w:val="0"/>
  </w:style>
  <w:style w:type="character" w:customStyle="1" w:styleId="258">
    <w:name w:val="收信人地址 CharProp"/>
    <w:qFormat/>
    <w:uiPriority w:val="0"/>
    <w:rPr>
      <w:rFonts w:asciiTheme="majorHAnsi" w:hAnsiTheme="majorHAnsi" w:eastAsiaTheme="majorEastAsia" w:cstheme="majorBidi"/>
      <w:sz w:val="24"/>
      <w:szCs w:val="24"/>
    </w:rPr>
  </w:style>
  <w:style w:type="character" w:customStyle="1" w:styleId="259">
    <w:name w:val="文档结构图 CharProp"/>
    <w:qFormat/>
    <w:uiPriority w:val="0"/>
    <w:rPr>
      <w:rFonts w:ascii="Microsoft YaHei UI" w:eastAsia="Microsoft YaHei UI"/>
      <w:sz w:val="18"/>
      <w:szCs w:val="18"/>
    </w:rPr>
  </w:style>
  <w:style w:type="character" w:customStyle="1" w:styleId="260">
    <w:name w:val="引文目录标题 CharProp"/>
    <w:qFormat/>
    <w:uiPriority w:val="0"/>
    <w:rPr>
      <w:rFonts w:asciiTheme="majorHAnsi" w:hAnsiTheme="majorHAnsi" w:eastAsiaTheme="majorEastAsia" w:cstheme="majorBidi"/>
      <w:sz w:val="24"/>
      <w:szCs w:val="24"/>
    </w:rPr>
  </w:style>
  <w:style w:type="character" w:customStyle="1" w:styleId="261">
    <w:name w:val="批注文字 CharProp"/>
    <w:qFormat/>
    <w:uiPriority w:val="0"/>
  </w:style>
  <w:style w:type="character" w:customStyle="1" w:styleId="262">
    <w:name w:val="索引 6 CharProp"/>
    <w:qFormat/>
    <w:uiPriority w:val="0"/>
  </w:style>
  <w:style w:type="character" w:customStyle="1" w:styleId="263">
    <w:name w:val="称呼 CharProp"/>
    <w:qFormat/>
    <w:uiPriority w:val="0"/>
  </w:style>
  <w:style w:type="character" w:customStyle="1" w:styleId="264">
    <w:name w:val="正文文本 3 CharProp"/>
    <w:qFormat/>
    <w:uiPriority w:val="0"/>
    <w:rPr>
      <w:sz w:val="16"/>
      <w:szCs w:val="16"/>
    </w:rPr>
  </w:style>
  <w:style w:type="character" w:customStyle="1" w:styleId="265">
    <w:name w:val="结束语 CharProp"/>
    <w:qFormat/>
    <w:uiPriority w:val="0"/>
  </w:style>
  <w:style w:type="character" w:customStyle="1" w:styleId="266">
    <w:name w:val="列表项目符号 3 CharProp"/>
    <w:qFormat/>
    <w:uiPriority w:val="0"/>
  </w:style>
  <w:style w:type="character" w:customStyle="1" w:styleId="267">
    <w:name w:val="正文文本 CharProp"/>
    <w:qFormat/>
    <w:uiPriority w:val="0"/>
  </w:style>
  <w:style w:type="character" w:customStyle="1" w:styleId="268">
    <w:name w:val="正文文本缩进 CharProp"/>
    <w:qFormat/>
    <w:uiPriority w:val="99"/>
  </w:style>
  <w:style w:type="character" w:customStyle="1" w:styleId="269">
    <w:name w:val="列表编号 3 CharProp"/>
    <w:qFormat/>
    <w:uiPriority w:val="0"/>
  </w:style>
  <w:style w:type="character" w:customStyle="1" w:styleId="270">
    <w:name w:val="列表 2 CharProp"/>
    <w:qFormat/>
    <w:uiPriority w:val="0"/>
  </w:style>
  <w:style w:type="character" w:customStyle="1" w:styleId="271">
    <w:name w:val="列表接续 CharProp"/>
    <w:qFormat/>
    <w:uiPriority w:val="0"/>
  </w:style>
  <w:style w:type="character" w:customStyle="1" w:styleId="272">
    <w:name w:val="文本块 CharProp"/>
    <w:qFormat/>
    <w:uiPriority w:val="0"/>
  </w:style>
  <w:style w:type="character" w:customStyle="1" w:styleId="273">
    <w:name w:val="列表项目符号 2 CharProp"/>
    <w:qFormat/>
    <w:uiPriority w:val="0"/>
  </w:style>
  <w:style w:type="character" w:customStyle="1" w:styleId="274">
    <w:name w:val="HTML 地址 CharProp"/>
    <w:qFormat/>
    <w:uiPriority w:val="0"/>
    <w:rPr>
      <w:i/>
      <w:iCs/>
    </w:rPr>
  </w:style>
  <w:style w:type="character" w:customStyle="1" w:styleId="275">
    <w:name w:val="索引 4 CharProp"/>
    <w:qFormat/>
    <w:uiPriority w:val="0"/>
  </w:style>
  <w:style w:type="character" w:customStyle="1" w:styleId="276">
    <w:name w:val="目录 5 CharProp"/>
    <w:qFormat/>
    <w:uiPriority w:val="0"/>
  </w:style>
  <w:style w:type="character" w:customStyle="1" w:styleId="277">
    <w:name w:val="目录 3 CharProp"/>
    <w:qFormat/>
    <w:uiPriority w:val="39"/>
  </w:style>
  <w:style w:type="character" w:customStyle="1" w:styleId="278">
    <w:name w:val="纯文本 CharProp"/>
    <w:qFormat/>
    <w:uiPriority w:val="0"/>
    <w:rPr>
      <w:rFonts w:ascii="宋体" w:hAnsi="宋体" w:cs="宋体"/>
      <w:sz w:val="24"/>
    </w:rPr>
  </w:style>
  <w:style w:type="character" w:customStyle="1" w:styleId="279">
    <w:name w:val="列表项目符号 5 CharProp"/>
    <w:qFormat/>
    <w:uiPriority w:val="0"/>
  </w:style>
  <w:style w:type="character" w:customStyle="1" w:styleId="280">
    <w:name w:val="列表编号 4 CharProp"/>
    <w:qFormat/>
    <w:uiPriority w:val="0"/>
  </w:style>
  <w:style w:type="character" w:customStyle="1" w:styleId="281">
    <w:name w:val="目录 8 CharProp"/>
    <w:qFormat/>
    <w:uiPriority w:val="0"/>
  </w:style>
  <w:style w:type="character" w:customStyle="1" w:styleId="282">
    <w:name w:val="索引 3 CharProp"/>
    <w:qFormat/>
    <w:uiPriority w:val="0"/>
  </w:style>
  <w:style w:type="character" w:customStyle="1" w:styleId="283">
    <w:name w:val="日期 CharProp"/>
    <w:qFormat/>
    <w:uiPriority w:val="0"/>
  </w:style>
  <w:style w:type="character" w:customStyle="1" w:styleId="284">
    <w:name w:val="正文文本缩进 2 CharProp"/>
    <w:qFormat/>
    <w:uiPriority w:val="0"/>
  </w:style>
  <w:style w:type="character" w:customStyle="1" w:styleId="285">
    <w:name w:val="尾注文本 CharProp"/>
    <w:qFormat/>
    <w:uiPriority w:val="0"/>
  </w:style>
  <w:style w:type="character" w:customStyle="1" w:styleId="286">
    <w:name w:val="列表接续 5 CharProp"/>
    <w:qFormat/>
    <w:uiPriority w:val="0"/>
  </w:style>
  <w:style w:type="character" w:customStyle="1" w:styleId="287">
    <w:name w:val="批注框文本 CharProp"/>
    <w:qFormat/>
    <w:uiPriority w:val="0"/>
    <w:rPr>
      <w:sz w:val="18"/>
      <w:szCs w:val="18"/>
    </w:rPr>
  </w:style>
  <w:style w:type="character" w:customStyle="1" w:styleId="288">
    <w:name w:val="页脚 CharProp"/>
    <w:qFormat/>
    <w:uiPriority w:val="99"/>
    <w:rPr>
      <w:sz w:val="18"/>
      <w:szCs w:val="18"/>
    </w:rPr>
  </w:style>
  <w:style w:type="character" w:customStyle="1" w:styleId="289">
    <w:name w:val="寄信人地址 CharProp"/>
    <w:qFormat/>
    <w:uiPriority w:val="0"/>
    <w:rPr>
      <w:rFonts w:asciiTheme="majorHAnsi" w:hAnsiTheme="majorHAnsi" w:eastAsiaTheme="majorEastAsia" w:cstheme="majorBidi"/>
    </w:rPr>
  </w:style>
  <w:style w:type="character" w:customStyle="1" w:styleId="290">
    <w:name w:val="正文首行缩进 2 CharProp"/>
    <w:qFormat/>
    <w:uiPriority w:val="0"/>
  </w:style>
  <w:style w:type="character" w:customStyle="1" w:styleId="291">
    <w:name w:val="页眉 CharProp"/>
    <w:qFormat/>
    <w:uiPriority w:val="0"/>
    <w:rPr>
      <w:sz w:val="18"/>
    </w:rPr>
  </w:style>
  <w:style w:type="character" w:customStyle="1" w:styleId="292">
    <w:name w:val="签名 CharProp"/>
    <w:qFormat/>
    <w:uiPriority w:val="0"/>
  </w:style>
  <w:style w:type="character" w:customStyle="1" w:styleId="293">
    <w:name w:val="目录 1 CharProp"/>
    <w:qFormat/>
    <w:uiPriority w:val="39"/>
  </w:style>
  <w:style w:type="character" w:customStyle="1" w:styleId="294">
    <w:name w:val="列表接续 4 CharProp"/>
    <w:qFormat/>
    <w:uiPriority w:val="0"/>
  </w:style>
  <w:style w:type="character" w:customStyle="1" w:styleId="295">
    <w:name w:val="目录 4 CharProp"/>
    <w:qFormat/>
    <w:uiPriority w:val="0"/>
  </w:style>
  <w:style w:type="character" w:customStyle="1" w:styleId="296">
    <w:name w:val="索引标题 CharProp"/>
    <w:qFormat/>
    <w:uiPriority w:val="0"/>
    <w:rPr>
      <w:rFonts w:asciiTheme="majorHAnsi" w:hAnsiTheme="majorHAnsi" w:eastAsiaTheme="majorEastAsia" w:cstheme="majorBidi"/>
      <w:b/>
      <w:bCs/>
    </w:rPr>
  </w:style>
  <w:style w:type="character" w:customStyle="1" w:styleId="297">
    <w:name w:val="副标题 CharProp"/>
    <w:qFormat/>
    <w:uiPriority w:val="0"/>
    <w:rPr>
      <w:rFonts w:asciiTheme="minorHAnsi" w:hAnsiTheme="minorHAnsi" w:eastAsiaTheme="minorEastAsia" w:cstheme="minorBidi"/>
      <w:b/>
      <w:bCs/>
      <w:kern w:val="28"/>
      <w:sz w:val="32"/>
      <w:szCs w:val="32"/>
    </w:rPr>
  </w:style>
  <w:style w:type="character" w:customStyle="1" w:styleId="298">
    <w:name w:val="列表编号 5 CharProp"/>
    <w:qFormat/>
    <w:uiPriority w:val="0"/>
  </w:style>
  <w:style w:type="character" w:customStyle="1" w:styleId="299">
    <w:name w:val="列表 CharProp"/>
    <w:qFormat/>
    <w:uiPriority w:val="0"/>
  </w:style>
  <w:style w:type="character" w:customStyle="1" w:styleId="300">
    <w:name w:val="脚注文本 CharProp"/>
    <w:qFormat/>
    <w:uiPriority w:val="0"/>
    <w:rPr>
      <w:sz w:val="18"/>
      <w:szCs w:val="18"/>
    </w:rPr>
  </w:style>
  <w:style w:type="character" w:customStyle="1" w:styleId="301">
    <w:name w:val="目录 6 CharProp"/>
    <w:qFormat/>
    <w:uiPriority w:val="0"/>
  </w:style>
  <w:style w:type="character" w:customStyle="1" w:styleId="302">
    <w:name w:val="列表 5 CharProp"/>
    <w:qFormat/>
    <w:uiPriority w:val="0"/>
  </w:style>
  <w:style w:type="character" w:customStyle="1" w:styleId="303">
    <w:name w:val="正文文本缩进 3 CharProp"/>
    <w:qFormat/>
    <w:uiPriority w:val="0"/>
    <w:rPr>
      <w:sz w:val="16"/>
      <w:szCs w:val="16"/>
    </w:rPr>
  </w:style>
  <w:style w:type="character" w:customStyle="1" w:styleId="304">
    <w:name w:val="索引 7 CharProp"/>
    <w:qFormat/>
    <w:uiPriority w:val="0"/>
  </w:style>
  <w:style w:type="character" w:customStyle="1" w:styleId="305">
    <w:name w:val="索引 9 CharProp"/>
    <w:qFormat/>
    <w:uiPriority w:val="0"/>
  </w:style>
  <w:style w:type="character" w:customStyle="1" w:styleId="306">
    <w:name w:val="图表目录 CharProp"/>
    <w:qFormat/>
    <w:uiPriority w:val="0"/>
  </w:style>
  <w:style w:type="character" w:customStyle="1" w:styleId="307">
    <w:name w:val="目录 2 CharProp"/>
    <w:qFormat/>
    <w:uiPriority w:val="39"/>
  </w:style>
  <w:style w:type="character" w:customStyle="1" w:styleId="308">
    <w:name w:val="目录 9 CharProp"/>
    <w:qFormat/>
    <w:uiPriority w:val="0"/>
  </w:style>
  <w:style w:type="character" w:customStyle="1" w:styleId="309">
    <w:name w:val="正文文本 2 CharProp"/>
    <w:qFormat/>
    <w:uiPriority w:val="0"/>
  </w:style>
  <w:style w:type="character" w:customStyle="1" w:styleId="310">
    <w:name w:val="列表 4 CharProp"/>
    <w:qFormat/>
    <w:uiPriority w:val="0"/>
  </w:style>
  <w:style w:type="character" w:customStyle="1" w:styleId="311">
    <w:name w:val="列表接续 2 CharProp"/>
    <w:qFormat/>
    <w:uiPriority w:val="0"/>
  </w:style>
  <w:style w:type="character" w:customStyle="1" w:styleId="312">
    <w:name w:val="信息标题 CharProp"/>
    <w:qFormat/>
    <w:uiPriority w:val="0"/>
    <w:rPr>
      <w:rFonts w:asciiTheme="majorHAnsi" w:hAnsiTheme="majorHAnsi" w:eastAsiaTheme="majorEastAsia" w:cstheme="majorBidi"/>
      <w:sz w:val="24"/>
      <w:szCs w:val="24"/>
    </w:rPr>
  </w:style>
  <w:style w:type="character" w:customStyle="1" w:styleId="313">
    <w:name w:val="HTML 预设格式 CharProp"/>
    <w:qFormat/>
    <w:uiPriority w:val="0"/>
    <w:rPr>
      <w:rFonts w:ascii="Courier New" w:hAnsi="Courier New" w:cs="Courier New"/>
      <w:sz w:val="20"/>
      <w:szCs w:val="20"/>
    </w:rPr>
  </w:style>
  <w:style w:type="character" w:customStyle="1" w:styleId="314">
    <w:name w:val="普通(网站) CharProp"/>
    <w:qFormat/>
    <w:uiPriority w:val="0"/>
    <w:rPr>
      <w:rFonts w:cs="Times New Roman"/>
      <w:sz w:val="24"/>
      <w:lang w:eastAsia="zh-CN"/>
    </w:rPr>
  </w:style>
  <w:style w:type="character" w:customStyle="1" w:styleId="315">
    <w:name w:val="列表接续 3 CharProp"/>
    <w:qFormat/>
    <w:uiPriority w:val="0"/>
  </w:style>
  <w:style w:type="character" w:customStyle="1" w:styleId="316">
    <w:name w:val="索引 1 CharProp"/>
    <w:qFormat/>
    <w:uiPriority w:val="0"/>
  </w:style>
  <w:style w:type="character" w:customStyle="1" w:styleId="317">
    <w:name w:val="索引 2 CharProp"/>
    <w:qFormat/>
    <w:uiPriority w:val="0"/>
  </w:style>
  <w:style w:type="character" w:customStyle="1" w:styleId="318">
    <w:name w:val="标题 CharProp"/>
    <w:qFormat/>
    <w:uiPriority w:val="0"/>
    <w:rPr>
      <w:rFonts w:asciiTheme="majorHAnsi" w:hAnsiTheme="majorHAnsi" w:eastAsiaTheme="majorEastAsia" w:cstheme="majorBidi"/>
      <w:b/>
      <w:bCs/>
      <w:sz w:val="32"/>
      <w:szCs w:val="32"/>
    </w:rPr>
  </w:style>
  <w:style w:type="character" w:customStyle="1" w:styleId="320">
    <w:name w:val="普通表格 CharProp"/>
    <w:qFormat/>
    <w:uiPriority w:val="0"/>
  </w:style>
  <w:style w:type="character" w:customStyle="1" w:styleId="321">
    <w:name w:val="网格型 CharProp"/>
    <w:qFormat/>
    <w:uiPriority w:val="0"/>
  </w:style>
  <w:style w:type="character" w:customStyle="1" w:styleId="322">
    <w:name w:val="表格主题 CharProp"/>
    <w:qFormat/>
    <w:uiPriority w:val="0"/>
  </w:style>
  <w:style w:type="character" w:customStyle="1" w:styleId="323">
    <w:name w:val="彩色型 1 CharProp"/>
    <w:qFormat/>
    <w:uiPriority w:val="0"/>
    <w:rPr>
      <w:color w:val="FFFFFF"/>
    </w:rPr>
  </w:style>
  <w:style w:type="character" w:customStyle="1" w:styleId="324">
    <w:name w:val="彩色型 2 CharProp"/>
    <w:qFormat/>
    <w:uiPriority w:val="0"/>
  </w:style>
  <w:style w:type="character" w:customStyle="1" w:styleId="325">
    <w:name w:val="彩色型 3 CharProp"/>
    <w:qFormat/>
    <w:uiPriority w:val="0"/>
  </w:style>
  <w:style w:type="character" w:customStyle="1" w:styleId="326">
    <w:name w:val="典雅型 CharProp"/>
    <w:qFormat/>
    <w:uiPriority w:val="0"/>
  </w:style>
  <w:style w:type="character" w:customStyle="1" w:styleId="327">
    <w:name w:val="古典型 1 CharProp"/>
    <w:qFormat/>
    <w:uiPriority w:val="0"/>
  </w:style>
  <w:style w:type="character" w:customStyle="1" w:styleId="328">
    <w:name w:val="古典型 2 CharProp"/>
    <w:qFormat/>
    <w:uiPriority w:val="0"/>
  </w:style>
  <w:style w:type="character" w:customStyle="1" w:styleId="329">
    <w:name w:val="古典型 3 CharProp"/>
    <w:qFormat/>
    <w:uiPriority w:val="0"/>
    <w:rPr>
      <w:color w:val="000080"/>
    </w:rPr>
  </w:style>
  <w:style w:type="character" w:customStyle="1" w:styleId="330">
    <w:name w:val="古典型 4 CharProp"/>
    <w:qFormat/>
    <w:uiPriority w:val="0"/>
  </w:style>
  <w:style w:type="character" w:customStyle="1" w:styleId="331">
    <w:name w:val="简明型 1 CharProp"/>
    <w:qFormat/>
    <w:uiPriority w:val="0"/>
  </w:style>
  <w:style w:type="character" w:customStyle="1" w:styleId="332">
    <w:name w:val="简明型 2 CharProp"/>
    <w:qFormat/>
    <w:uiPriority w:val="0"/>
  </w:style>
  <w:style w:type="character" w:customStyle="1" w:styleId="333">
    <w:name w:val="简明型 3 CharProp"/>
    <w:qFormat/>
    <w:uiPriority w:val="0"/>
  </w:style>
  <w:style w:type="character" w:customStyle="1" w:styleId="334">
    <w:name w:val="精巧型 1 CharProp"/>
    <w:qFormat/>
    <w:uiPriority w:val="0"/>
  </w:style>
  <w:style w:type="character" w:customStyle="1" w:styleId="335">
    <w:name w:val="精巧型 2 CharProp"/>
    <w:qFormat/>
    <w:uiPriority w:val="0"/>
  </w:style>
  <w:style w:type="character" w:customStyle="1" w:styleId="336">
    <w:name w:val="立体型 1 CharProp"/>
    <w:qFormat/>
    <w:uiPriority w:val="0"/>
  </w:style>
  <w:style w:type="character" w:customStyle="1" w:styleId="337">
    <w:name w:val="立体型 2 CharProp"/>
    <w:qFormat/>
    <w:uiPriority w:val="0"/>
  </w:style>
  <w:style w:type="character" w:customStyle="1" w:styleId="338">
    <w:name w:val="立体型 3 CharProp"/>
    <w:qFormat/>
    <w:uiPriority w:val="0"/>
  </w:style>
  <w:style w:type="character" w:customStyle="1" w:styleId="339">
    <w:name w:val="列表型 1 CharProp"/>
    <w:qFormat/>
    <w:uiPriority w:val="0"/>
  </w:style>
  <w:style w:type="character" w:customStyle="1" w:styleId="340">
    <w:name w:val="列表型 2 CharProp"/>
    <w:qFormat/>
    <w:uiPriority w:val="0"/>
  </w:style>
  <w:style w:type="character" w:customStyle="1" w:styleId="341">
    <w:name w:val="列表型 3 CharProp"/>
    <w:qFormat/>
    <w:uiPriority w:val="0"/>
  </w:style>
  <w:style w:type="character" w:customStyle="1" w:styleId="342">
    <w:name w:val="列表型 4 CharProp"/>
    <w:qFormat/>
    <w:uiPriority w:val="0"/>
  </w:style>
  <w:style w:type="character" w:customStyle="1" w:styleId="343">
    <w:name w:val="列表型 5 CharProp"/>
    <w:qFormat/>
    <w:uiPriority w:val="0"/>
  </w:style>
  <w:style w:type="character" w:customStyle="1" w:styleId="344">
    <w:name w:val="列表型 6 CharProp"/>
    <w:qFormat/>
    <w:uiPriority w:val="0"/>
  </w:style>
  <w:style w:type="character" w:customStyle="1" w:styleId="345">
    <w:name w:val="列表型 7 CharProp"/>
    <w:qFormat/>
    <w:uiPriority w:val="0"/>
  </w:style>
  <w:style w:type="character" w:customStyle="1" w:styleId="346">
    <w:name w:val="列表型 8 CharProp"/>
    <w:qFormat/>
    <w:uiPriority w:val="0"/>
  </w:style>
  <w:style w:type="character" w:customStyle="1" w:styleId="347">
    <w:name w:val="流行型 CharProp"/>
    <w:qFormat/>
    <w:uiPriority w:val="0"/>
  </w:style>
  <w:style w:type="character" w:customStyle="1" w:styleId="348">
    <w:name w:val="竖列型 1 CharProp"/>
    <w:qFormat/>
    <w:uiPriority w:val="0"/>
    <w:rPr>
      <w:b/>
      <w:bCs/>
    </w:rPr>
  </w:style>
  <w:style w:type="character" w:customStyle="1" w:styleId="349">
    <w:name w:val="竖列型 2 CharProp"/>
    <w:qFormat/>
    <w:uiPriority w:val="0"/>
    <w:rPr>
      <w:b/>
      <w:bCs/>
    </w:rPr>
  </w:style>
  <w:style w:type="character" w:customStyle="1" w:styleId="350">
    <w:name w:val="竖列型 3 CharProp"/>
    <w:qFormat/>
    <w:uiPriority w:val="0"/>
    <w:rPr>
      <w:b/>
      <w:bCs/>
    </w:rPr>
  </w:style>
  <w:style w:type="character" w:customStyle="1" w:styleId="351">
    <w:name w:val="竖列型 4 CharProp"/>
    <w:qFormat/>
    <w:uiPriority w:val="0"/>
  </w:style>
  <w:style w:type="character" w:customStyle="1" w:styleId="352">
    <w:name w:val="竖列型 5 CharProp"/>
    <w:qFormat/>
    <w:uiPriority w:val="0"/>
  </w:style>
  <w:style w:type="character" w:customStyle="1" w:styleId="353">
    <w:name w:val="网格型 1 CharProp"/>
    <w:qFormat/>
    <w:uiPriority w:val="0"/>
  </w:style>
  <w:style w:type="character" w:customStyle="1" w:styleId="354">
    <w:name w:val="网格型 2 CharProp"/>
    <w:qFormat/>
    <w:uiPriority w:val="0"/>
  </w:style>
  <w:style w:type="character" w:customStyle="1" w:styleId="355">
    <w:name w:val="网格型 3 CharProp"/>
    <w:qFormat/>
    <w:uiPriority w:val="0"/>
  </w:style>
  <w:style w:type="character" w:customStyle="1" w:styleId="356">
    <w:name w:val="网格型 4 CharProp"/>
    <w:qFormat/>
    <w:uiPriority w:val="0"/>
  </w:style>
  <w:style w:type="character" w:customStyle="1" w:styleId="357">
    <w:name w:val="网格型 5 CharProp"/>
    <w:qFormat/>
    <w:uiPriority w:val="0"/>
  </w:style>
  <w:style w:type="character" w:customStyle="1" w:styleId="358">
    <w:name w:val="网格型 6 CharProp"/>
    <w:qFormat/>
    <w:uiPriority w:val="0"/>
  </w:style>
  <w:style w:type="character" w:customStyle="1" w:styleId="359">
    <w:name w:val="网格型 7 CharProp"/>
    <w:qFormat/>
    <w:uiPriority w:val="0"/>
    <w:rPr>
      <w:b/>
      <w:bCs/>
    </w:rPr>
  </w:style>
  <w:style w:type="character" w:customStyle="1" w:styleId="360">
    <w:name w:val="网格型 8 CharProp"/>
    <w:qFormat/>
    <w:uiPriority w:val="0"/>
  </w:style>
  <w:style w:type="character" w:customStyle="1" w:styleId="361">
    <w:name w:val="网页型 1 CharProp"/>
    <w:qFormat/>
    <w:uiPriority w:val="0"/>
  </w:style>
  <w:style w:type="character" w:customStyle="1" w:styleId="362">
    <w:name w:val="网页型 2 CharProp"/>
    <w:qFormat/>
    <w:uiPriority w:val="0"/>
  </w:style>
  <w:style w:type="character" w:customStyle="1" w:styleId="363">
    <w:name w:val="网页型 3 CharProp"/>
    <w:qFormat/>
    <w:uiPriority w:val="0"/>
  </w:style>
  <w:style w:type="character" w:customStyle="1" w:styleId="364">
    <w:name w:val="专业型 CharProp"/>
    <w:qFormat/>
    <w:uiPriority w:val="0"/>
  </w:style>
  <w:style w:type="character" w:customStyle="1" w:styleId="365">
    <w:name w:val="浅色底纹 CharProp"/>
    <w:qFormat/>
    <w:uiPriority w:val="60"/>
    <w:rPr>
      <w:color w:val="000000" w:themeColor="text1" w:themeShade="BF"/>
    </w:rPr>
  </w:style>
  <w:style w:type="character" w:customStyle="1" w:styleId="366">
    <w:name w:val="浅色底纹 - 强调文字颜色 1 CharProp"/>
    <w:qFormat/>
    <w:uiPriority w:val="60"/>
    <w:rPr>
      <w:color w:val="376092" w:themeColor="accent1" w:themeShade="BF"/>
    </w:rPr>
  </w:style>
  <w:style w:type="character" w:customStyle="1" w:styleId="367">
    <w:name w:val="浅色底纹 - 强调文字颜色 2 CharProp"/>
    <w:qFormat/>
    <w:uiPriority w:val="60"/>
    <w:rPr>
      <w:color w:val="953735" w:themeColor="accent2" w:themeShade="BF"/>
    </w:rPr>
  </w:style>
  <w:style w:type="character" w:customStyle="1" w:styleId="368">
    <w:name w:val="浅色底纹 - 强调文字颜色 3 CharProp"/>
    <w:qFormat/>
    <w:uiPriority w:val="60"/>
    <w:rPr>
      <w:color w:val="77933C" w:themeColor="accent3" w:themeShade="BF"/>
    </w:rPr>
  </w:style>
  <w:style w:type="character" w:customStyle="1" w:styleId="369">
    <w:name w:val="浅色底纹 - 强调文字颜色 4 CharProp"/>
    <w:qFormat/>
    <w:uiPriority w:val="60"/>
    <w:rPr>
      <w:color w:val="604A7B" w:themeColor="accent4" w:themeShade="BF"/>
    </w:rPr>
  </w:style>
  <w:style w:type="character" w:customStyle="1" w:styleId="370">
    <w:name w:val="浅色底纹 - 强调文字颜色 5 CharProp"/>
    <w:qFormat/>
    <w:uiPriority w:val="60"/>
    <w:rPr>
      <w:color w:val="31859C" w:themeColor="accent5" w:themeShade="BF"/>
    </w:rPr>
  </w:style>
  <w:style w:type="character" w:customStyle="1" w:styleId="371">
    <w:name w:val="浅色底纹 - 强调文字颜色 6 CharProp"/>
    <w:qFormat/>
    <w:uiPriority w:val="60"/>
    <w:rPr>
      <w:color w:val="E46C0A" w:themeColor="accent6" w:themeShade="BF"/>
    </w:rPr>
  </w:style>
  <w:style w:type="character" w:customStyle="1" w:styleId="372">
    <w:name w:val="浅色列表 CharProp"/>
    <w:qFormat/>
    <w:uiPriority w:val="61"/>
  </w:style>
  <w:style w:type="character" w:customStyle="1" w:styleId="373">
    <w:name w:val="浅色列表 - 强调文字颜色 1 CharProp"/>
    <w:qFormat/>
    <w:uiPriority w:val="61"/>
  </w:style>
  <w:style w:type="character" w:customStyle="1" w:styleId="374">
    <w:name w:val="浅色列表 - 强调文字颜色 2 CharProp"/>
    <w:qFormat/>
    <w:uiPriority w:val="61"/>
  </w:style>
  <w:style w:type="character" w:customStyle="1" w:styleId="375">
    <w:name w:val="浅色列表 - 强调文字颜色 3 CharProp"/>
    <w:qFormat/>
    <w:uiPriority w:val="61"/>
  </w:style>
  <w:style w:type="character" w:customStyle="1" w:styleId="376">
    <w:name w:val="浅色列表 - 强调文字颜色 4 CharProp"/>
    <w:qFormat/>
    <w:uiPriority w:val="61"/>
  </w:style>
  <w:style w:type="character" w:customStyle="1" w:styleId="377">
    <w:name w:val="浅色列表 - 强调文字颜色 5 CharProp"/>
    <w:qFormat/>
    <w:uiPriority w:val="61"/>
  </w:style>
  <w:style w:type="character" w:customStyle="1" w:styleId="378">
    <w:name w:val="浅色列表 - 强调文字颜色 6 CharProp"/>
    <w:qFormat/>
    <w:uiPriority w:val="61"/>
  </w:style>
  <w:style w:type="character" w:customStyle="1" w:styleId="379">
    <w:name w:val="浅色网格 CharProp"/>
    <w:qFormat/>
    <w:uiPriority w:val="62"/>
  </w:style>
  <w:style w:type="character" w:customStyle="1" w:styleId="380">
    <w:name w:val="浅色网格 - 强调文字颜色 1 CharProp"/>
    <w:qFormat/>
    <w:uiPriority w:val="62"/>
  </w:style>
  <w:style w:type="character" w:customStyle="1" w:styleId="381">
    <w:name w:val="浅色网格 - 强调文字颜色 2 CharProp"/>
    <w:qFormat/>
    <w:uiPriority w:val="62"/>
  </w:style>
  <w:style w:type="character" w:customStyle="1" w:styleId="382">
    <w:name w:val="浅色网格 - 强调文字颜色 3 CharProp"/>
    <w:qFormat/>
    <w:uiPriority w:val="62"/>
  </w:style>
  <w:style w:type="character" w:customStyle="1" w:styleId="383">
    <w:name w:val="浅色网格 - 强调文字颜色 4 CharProp"/>
    <w:qFormat/>
    <w:uiPriority w:val="62"/>
  </w:style>
  <w:style w:type="character" w:customStyle="1" w:styleId="384">
    <w:name w:val="浅色网格 - 强调文字颜色 5 CharProp"/>
    <w:qFormat/>
    <w:uiPriority w:val="62"/>
  </w:style>
  <w:style w:type="character" w:customStyle="1" w:styleId="385">
    <w:name w:val="浅色网格 - 强调文字颜色 6 CharProp"/>
    <w:qFormat/>
    <w:uiPriority w:val="62"/>
  </w:style>
  <w:style w:type="character" w:customStyle="1" w:styleId="386">
    <w:name w:val="中等深浅底纹 1 CharProp"/>
    <w:qFormat/>
    <w:uiPriority w:val="63"/>
  </w:style>
  <w:style w:type="character" w:customStyle="1" w:styleId="387">
    <w:name w:val="中等深浅底纹 1 - 强调文字颜色 1 CharProp"/>
    <w:qFormat/>
    <w:uiPriority w:val="63"/>
  </w:style>
  <w:style w:type="character" w:customStyle="1" w:styleId="388">
    <w:name w:val="中等深浅底纹 1 - 强调文字颜色 2 CharProp"/>
    <w:qFormat/>
    <w:uiPriority w:val="63"/>
  </w:style>
  <w:style w:type="character" w:customStyle="1" w:styleId="389">
    <w:name w:val="中等深浅底纹 1 - 强调文字颜色 3 CharProp"/>
    <w:qFormat/>
    <w:uiPriority w:val="63"/>
  </w:style>
  <w:style w:type="character" w:customStyle="1" w:styleId="390">
    <w:name w:val="中等深浅底纹 1 - 强调文字颜色 4 CharProp"/>
    <w:qFormat/>
    <w:uiPriority w:val="63"/>
  </w:style>
  <w:style w:type="character" w:customStyle="1" w:styleId="391">
    <w:name w:val="中等深浅底纹 1 - 强调文字颜色 5 CharProp"/>
    <w:qFormat/>
    <w:uiPriority w:val="63"/>
  </w:style>
  <w:style w:type="character" w:customStyle="1" w:styleId="392">
    <w:name w:val="中等深浅底纹 1 - 强调文字颜色 6 CharProp"/>
    <w:qFormat/>
    <w:uiPriority w:val="63"/>
  </w:style>
  <w:style w:type="character" w:customStyle="1" w:styleId="393">
    <w:name w:val="中等深浅底纹 2 CharProp"/>
    <w:qFormat/>
    <w:uiPriority w:val="64"/>
  </w:style>
  <w:style w:type="character" w:customStyle="1" w:styleId="394">
    <w:name w:val="中等深浅底纹 2 - 强调文字颜色 1 CharProp"/>
    <w:qFormat/>
    <w:uiPriority w:val="64"/>
  </w:style>
  <w:style w:type="character" w:customStyle="1" w:styleId="395">
    <w:name w:val="中等深浅底纹 2 - 强调文字颜色 2 CharProp"/>
    <w:qFormat/>
    <w:uiPriority w:val="64"/>
  </w:style>
  <w:style w:type="character" w:customStyle="1" w:styleId="396">
    <w:name w:val="中等深浅底纹 2 - 强调文字颜色 3 CharProp"/>
    <w:qFormat/>
    <w:uiPriority w:val="64"/>
  </w:style>
  <w:style w:type="character" w:customStyle="1" w:styleId="397">
    <w:name w:val="中等深浅底纹 2 - 强调文字颜色 4 CharProp"/>
    <w:qFormat/>
    <w:uiPriority w:val="64"/>
  </w:style>
  <w:style w:type="character" w:customStyle="1" w:styleId="398">
    <w:name w:val="中等深浅底纹 2 - 强调文字颜色 5 CharProp"/>
    <w:qFormat/>
    <w:uiPriority w:val="64"/>
  </w:style>
  <w:style w:type="character" w:customStyle="1" w:styleId="399">
    <w:name w:val="中等深浅底纹 2 - 强调文字颜色 6 CharProp"/>
    <w:qFormat/>
    <w:uiPriority w:val="64"/>
  </w:style>
  <w:style w:type="character" w:customStyle="1" w:styleId="400">
    <w:name w:val="中等深浅列表 1 CharProp"/>
    <w:qFormat/>
    <w:uiPriority w:val="65"/>
    <w:rPr>
      <w:color w:val="000000" w:themeColor="text1"/>
      <w14:textFill>
        <w14:solidFill>
          <w14:schemeClr w14:val="tx1"/>
        </w14:solidFill>
      </w14:textFill>
    </w:rPr>
  </w:style>
  <w:style w:type="character" w:customStyle="1" w:styleId="401">
    <w:name w:val="中等深浅列表 1 - 强调文字颜色 1 CharProp"/>
    <w:qFormat/>
    <w:uiPriority w:val="65"/>
    <w:rPr>
      <w:color w:val="000000" w:themeColor="text1"/>
      <w14:textFill>
        <w14:solidFill>
          <w14:schemeClr w14:val="tx1"/>
        </w14:solidFill>
      </w14:textFill>
    </w:rPr>
  </w:style>
  <w:style w:type="character" w:customStyle="1" w:styleId="402">
    <w:name w:val="中等深浅列表 1 - 强调文字颜色 2 CharProp"/>
    <w:qFormat/>
    <w:uiPriority w:val="65"/>
    <w:rPr>
      <w:color w:val="000000" w:themeColor="text1"/>
      <w14:textFill>
        <w14:solidFill>
          <w14:schemeClr w14:val="tx1"/>
        </w14:solidFill>
      </w14:textFill>
    </w:rPr>
  </w:style>
  <w:style w:type="character" w:customStyle="1" w:styleId="403">
    <w:name w:val="中等深浅列表 1 - 强调文字颜色 3 CharProp"/>
    <w:qFormat/>
    <w:uiPriority w:val="65"/>
    <w:rPr>
      <w:color w:val="000000" w:themeColor="text1"/>
      <w14:textFill>
        <w14:solidFill>
          <w14:schemeClr w14:val="tx1"/>
        </w14:solidFill>
      </w14:textFill>
    </w:rPr>
  </w:style>
  <w:style w:type="character" w:customStyle="1" w:styleId="404">
    <w:name w:val="中等深浅列表 1 - 强调文字颜色 4 CharProp"/>
    <w:qFormat/>
    <w:uiPriority w:val="65"/>
    <w:rPr>
      <w:color w:val="000000" w:themeColor="text1"/>
      <w14:textFill>
        <w14:solidFill>
          <w14:schemeClr w14:val="tx1"/>
        </w14:solidFill>
      </w14:textFill>
    </w:rPr>
  </w:style>
  <w:style w:type="character" w:customStyle="1" w:styleId="405">
    <w:name w:val="中等深浅列表 1 - 强调文字颜色 5 CharProp"/>
    <w:qFormat/>
    <w:uiPriority w:val="65"/>
    <w:rPr>
      <w:color w:val="000000" w:themeColor="text1"/>
      <w14:textFill>
        <w14:solidFill>
          <w14:schemeClr w14:val="tx1"/>
        </w14:solidFill>
      </w14:textFill>
    </w:rPr>
  </w:style>
  <w:style w:type="character" w:customStyle="1" w:styleId="406">
    <w:name w:val="中等深浅列表 1 - 强调文字颜色 6 CharProp"/>
    <w:qFormat/>
    <w:uiPriority w:val="65"/>
    <w:rPr>
      <w:color w:val="000000" w:themeColor="text1"/>
      <w14:textFill>
        <w14:solidFill>
          <w14:schemeClr w14:val="tx1"/>
        </w14:solidFill>
      </w14:textFill>
    </w:rPr>
  </w:style>
  <w:style w:type="character" w:customStyle="1" w:styleId="407">
    <w:name w:val="中等深浅列表 2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08">
    <w:name w:val="中等深浅列表 2 - 强调文字颜色 1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09">
    <w:name w:val="中等深浅列表 2 - 强调文字颜色 2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10">
    <w:name w:val="中等深浅列表 2 - 强调文字颜色 3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11">
    <w:name w:val="中等深浅列表 2 - 强调文字颜色 4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12">
    <w:name w:val="中等深浅列表 2 - 强调文字颜色 5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13">
    <w:name w:val="中等深浅列表 2 - 强调文字颜色 6 CharProp"/>
    <w:qFormat/>
    <w:uiPriority w:val="66"/>
    <w:rPr>
      <w:rFonts w:asciiTheme="majorHAnsi" w:hAnsiTheme="majorHAnsi" w:eastAsiaTheme="majorEastAsia" w:cstheme="majorBidi"/>
      <w:color w:val="000000" w:themeColor="text1"/>
      <w14:textFill>
        <w14:solidFill>
          <w14:schemeClr w14:val="tx1"/>
        </w14:solidFill>
      </w14:textFill>
    </w:rPr>
  </w:style>
  <w:style w:type="character" w:customStyle="1" w:styleId="414">
    <w:name w:val="中等深浅网格 1 CharProp"/>
    <w:qFormat/>
    <w:uiPriority w:val="67"/>
  </w:style>
  <w:style w:type="character" w:customStyle="1" w:styleId="415">
    <w:name w:val="中等深浅网格 1 - 强调文字颜色 1 CharProp"/>
    <w:qFormat/>
    <w:uiPriority w:val="67"/>
  </w:style>
  <w:style w:type="character" w:customStyle="1" w:styleId="416">
    <w:name w:val="中等深浅网格 1 - 强调文字颜色 2 CharProp"/>
    <w:qFormat/>
    <w:uiPriority w:val="67"/>
  </w:style>
  <w:style w:type="character" w:customStyle="1" w:styleId="417">
    <w:name w:val="中等深浅网格 1 - 强调文字颜色 3 CharProp"/>
    <w:qFormat/>
    <w:uiPriority w:val="67"/>
  </w:style>
  <w:style w:type="character" w:customStyle="1" w:styleId="418">
    <w:name w:val="中等深浅网格 1 - 强调文字颜色 4 CharProp"/>
    <w:qFormat/>
    <w:uiPriority w:val="67"/>
  </w:style>
  <w:style w:type="character" w:customStyle="1" w:styleId="419">
    <w:name w:val="中等深浅网格 1 - 强调文字颜色 5 CharProp"/>
    <w:qFormat/>
    <w:uiPriority w:val="67"/>
  </w:style>
  <w:style w:type="character" w:customStyle="1" w:styleId="420">
    <w:name w:val="中等深浅网格 1 - 强调文字颜色 6 CharProp"/>
    <w:qFormat/>
    <w:uiPriority w:val="67"/>
  </w:style>
  <w:style w:type="character" w:customStyle="1" w:styleId="421">
    <w:name w:val="中等深浅网格 2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2">
    <w:name w:val="中等深浅网格 2 - 强调文字颜色 1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3">
    <w:name w:val="中等深浅网格 2 - 强调文字颜色 2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4">
    <w:name w:val="中等深浅网格 2 - 强调文字颜色 3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5">
    <w:name w:val="中等深浅网格 2 - 强调文字颜色 4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6">
    <w:name w:val="中等深浅网格 2 - 强调文字颜色 5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7">
    <w:name w:val="中等深浅网格 2 - 强调文字颜色 6 CharProp"/>
    <w:qFormat/>
    <w:uiPriority w:val="68"/>
    <w:rPr>
      <w:rFonts w:asciiTheme="majorHAnsi" w:hAnsiTheme="majorHAnsi" w:eastAsiaTheme="majorEastAsia" w:cstheme="majorBidi"/>
      <w:color w:val="000000" w:themeColor="text1"/>
      <w14:textFill>
        <w14:solidFill>
          <w14:schemeClr w14:val="tx1"/>
        </w14:solidFill>
      </w14:textFill>
    </w:rPr>
  </w:style>
  <w:style w:type="character" w:customStyle="1" w:styleId="428">
    <w:name w:val="中等深浅网格 3 CharProp"/>
    <w:qFormat/>
    <w:uiPriority w:val="69"/>
  </w:style>
  <w:style w:type="character" w:customStyle="1" w:styleId="429">
    <w:name w:val="中等深浅网格 3 - 强调文字颜色 1 CharProp"/>
    <w:qFormat/>
    <w:uiPriority w:val="69"/>
  </w:style>
  <w:style w:type="character" w:customStyle="1" w:styleId="430">
    <w:name w:val="中等深浅网格 3 - 强调文字颜色 2 CharProp"/>
    <w:qFormat/>
    <w:uiPriority w:val="69"/>
  </w:style>
  <w:style w:type="character" w:customStyle="1" w:styleId="431">
    <w:name w:val="中等深浅网格 3 - 强调文字颜色 3 CharProp"/>
    <w:qFormat/>
    <w:uiPriority w:val="69"/>
  </w:style>
  <w:style w:type="character" w:customStyle="1" w:styleId="432">
    <w:name w:val="中等深浅网格 3 - 强调文字颜色 4 CharProp"/>
    <w:qFormat/>
    <w:uiPriority w:val="69"/>
  </w:style>
  <w:style w:type="character" w:customStyle="1" w:styleId="433">
    <w:name w:val="中等深浅网格 3 - 强调文字颜色 5 CharProp"/>
    <w:qFormat/>
    <w:uiPriority w:val="69"/>
  </w:style>
  <w:style w:type="character" w:customStyle="1" w:styleId="434">
    <w:name w:val="中等深浅网格 3 - 强调文字颜色 6 CharProp"/>
    <w:qFormat/>
    <w:uiPriority w:val="69"/>
  </w:style>
  <w:style w:type="character" w:customStyle="1" w:styleId="435">
    <w:name w:val="深色列表 CharProp"/>
    <w:qFormat/>
    <w:uiPriority w:val="70"/>
    <w:rPr>
      <w:color w:val="FFFFFF" w:themeColor="background1"/>
      <w14:textFill>
        <w14:solidFill>
          <w14:schemeClr w14:val="bg1"/>
        </w14:solidFill>
      </w14:textFill>
    </w:rPr>
  </w:style>
  <w:style w:type="character" w:customStyle="1" w:styleId="436">
    <w:name w:val="深色列表 - 强调文字颜色 1 CharProp"/>
    <w:qFormat/>
    <w:uiPriority w:val="70"/>
    <w:rPr>
      <w:color w:val="FFFFFF" w:themeColor="background1"/>
      <w14:textFill>
        <w14:solidFill>
          <w14:schemeClr w14:val="bg1"/>
        </w14:solidFill>
      </w14:textFill>
    </w:rPr>
  </w:style>
  <w:style w:type="character" w:customStyle="1" w:styleId="437">
    <w:name w:val="深色列表 - 强调文字颜色 2 CharProp"/>
    <w:qFormat/>
    <w:uiPriority w:val="70"/>
    <w:rPr>
      <w:color w:val="FFFFFF" w:themeColor="background1"/>
      <w14:textFill>
        <w14:solidFill>
          <w14:schemeClr w14:val="bg1"/>
        </w14:solidFill>
      </w14:textFill>
    </w:rPr>
  </w:style>
  <w:style w:type="character" w:customStyle="1" w:styleId="438">
    <w:name w:val="深色列表 - 强调文字颜色 3 CharProp"/>
    <w:qFormat/>
    <w:uiPriority w:val="70"/>
    <w:rPr>
      <w:color w:val="FFFFFF" w:themeColor="background1"/>
      <w14:textFill>
        <w14:solidFill>
          <w14:schemeClr w14:val="bg1"/>
        </w14:solidFill>
      </w14:textFill>
    </w:rPr>
  </w:style>
  <w:style w:type="character" w:customStyle="1" w:styleId="439">
    <w:name w:val="深色列表 - 强调文字颜色 4 CharProp"/>
    <w:qFormat/>
    <w:uiPriority w:val="70"/>
    <w:rPr>
      <w:color w:val="FFFFFF" w:themeColor="background1"/>
      <w14:textFill>
        <w14:solidFill>
          <w14:schemeClr w14:val="bg1"/>
        </w14:solidFill>
      </w14:textFill>
    </w:rPr>
  </w:style>
  <w:style w:type="character" w:customStyle="1" w:styleId="440">
    <w:name w:val="深色列表 - 强调文字颜色 5 CharProp"/>
    <w:qFormat/>
    <w:uiPriority w:val="70"/>
    <w:rPr>
      <w:color w:val="FFFFFF" w:themeColor="background1"/>
      <w14:textFill>
        <w14:solidFill>
          <w14:schemeClr w14:val="bg1"/>
        </w14:solidFill>
      </w14:textFill>
    </w:rPr>
  </w:style>
  <w:style w:type="character" w:customStyle="1" w:styleId="441">
    <w:name w:val="深色列表 - 强调文字颜色 6 CharProp"/>
    <w:qFormat/>
    <w:uiPriority w:val="70"/>
    <w:rPr>
      <w:color w:val="FFFFFF" w:themeColor="background1"/>
      <w14:textFill>
        <w14:solidFill>
          <w14:schemeClr w14:val="bg1"/>
        </w14:solidFill>
      </w14:textFill>
    </w:rPr>
  </w:style>
  <w:style w:type="character" w:customStyle="1" w:styleId="442">
    <w:name w:val="彩色底纹 CharProp"/>
    <w:qFormat/>
    <w:uiPriority w:val="71"/>
    <w:rPr>
      <w:color w:val="000000" w:themeColor="text1"/>
      <w14:textFill>
        <w14:solidFill>
          <w14:schemeClr w14:val="tx1"/>
        </w14:solidFill>
      </w14:textFill>
    </w:rPr>
  </w:style>
  <w:style w:type="character" w:customStyle="1" w:styleId="443">
    <w:name w:val="彩色底纹 - 强调文字颜色 1 CharProp"/>
    <w:qFormat/>
    <w:uiPriority w:val="71"/>
    <w:rPr>
      <w:color w:val="000000" w:themeColor="text1"/>
      <w14:textFill>
        <w14:solidFill>
          <w14:schemeClr w14:val="tx1"/>
        </w14:solidFill>
      </w14:textFill>
    </w:rPr>
  </w:style>
  <w:style w:type="character" w:customStyle="1" w:styleId="444">
    <w:name w:val="彩色底纹 - 强调文字颜色 2 CharProp"/>
    <w:qFormat/>
    <w:uiPriority w:val="71"/>
    <w:rPr>
      <w:color w:val="000000" w:themeColor="text1"/>
      <w14:textFill>
        <w14:solidFill>
          <w14:schemeClr w14:val="tx1"/>
        </w14:solidFill>
      </w14:textFill>
    </w:rPr>
  </w:style>
  <w:style w:type="character" w:customStyle="1" w:styleId="445">
    <w:name w:val="彩色底纹 - 强调文字颜色 3 CharProp"/>
    <w:qFormat/>
    <w:uiPriority w:val="71"/>
    <w:rPr>
      <w:color w:val="000000" w:themeColor="text1"/>
      <w14:textFill>
        <w14:solidFill>
          <w14:schemeClr w14:val="tx1"/>
        </w14:solidFill>
      </w14:textFill>
    </w:rPr>
  </w:style>
  <w:style w:type="character" w:customStyle="1" w:styleId="446">
    <w:name w:val="彩色底纹 - 强调文字颜色 4 CharProp"/>
    <w:qFormat/>
    <w:uiPriority w:val="71"/>
    <w:rPr>
      <w:color w:val="000000" w:themeColor="text1"/>
      <w14:textFill>
        <w14:solidFill>
          <w14:schemeClr w14:val="tx1"/>
        </w14:solidFill>
      </w14:textFill>
    </w:rPr>
  </w:style>
  <w:style w:type="character" w:customStyle="1" w:styleId="447">
    <w:name w:val="彩色底纹 - 强调文字颜色 5 CharProp"/>
    <w:qFormat/>
    <w:uiPriority w:val="71"/>
    <w:rPr>
      <w:color w:val="000000" w:themeColor="text1"/>
      <w14:textFill>
        <w14:solidFill>
          <w14:schemeClr w14:val="tx1"/>
        </w14:solidFill>
      </w14:textFill>
    </w:rPr>
  </w:style>
  <w:style w:type="character" w:customStyle="1" w:styleId="448">
    <w:name w:val="彩色底纹 - 强调文字颜色 6 CharProp"/>
    <w:qFormat/>
    <w:uiPriority w:val="71"/>
    <w:rPr>
      <w:color w:val="000000" w:themeColor="text1"/>
      <w14:textFill>
        <w14:solidFill>
          <w14:schemeClr w14:val="tx1"/>
        </w14:solidFill>
      </w14:textFill>
    </w:rPr>
  </w:style>
  <w:style w:type="character" w:customStyle="1" w:styleId="449">
    <w:name w:val="彩色列表 CharProp"/>
    <w:qFormat/>
    <w:uiPriority w:val="72"/>
    <w:rPr>
      <w:color w:val="000000" w:themeColor="text1"/>
      <w14:textFill>
        <w14:solidFill>
          <w14:schemeClr w14:val="tx1"/>
        </w14:solidFill>
      </w14:textFill>
    </w:rPr>
  </w:style>
  <w:style w:type="character" w:customStyle="1" w:styleId="450">
    <w:name w:val="彩色列表 - 强调文字颜色 1 CharProp"/>
    <w:qFormat/>
    <w:uiPriority w:val="72"/>
    <w:rPr>
      <w:color w:val="000000" w:themeColor="text1"/>
      <w14:textFill>
        <w14:solidFill>
          <w14:schemeClr w14:val="tx1"/>
        </w14:solidFill>
      </w14:textFill>
    </w:rPr>
  </w:style>
  <w:style w:type="character" w:customStyle="1" w:styleId="451">
    <w:name w:val="彩色列表 - 强调文字颜色 2 CharProp"/>
    <w:qFormat/>
    <w:uiPriority w:val="72"/>
    <w:rPr>
      <w:color w:val="000000" w:themeColor="text1"/>
      <w14:textFill>
        <w14:solidFill>
          <w14:schemeClr w14:val="tx1"/>
        </w14:solidFill>
      </w14:textFill>
    </w:rPr>
  </w:style>
  <w:style w:type="character" w:customStyle="1" w:styleId="452">
    <w:name w:val="彩色列表 - 强调文字颜色 3 CharProp"/>
    <w:qFormat/>
    <w:uiPriority w:val="72"/>
    <w:rPr>
      <w:color w:val="000000" w:themeColor="text1"/>
      <w14:textFill>
        <w14:solidFill>
          <w14:schemeClr w14:val="tx1"/>
        </w14:solidFill>
      </w14:textFill>
    </w:rPr>
  </w:style>
  <w:style w:type="character" w:customStyle="1" w:styleId="453">
    <w:name w:val="彩色列表 - 强调文字颜色 4 CharProp"/>
    <w:qFormat/>
    <w:uiPriority w:val="72"/>
    <w:rPr>
      <w:color w:val="000000" w:themeColor="text1"/>
      <w14:textFill>
        <w14:solidFill>
          <w14:schemeClr w14:val="tx1"/>
        </w14:solidFill>
      </w14:textFill>
    </w:rPr>
  </w:style>
  <w:style w:type="character" w:customStyle="1" w:styleId="454">
    <w:name w:val="彩色列表 - 强调文字颜色 5 CharProp"/>
    <w:qFormat/>
    <w:uiPriority w:val="72"/>
    <w:rPr>
      <w:color w:val="000000" w:themeColor="text1"/>
      <w14:textFill>
        <w14:solidFill>
          <w14:schemeClr w14:val="tx1"/>
        </w14:solidFill>
      </w14:textFill>
    </w:rPr>
  </w:style>
  <w:style w:type="character" w:customStyle="1" w:styleId="455">
    <w:name w:val="彩色列表 - 强调文字颜色 6 CharProp"/>
    <w:qFormat/>
    <w:uiPriority w:val="72"/>
    <w:rPr>
      <w:color w:val="000000" w:themeColor="text1"/>
      <w14:textFill>
        <w14:solidFill>
          <w14:schemeClr w14:val="tx1"/>
        </w14:solidFill>
      </w14:textFill>
    </w:rPr>
  </w:style>
  <w:style w:type="character" w:customStyle="1" w:styleId="456">
    <w:name w:val="彩色网格 CharProp"/>
    <w:qFormat/>
    <w:uiPriority w:val="73"/>
    <w:rPr>
      <w:color w:val="000000" w:themeColor="text1"/>
      <w14:textFill>
        <w14:solidFill>
          <w14:schemeClr w14:val="tx1"/>
        </w14:solidFill>
      </w14:textFill>
    </w:rPr>
  </w:style>
  <w:style w:type="character" w:customStyle="1" w:styleId="457">
    <w:name w:val="彩色网格 - 强调文字颜色 1 CharProp"/>
    <w:qFormat/>
    <w:uiPriority w:val="73"/>
    <w:rPr>
      <w:color w:val="000000" w:themeColor="text1"/>
      <w14:textFill>
        <w14:solidFill>
          <w14:schemeClr w14:val="tx1"/>
        </w14:solidFill>
      </w14:textFill>
    </w:rPr>
  </w:style>
  <w:style w:type="character" w:customStyle="1" w:styleId="458">
    <w:name w:val="彩色网格 - 强调文字颜色 2 CharProp"/>
    <w:qFormat/>
    <w:uiPriority w:val="73"/>
    <w:rPr>
      <w:color w:val="000000" w:themeColor="text1"/>
      <w14:textFill>
        <w14:solidFill>
          <w14:schemeClr w14:val="tx1"/>
        </w14:solidFill>
      </w14:textFill>
    </w:rPr>
  </w:style>
  <w:style w:type="character" w:customStyle="1" w:styleId="459">
    <w:name w:val="彩色网格 - 强调文字颜色 3 CharProp"/>
    <w:qFormat/>
    <w:uiPriority w:val="73"/>
    <w:rPr>
      <w:color w:val="000000" w:themeColor="text1"/>
      <w14:textFill>
        <w14:solidFill>
          <w14:schemeClr w14:val="tx1"/>
        </w14:solidFill>
      </w14:textFill>
    </w:rPr>
  </w:style>
  <w:style w:type="character" w:customStyle="1" w:styleId="460">
    <w:name w:val="彩色网格 - 强调文字颜色 4 CharProp"/>
    <w:qFormat/>
    <w:uiPriority w:val="73"/>
    <w:rPr>
      <w:color w:val="000000" w:themeColor="text1"/>
      <w14:textFill>
        <w14:solidFill>
          <w14:schemeClr w14:val="tx1"/>
        </w14:solidFill>
      </w14:textFill>
    </w:rPr>
  </w:style>
  <w:style w:type="character" w:customStyle="1" w:styleId="461">
    <w:name w:val="彩色网格 - 强调文字颜色 5 CharProp"/>
    <w:qFormat/>
    <w:uiPriority w:val="73"/>
    <w:rPr>
      <w:color w:val="000000" w:themeColor="text1"/>
      <w14:textFill>
        <w14:solidFill>
          <w14:schemeClr w14:val="tx1"/>
        </w14:solidFill>
      </w14:textFill>
    </w:rPr>
  </w:style>
  <w:style w:type="character" w:customStyle="1" w:styleId="462">
    <w:name w:val="彩色网格 - 强调文字颜色 6 CharProp"/>
    <w:qFormat/>
    <w:uiPriority w:val="73"/>
    <w:rPr>
      <w:color w:val="000000" w:themeColor="text1"/>
      <w14:textFill>
        <w14:solidFill>
          <w14:schemeClr w14:val="tx1"/>
        </w14:solidFill>
      </w14:textFill>
    </w:rPr>
  </w:style>
  <w:style w:type="character" w:styleId="463">
    <w:name w:val="Strong"/>
    <w:basedOn w:val="319"/>
    <w:qFormat/>
    <w:uiPriority w:val="0"/>
    <w:rPr>
      <w:b/>
    </w:rPr>
  </w:style>
  <w:style w:type="character" w:styleId="464">
    <w:name w:val="endnote reference"/>
    <w:basedOn w:val="319"/>
    <w:qFormat/>
    <w:uiPriority w:val="0"/>
    <w:rPr>
      <w:vertAlign w:val="superscript"/>
    </w:rPr>
  </w:style>
  <w:style w:type="character" w:styleId="465">
    <w:name w:val="page number"/>
    <w:basedOn w:val="319"/>
    <w:qFormat/>
    <w:uiPriority w:val="0"/>
  </w:style>
  <w:style w:type="character" w:styleId="466">
    <w:name w:val="FollowedHyperlink"/>
    <w:basedOn w:val="319"/>
    <w:qFormat/>
    <w:uiPriority w:val="0"/>
    <w:rPr>
      <w:color w:val="800080" w:themeColor="followedHyperlink"/>
      <w:u w:val="single"/>
      <w14:textFill>
        <w14:solidFill>
          <w14:schemeClr w14:val="folHlink"/>
        </w14:solidFill>
      </w14:textFill>
    </w:rPr>
  </w:style>
  <w:style w:type="character" w:styleId="467">
    <w:name w:val="Emphasis"/>
    <w:basedOn w:val="319"/>
    <w:qFormat/>
    <w:uiPriority w:val="0"/>
    <w:rPr>
      <w:i/>
      <w:iCs/>
    </w:rPr>
  </w:style>
  <w:style w:type="character" w:styleId="468">
    <w:name w:val="line number"/>
    <w:basedOn w:val="319"/>
    <w:qFormat/>
    <w:uiPriority w:val="0"/>
  </w:style>
  <w:style w:type="character" w:styleId="469">
    <w:name w:val="HTML Definition"/>
    <w:basedOn w:val="319"/>
    <w:qFormat/>
    <w:uiPriority w:val="0"/>
    <w:rPr>
      <w:i/>
      <w:iCs/>
    </w:rPr>
  </w:style>
  <w:style w:type="character" w:styleId="470">
    <w:name w:val="HTML Typewriter"/>
    <w:basedOn w:val="319"/>
    <w:qFormat/>
    <w:uiPriority w:val="0"/>
    <w:rPr>
      <w:rFonts w:ascii="Courier New" w:hAnsi="Courier New" w:cs="Courier New"/>
      <w:sz w:val="20"/>
      <w:szCs w:val="20"/>
    </w:rPr>
  </w:style>
  <w:style w:type="character" w:styleId="471">
    <w:name w:val="HTML Acronym"/>
    <w:basedOn w:val="319"/>
    <w:qFormat/>
    <w:uiPriority w:val="0"/>
  </w:style>
  <w:style w:type="character" w:styleId="472">
    <w:name w:val="HTML Variable"/>
    <w:basedOn w:val="319"/>
    <w:qFormat/>
    <w:uiPriority w:val="0"/>
    <w:rPr>
      <w:i/>
      <w:iCs/>
    </w:rPr>
  </w:style>
  <w:style w:type="character" w:styleId="473">
    <w:name w:val="Hyperlink"/>
    <w:basedOn w:val="319"/>
    <w:qFormat/>
    <w:uiPriority w:val="99"/>
    <w:rPr>
      <w:color w:val="0000FF" w:themeColor="hyperlink"/>
      <w:u w:val="single"/>
      <w14:textFill>
        <w14:solidFill>
          <w14:schemeClr w14:val="hlink"/>
        </w14:solidFill>
      </w14:textFill>
    </w:rPr>
  </w:style>
  <w:style w:type="character" w:styleId="474">
    <w:name w:val="HTML Code"/>
    <w:basedOn w:val="319"/>
    <w:qFormat/>
    <w:uiPriority w:val="0"/>
    <w:rPr>
      <w:rFonts w:ascii="Courier New" w:hAnsi="Courier New" w:cs="Courier New"/>
      <w:sz w:val="20"/>
      <w:szCs w:val="20"/>
    </w:rPr>
  </w:style>
  <w:style w:type="character" w:styleId="475">
    <w:name w:val="annotation reference"/>
    <w:basedOn w:val="319"/>
    <w:qFormat/>
    <w:uiPriority w:val="0"/>
    <w:rPr>
      <w:sz w:val="21"/>
      <w:szCs w:val="21"/>
    </w:rPr>
  </w:style>
  <w:style w:type="character" w:styleId="476">
    <w:name w:val="HTML Cite"/>
    <w:basedOn w:val="319"/>
    <w:qFormat/>
    <w:uiPriority w:val="0"/>
    <w:rPr>
      <w:i/>
      <w:iCs/>
    </w:rPr>
  </w:style>
  <w:style w:type="character" w:styleId="477">
    <w:name w:val="footnote reference"/>
    <w:basedOn w:val="319"/>
    <w:qFormat/>
    <w:uiPriority w:val="0"/>
    <w:rPr>
      <w:vertAlign w:val="superscript"/>
    </w:rPr>
  </w:style>
  <w:style w:type="character" w:styleId="478">
    <w:name w:val="HTML Keyboard"/>
    <w:basedOn w:val="319"/>
    <w:qFormat/>
    <w:uiPriority w:val="0"/>
    <w:rPr>
      <w:rFonts w:ascii="Courier New" w:hAnsi="Courier New" w:cs="Courier New"/>
      <w:sz w:val="20"/>
      <w:szCs w:val="20"/>
    </w:rPr>
  </w:style>
  <w:style w:type="character" w:styleId="479">
    <w:name w:val="HTML Sample"/>
    <w:basedOn w:val="319"/>
    <w:qFormat/>
    <w:uiPriority w:val="0"/>
    <w:rPr>
      <w:rFonts w:ascii="Courier New" w:hAnsi="Courier New" w:cs="Courier New"/>
    </w:rPr>
  </w:style>
  <w:style w:type="character" w:customStyle="1" w:styleId="480">
    <w:name w:val="正文缩进311 CharProp3"/>
    <w:qFormat/>
    <w:uiPriority w:val="0"/>
    <w:rPr>
      <w:rFonts w:ascii="Calibri" w:hAnsi="Calibri" w:eastAsia="宋体" w:cs="Times New Roman"/>
      <w:sz w:val="21"/>
      <w:szCs w:val="22"/>
      <w:lang w:val="en-US" w:eastAsia="zh-CN" w:bidi="ar-SA"/>
    </w:rPr>
  </w:style>
  <w:style w:type="character" w:customStyle="1" w:styleId="481">
    <w:name w:val="正文缩进311 CharProp2"/>
    <w:qFormat/>
    <w:uiPriority w:val="0"/>
    <w:rPr>
      <w:rFonts w:ascii="Calibri" w:hAnsi="Calibri" w:eastAsia="宋体" w:cs="Times New Roman"/>
      <w:sz w:val="21"/>
      <w:szCs w:val="22"/>
      <w:lang w:val="en-US" w:eastAsia="zh-CN" w:bidi="ar-SA"/>
    </w:rPr>
  </w:style>
  <w:style w:type="character" w:customStyle="1" w:styleId="482">
    <w:name w:val="正文缩进311 CharProp1"/>
    <w:qFormat/>
    <w:uiPriority w:val="0"/>
    <w:rPr>
      <w:rFonts w:ascii="Calibri" w:hAnsi="Calibri" w:eastAsia="宋体" w:cs="Times New Roman"/>
      <w:sz w:val="21"/>
      <w:szCs w:val="22"/>
      <w:lang w:val="en-US" w:eastAsia="zh-CN" w:bidi="ar-SA"/>
    </w:rPr>
  </w:style>
  <w:style w:type="character" w:customStyle="1" w:styleId="483">
    <w:name w:val="正文缩进311 CharProp"/>
    <w:qFormat/>
    <w:uiPriority w:val="0"/>
    <w:rPr>
      <w:rFonts w:ascii="Calibri" w:hAnsi="Calibri" w:eastAsia="宋体" w:cs="Times New Roman"/>
      <w:sz w:val="21"/>
      <w:szCs w:val="22"/>
      <w:lang w:val="en-US" w:eastAsia="zh-CN" w:bidi="ar-SA"/>
    </w:rPr>
  </w:style>
  <w:style w:type="table" w:customStyle="1" w:styleId="484">
    <w:name w:val="Table Normal"/>
    <w:semiHidden/>
    <w:unhideWhenUsed/>
    <w:qFormat/>
    <w:uiPriority w:val="0"/>
    <w:tblPr>
      <w:tblCellMar>
        <w:top w:w="0" w:type="dxa"/>
        <w:left w:w="0" w:type="dxa"/>
        <w:bottom w:w="0" w:type="dxa"/>
        <w:right w:w="0" w:type="dxa"/>
      </w:tblCellMar>
    </w:tblPr>
  </w:style>
  <w:style w:type="paragraph" w:customStyle="1" w:styleId="485">
    <w:name w:val="Table Text"/>
    <w:basedOn w:val="1"/>
    <w:semiHidden/>
    <w:qFormat/>
    <w:uiPriority w:val="0"/>
    <w:rPr>
      <w:rFonts w:ascii="仿宋" w:hAnsi="仿宋" w:eastAsia="仿宋" w:cs="仿宋"/>
      <w:sz w:val="22"/>
      <w:szCs w:val="22"/>
    </w:rPr>
  </w:style>
  <w:style w:type="character" w:customStyle="1" w:styleId="486">
    <w:name w:val="Table Text CharProp3"/>
    <w:qFormat/>
    <w:uiPriority w:val="0"/>
    <w:rPr>
      <w:rFonts w:ascii="仿宋" w:hAnsi="仿宋" w:eastAsia="仿宋" w:cs="仿宋"/>
      <w:sz w:val="22"/>
      <w:szCs w:val="22"/>
    </w:rPr>
  </w:style>
  <w:style w:type="character" w:customStyle="1" w:styleId="487">
    <w:name w:val="Table Text CharProp2"/>
    <w:qFormat/>
    <w:uiPriority w:val="0"/>
    <w:rPr>
      <w:rFonts w:ascii="仿宋" w:hAnsi="仿宋" w:eastAsia="仿宋" w:cs="仿宋"/>
      <w:sz w:val="22"/>
      <w:szCs w:val="22"/>
    </w:rPr>
  </w:style>
  <w:style w:type="character" w:customStyle="1" w:styleId="488">
    <w:name w:val="Table Text CharProp1"/>
    <w:qFormat/>
    <w:uiPriority w:val="0"/>
    <w:rPr>
      <w:rFonts w:ascii="仿宋" w:hAnsi="仿宋" w:eastAsia="仿宋" w:cs="仿宋"/>
      <w:sz w:val="22"/>
      <w:szCs w:val="22"/>
    </w:rPr>
  </w:style>
  <w:style w:type="character" w:customStyle="1" w:styleId="489">
    <w:name w:val="Table Text CharProp"/>
    <w:qFormat/>
    <w:uiPriority w:val="0"/>
    <w:rPr>
      <w:rFonts w:ascii="仿宋" w:hAnsi="仿宋" w:eastAsia="仿宋" w:cs="仿宋"/>
      <w:sz w:val="22"/>
      <w:szCs w:val="22"/>
    </w:rPr>
  </w:style>
  <w:style w:type="paragraph" w:customStyle="1" w:styleId="490">
    <w:name w:val="正文文本首行缩进 21"/>
    <w:basedOn w:val="491"/>
    <w:qFormat/>
    <w:uiPriority w:val="0"/>
    <w:pPr>
      <w:ind w:firstLine="420"/>
    </w:pPr>
  </w:style>
  <w:style w:type="paragraph" w:customStyle="1" w:styleId="491">
    <w:name w:val="正文文本缩进1"/>
    <w:basedOn w:val="1"/>
    <w:qFormat/>
    <w:uiPriority w:val="0"/>
    <w:pPr>
      <w:spacing w:line="520" w:lineRule="exact"/>
      <w:ind w:firstLine="640" w:firstLineChars="200"/>
    </w:pPr>
    <w:rPr>
      <w:rFonts w:ascii="仿宋_GB2312" w:eastAsia="仿宋_GB2312"/>
      <w:sz w:val="32"/>
    </w:rPr>
  </w:style>
  <w:style w:type="character" w:customStyle="1" w:styleId="492">
    <w:name w:val="正文文本首行缩进 21 CharProp3"/>
    <w:qFormat/>
    <w:uiPriority w:val="0"/>
  </w:style>
  <w:style w:type="character" w:customStyle="1" w:styleId="493">
    <w:name w:val="正文文本缩进1 CharProp3"/>
    <w:qFormat/>
    <w:uiPriority w:val="0"/>
    <w:rPr>
      <w:rFonts w:ascii="仿宋_GB2312" w:eastAsia="仿宋_GB2312"/>
      <w:sz w:val="32"/>
    </w:rPr>
  </w:style>
  <w:style w:type="character" w:customStyle="1" w:styleId="494">
    <w:name w:val="正文文本首行缩进 21 CharProp2"/>
    <w:qFormat/>
    <w:uiPriority w:val="0"/>
  </w:style>
  <w:style w:type="character" w:customStyle="1" w:styleId="495">
    <w:name w:val="正文文本缩进1 CharProp2"/>
    <w:qFormat/>
    <w:uiPriority w:val="0"/>
    <w:rPr>
      <w:rFonts w:ascii="仿宋_GB2312" w:eastAsia="仿宋_GB2312"/>
      <w:sz w:val="32"/>
    </w:rPr>
  </w:style>
  <w:style w:type="character" w:customStyle="1" w:styleId="496">
    <w:name w:val="正文文本首行缩进 21 CharProp1"/>
    <w:qFormat/>
    <w:uiPriority w:val="0"/>
  </w:style>
  <w:style w:type="character" w:customStyle="1" w:styleId="497">
    <w:name w:val="正文文本缩进1 CharProp1"/>
    <w:qFormat/>
    <w:uiPriority w:val="0"/>
    <w:rPr>
      <w:rFonts w:ascii="仿宋_GB2312" w:eastAsia="仿宋_GB2312"/>
      <w:sz w:val="32"/>
    </w:rPr>
  </w:style>
  <w:style w:type="character" w:customStyle="1" w:styleId="498">
    <w:name w:val="正文文本首行缩进 21 CharProp"/>
    <w:qFormat/>
    <w:uiPriority w:val="0"/>
  </w:style>
  <w:style w:type="character" w:customStyle="1" w:styleId="499">
    <w:name w:val="正文文本缩进1 CharProp"/>
    <w:qFormat/>
    <w:uiPriority w:val="0"/>
    <w:rPr>
      <w:rFonts w:ascii="仿宋_GB2312" w:eastAsia="仿宋_GB2312"/>
      <w:sz w:val="32"/>
    </w:rPr>
  </w:style>
  <w:style w:type="character" w:customStyle="1" w:styleId="500">
    <w:name w:val="font21"/>
    <w:basedOn w:val="319"/>
    <w:qFormat/>
    <w:uiPriority w:val="0"/>
    <w:rPr>
      <w:rFonts w:hint="eastAsia" w:ascii="仿宋" w:hAnsi="仿宋" w:eastAsia="仿宋" w:cs="仿宋"/>
      <w:color w:val="000000"/>
      <w:sz w:val="22"/>
      <w:szCs w:val="22"/>
      <w:u w:val="none"/>
    </w:rPr>
  </w:style>
  <w:style w:type="character" w:customStyle="1" w:styleId="501">
    <w:name w:val="font11"/>
    <w:basedOn w:val="319"/>
    <w:qFormat/>
    <w:uiPriority w:val="0"/>
    <w:rPr>
      <w:rFonts w:hint="default" w:ascii="Calibri" w:hAnsi="Calibri" w:cs="Calibri"/>
      <w:color w:val="000000"/>
      <w:sz w:val="22"/>
      <w:szCs w:val="22"/>
      <w:u w:val="none"/>
    </w:rPr>
  </w:style>
  <w:style w:type="character" w:customStyle="1" w:styleId="502">
    <w:name w:val="font31"/>
    <w:basedOn w:val="319"/>
    <w:qFormat/>
    <w:uiPriority w:val="0"/>
    <w:rPr>
      <w:rFonts w:hint="eastAsia" w:ascii="宋体" w:hAnsi="宋体" w:eastAsia="宋体" w:cs="宋体"/>
      <w:color w:val="000000"/>
      <w:sz w:val="22"/>
      <w:szCs w:val="22"/>
      <w:u w:val="none"/>
    </w:rPr>
  </w:style>
  <w:style w:type="character" w:customStyle="1" w:styleId="503">
    <w:name w:val="font01"/>
    <w:basedOn w:val="319"/>
    <w:qFormat/>
    <w:uiPriority w:val="0"/>
    <w:rPr>
      <w:rFonts w:hint="eastAsia" w:ascii="宋体" w:hAnsi="宋体" w:eastAsia="宋体" w:cs="宋体"/>
      <w:color w:val="000000"/>
      <w:sz w:val="22"/>
      <w:szCs w:val="22"/>
      <w:u w:val="none"/>
    </w:rPr>
  </w:style>
  <w:style w:type="character" w:customStyle="1" w:styleId="504">
    <w:name w:val="font41"/>
    <w:basedOn w:val="319"/>
    <w:qFormat/>
    <w:uiPriority w:val="0"/>
    <w:rPr>
      <w:rFonts w:hint="eastAsia" w:ascii="宋体" w:hAnsi="宋体" w:eastAsia="宋体" w:cs="宋体"/>
      <w:color w:val="FF0000"/>
      <w:sz w:val="22"/>
      <w:szCs w:val="22"/>
      <w:u w:val="none"/>
    </w:rPr>
  </w:style>
  <w:style w:type="paragraph" w:customStyle="1" w:styleId="505">
    <w:name w:val="Default"/>
    <w:basedOn w:val="506"/>
    <w:unhideWhenUsed/>
    <w:qFormat/>
    <w:uiPriority w:val="99"/>
    <w:pPr>
      <w:widowControl w:val="0"/>
      <w:adjustRightInd w:val="0"/>
    </w:pPr>
    <w:rPr>
      <w:rFonts w:hint="eastAsia" w:ascii="方正仿宋_GBK" w:hAnsi="方正仿宋_GBK" w:eastAsia="方正仿宋_GBK" w:cs="Times New Roman"/>
      <w:sz w:val="24"/>
      <w:szCs w:val="22"/>
      <w:lang w:eastAsia="zh-CN"/>
    </w:rPr>
  </w:style>
  <w:style w:type="paragraph" w:customStyle="1" w:styleId="506">
    <w:name w:val="纯文本1"/>
    <w:basedOn w:val="1"/>
    <w:next w:val="46"/>
    <w:qFormat/>
    <w:uiPriority w:val="0"/>
    <w:pPr>
      <w:adjustRightInd/>
      <w:snapToGrid/>
    </w:pPr>
    <w:rPr>
      <w:rFonts w:ascii="宋体" w:eastAsia="宋体" w:cs="黑体"/>
    </w:rPr>
  </w:style>
  <w:style w:type="character" w:customStyle="1" w:styleId="507">
    <w:name w:val="Default CharProp3"/>
    <w:qFormat/>
    <w:uiPriority w:val="99"/>
    <w:rPr>
      <w:rFonts w:hint="eastAsia" w:ascii="方正仿宋_GBK" w:hAnsi="方正仿宋_GBK" w:eastAsia="方正仿宋_GBK" w:cs="Times New Roman"/>
      <w:sz w:val="24"/>
      <w:szCs w:val="22"/>
      <w:lang w:eastAsia="zh-CN"/>
    </w:rPr>
  </w:style>
  <w:style w:type="character" w:customStyle="1" w:styleId="508">
    <w:name w:val="纯文本1 CharProp3"/>
    <w:qFormat/>
    <w:uiPriority w:val="0"/>
    <w:rPr>
      <w:rFonts w:ascii="宋体" w:eastAsia="宋体" w:cs="黑体"/>
    </w:rPr>
  </w:style>
  <w:style w:type="character" w:customStyle="1" w:styleId="509">
    <w:name w:val="Default CharProp2"/>
    <w:qFormat/>
    <w:uiPriority w:val="99"/>
    <w:rPr>
      <w:rFonts w:hint="eastAsia" w:ascii="方正仿宋_GBK" w:hAnsi="方正仿宋_GBK" w:eastAsia="方正仿宋_GBK" w:cs="Times New Roman"/>
      <w:sz w:val="24"/>
      <w:szCs w:val="22"/>
      <w:lang w:eastAsia="zh-CN"/>
    </w:rPr>
  </w:style>
  <w:style w:type="character" w:customStyle="1" w:styleId="510">
    <w:name w:val="纯文本1 CharProp2"/>
    <w:qFormat/>
    <w:uiPriority w:val="0"/>
    <w:rPr>
      <w:rFonts w:ascii="宋体" w:eastAsia="宋体" w:cs="黑体"/>
    </w:rPr>
  </w:style>
  <w:style w:type="character" w:customStyle="1" w:styleId="511">
    <w:name w:val="Default CharProp1"/>
    <w:qFormat/>
    <w:uiPriority w:val="99"/>
    <w:rPr>
      <w:rFonts w:hint="eastAsia" w:ascii="方正仿宋_GBK" w:hAnsi="方正仿宋_GBK" w:eastAsia="方正仿宋_GBK" w:cs="Times New Roman"/>
      <w:sz w:val="24"/>
      <w:szCs w:val="22"/>
      <w:lang w:eastAsia="zh-CN"/>
    </w:rPr>
  </w:style>
  <w:style w:type="character" w:customStyle="1" w:styleId="512">
    <w:name w:val="纯文本1 CharProp1"/>
    <w:qFormat/>
    <w:uiPriority w:val="0"/>
    <w:rPr>
      <w:rFonts w:ascii="宋体" w:eastAsia="宋体" w:cs="黑体"/>
    </w:rPr>
  </w:style>
  <w:style w:type="character" w:customStyle="1" w:styleId="513">
    <w:name w:val="Default CharProp"/>
    <w:qFormat/>
    <w:uiPriority w:val="99"/>
    <w:rPr>
      <w:rFonts w:hint="eastAsia" w:ascii="方正仿宋_GBK" w:hAnsi="方正仿宋_GBK" w:eastAsia="方正仿宋_GBK" w:cs="Times New Roman"/>
      <w:sz w:val="24"/>
      <w:szCs w:val="22"/>
      <w:lang w:eastAsia="zh-CN"/>
    </w:rPr>
  </w:style>
  <w:style w:type="character" w:customStyle="1" w:styleId="514">
    <w:name w:val="纯文本1 CharProp"/>
    <w:qFormat/>
    <w:uiPriority w:val="0"/>
    <w:rPr>
      <w:rFonts w:ascii="宋体" w:eastAsia="宋体" w:cs="黑体"/>
    </w:rPr>
  </w:style>
  <w:style w:type="paragraph" w:customStyle="1" w:styleId="515">
    <w:name w:val="p2"/>
    <w:basedOn w:val="1"/>
    <w:qFormat/>
    <w:uiPriority w:val="0"/>
    <w:rPr>
      <w:rFonts w:ascii=".AppleSystemUIFont" w:hAnsi=".AppleSystemUIFont" w:eastAsia="宋体" w:cs="宋体"/>
      <w:sz w:val="29"/>
      <w:szCs w:val="29"/>
    </w:rPr>
  </w:style>
  <w:style w:type="character" w:customStyle="1" w:styleId="516">
    <w:name w:val="p2 CharProp3"/>
    <w:qFormat/>
    <w:uiPriority w:val="0"/>
    <w:rPr>
      <w:rFonts w:ascii=".AppleSystemUIFont" w:hAnsi=".AppleSystemUIFont" w:eastAsia="宋体" w:cs="宋体"/>
      <w:sz w:val="29"/>
      <w:szCs w:val="29"/>
    </w:rPr>
  </w:style>
  <w:style w:type="character" w:customStyle="1" w:styleId="517">
    <w:name w:val="p2 CharProp2"/>
    <w:qFormat/>
    <w:uiPriority w:val="0"/>
    <w:rPr>
      <w:rFonts w:ascii=".AppleSystemUIFont" w:hAnsi=".AppleSystemUIFont" w:eastAsia="宋体" w:cs="宋体"/>
      <w:sz w:val="29"/>
      <w:szCs w:val="29"/>
    </w:rPr>
  </w:style>
  <w:style w:type="character" w:customStyle="1" w:styleId="518">
    <w:name w:val="p2 CharProp1"/>
    <w:qFormat/>
    <w:uiPriority w:val="0"/>
    <w:rPr>
      <w:rFonts w:ascii=".AppleSystemUIFont" w:hAnsi=".AppleSystemUIFont" w:eastAsia="宋体" w:cs="宋体"/>
      <w:sz w:val="29"/>
      <w:szCs w:val="29"/>
    </w:rPr>
  </w:style>
  <w:style w:type="character" w:customStyle="1" w:styleId="519">
    <w:name w:val="p2 CharProp"/>
    <w:qFormat/>
    <w:uiPriority w:val="0"/>
    <w:rPr>
      <w:rFonts w:ascii=".AppleSystemUIFont" w:hAnsi=".AppleSystemUIFont" w:eastAsia="宋体" w:cs="宋体"/>
      <w:sz w:val="29"/>
      <w:szCs w:val="29"/>
    </w:rPr>
  </w:style>
  <w:style w:type="character" w:customStyle="1" w:styleId="520">
    <w:name w:val="s2"/>
    <w:basedOn w:val="319"/>
    <w:qFormat/>
    <w:uiPriority w:val="0"/>
    <w:rPr>
      <w:rFonts w:hint="default" w:ascii="UICTFontTextStyleBody" w:hAnsi="UICTFontTextStyleBody"/>
      <w:sz w:val="29"/>
      <w:szCs w:val="29"/>
    </w:rPr>
  </w:style>
  <w:style w:type="character" w:customStyle="1" w:styleId="521">
    <w:name w:val="s3"/>
    <w:basedOn w:val="319"/>
    <w:qFormat/>
    <w:uiPriority w:val="0"/>
    <w:rPr>
      <w:rFonts w:hint="default" w:ascii="UICTFontTextStyleEmphasizedBody" w:hAnsi="UICTFontTextStyleEmphasizedBody"/>
      <w:b/>
      <w:bCs/>
      <w:sz w:val="29"/>
      <w:szCs w:val="29"/>
    </w:rPr>
  </w:style>
  <w:style w:type="paragraph" w:customStyle="1" w:styleId="522">
    <w:name w:val="p3"/>
    <w:basedOn w:val="1"/>
    <w:qFormat/>
    <w:uiPriority w:val="0"/>
    <w:rPr>
      <w:rFonts w:ascii=".AppleSystemUIFont" w:hAnsi=".AppleSystemUIFont" w:eastAsia="宋体" w:cs="宋体"/>
      <w:sz w:val="29"/>
      <w:szCs w:val="29"/>
    </w:rPr>
  </w:style>
  <w:style w:type="character" w:customStyle="1" w:styleId="523">
    <w:name w:val="p3 CharProp3"/>
    <w:qFormat/>
    <w:uiPriority w:val="0"/>
    <w:rPr>
      <w:rFonts w:ascii=".AppleSystemUIFont" w:hAnsi=".AppleSystemUIFont" w:eastAsia="宋体" w:cs="宋体"/>
      <w:sz w:val="29"/>
      <w:szCs w:val="29"/>
    </w:rPr>
  </w:style>
  <w:style w:type="character" w:customStyle="1" w:styleId="524">
    <w:name w:val="p3 CharProp2"/>
    <w:qFormat/>
    <w:uiPriority w:val="0"/>
    <w:rPr>
      <w:rFonts w:ascii=".AppleSystemUIFont" w:hAnsi=".AppleSystemUIFont" w:eastAsia="宋体" w:cs="宋体"/>
      <w:sz w:val="29"/>
      <w:szCs w:val="29"/>
    </w:rPr>
  </w:style>
  <w:style w:type="character" w:customStyle="1" w:styleId="525">
    <w:name w:val="p3 CharProp1"/>
    <w:qFormat/>
    <w:uiPriority w:val="0"/>
    <w:rPr>
      <w:rFonts w:ascii=".AppleSystemUIFont" w:hAnsi=".AppleSystemUIFont" w:eastAsia="宋体" w:cs="宋体"/>
      <w:sz w:val="29"/>
      <w:szCs w:val="29"/>
    </w:rPr>
  </w:style>
  <w:style w:type="character" w:customStyle="1" w:styleId="526">
    <w:name w:val="p3 CharProp"/>
    <w:qFormat/>
    <w:uiPriority w:val="0"/>
    <w:rPr>
      <w:rFonts w:ascii=".AppleSystemUIFont" w:hAnsi=".AppleSystemUIFont" w:eastAsia="宋体" w:cs="宋体"/>
      <w:sz w:val="29"/>
      <w:szCs w:val="29"/>
    </w:rPr>
  </w:style>
  <w:style w:type="paragraph" w:customStyle="1" w:styleId="527">
    <w:name w:val="li2"/>
    <w:basedOn w:val="1"/>
    <w:qFormat/>
    <w:uiPriority w:val="0"/>
    <w:rPr>
      <w:rFonts w:ascii=".AppleSystemUIFont" w:hAnsi=".AppleSystemUIFont" w:eastAsia="宋体" w:cs="宋体"/>
      <w:sz w:val="29"/>
      <w:szCs w:val="29"/>
    </w:rPr>
  </w:style>
  <w:style w:type="character" w:customStyle="1" w:styleId="528">
    <w:name w:val="li2 CharProp3"/>
    <w:qFormat/>
    <w:uiPriority w:val="0"/>
    <w:rPr>
      <w:rFonts w:ascii=".AppleSystemUIFont" w:hAnsi=".AppleSystemUIFont" w:eastAsia="宋体" w:cs="宋体"/>
      <w:sz w:val="29"/>
      <w:szCs w:val="29"/>
    </w:rPr>
  </w:style>
  <w:style w:type="character" w:customStyle="1" w:styleId="529">
    <w:name w:val="li2 CharProp2"/>
    <w:qFormat/>
    <w:uiPriority w:val="0"/>
    <w:rPr>
      <w:rFonts w:ascii=".AppleSystemUIFont" w:hAnsi=".AppleSystemUIFont" w:eastAsia="宋体" w:cs="宋体"/>
      <w:sz w:val="29"/>
      <w:szCs w:val="29"/>
    </w:rPr>
  </w:style>
  <w:style w:type="character" w:customStyle="1" w:styleId="530">
    <w:name w:val="li2 CharProp1"/>
    <w:qFormat/>
    <w:uiPriority w:val="0"/>
    <w:rPr>
      <w:rFonts w:ascii=".AppleSystemUIFont" w:hAnsi=".AppleSystemUIFont" w:eastAsia="宋体" w:cs="宋体"/>
      <w:sz w:val="29"/>
      <w:szCs w:val="29"/>
    </w:rPr>
  </w:style>
  <w:style w:type="character" w:customStyle="1" w:styleId="531">
    <w:name w:val="li2 CharProp"/>
    <w:qFormat/>
    <w:uiPriority w:val="0"/>
    <w:rPr>
      <w:rFonts w:ascii=".AppleSystemUIFont" w:hAnsi=".AppleSystemUIFont" w:eastAsia="宋体" w:cs="宋体"/>
      <w:sz w:val="29"/>
      <w:szCs w:val="29"/>
    </w:rPr>
  </w:style>
  <w:style w:type="paragraph" w:customStyle="1" w:styleId="532">
    <w:name w:val="WPSOffice手动目录 1"/>
    <w:qFormat/>
    <w:uiPriority w:val="0"/>
    <w:rPr>
      <w:rFonts w:ascii="Times New Roman" w:hAnsi="Times New Roman" w:eastAsia="宋体" w:cs="Times New Roman"/>
      <w:lang w:val="en-US" w:eastAsia="zh-CN" w:bidi="ar-SA"/>
    </w:rPr>
  </w:style>
  <w:style w:type="character" w:customStyle="1" w:styleId="533">
    <w:name w:val="WPSOffice手动目录 1 CharProp3"/>
    <w:qFormat/>
    <w:uiPriority w:val="0"/>
    <w:rPr>
      <w:rFonts w:ascii="Times New Roman" w:hAnsi="Times New Roman" w:eastAsia="宋体" w:cs="Times New Roman"/>
      <w:lang w:val="en-US" w:eastAsia="zh-CN" w:bidi="ar-SA"/>
    </w:rPr>
  </w:style>
  <w:style w:type="character" w:customStyle="1" w:styleId="534">
    <w:name w:val="WPSOffice手动目录 1 CharProp2"/>
    <w:qFormat/>
    <w:uiPriority w:val="0"/>
    <w:rPr>
      <w:rFonts w:ascii="Times New Roman" w:hAnsi="Times New Roman" w:eastAsia="宋体" w:cs="Times New Roman"/>
      <w:lang w:val="en-US" w:eastAsia="zh-CN" w:bidi="ar-SA"/>
    </w:rPr>
  </w:style>
  <w:style w:type="character" w:customStyle="1" w:styleId="535">
    <w:name w:val="WPSOffice手动目录 1 CharProp1"/>
    <w:qFormat/>
    <w:uiPriority w:val="0"/>
    <w:rPr>
      <w:rFonts w:ascii="Times New Roman" w:hAnsi="Times New Roman" w:eastAsia="宋体" w:cs="Times New Roman"/>
      <w:lang w:val="en-US" w:eastAsia="zh-CN" w:bidi="ar-SA"/>
    </w:rPr>
  </w:style>
  <w:style w:type="character" w:customStyle="1" w:styleId="536">
    <w:name w:val="WPSOffice手动目录 1 CharProp"/>
    <w:qFormat/>
    <w:uiPriority w:val="0"/>
    <w:rPr>
      <w:rFonts w:ascii="Times New Roman" w:hAnsi="Times New Roman" w:eastAsia="宋体" w:cs="Times New Roman"/>
      <w:lang w:val="en-US" w:eastAsia="zh-CN" w:bidi="ar-SA"/>
    </w:rPr>
  </w:style>
  <w:style w:type="paragraph" w:customStyle="1" w:styleId="537">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38">
    <w:name w:val="WPSOffice手动目录 2 CharProp3"/>
    <w:qFormat/>
    <w:uiPriority w:val="0"/>
    <w:rPr>
      <w:rFonts w:ascii="Times New Roman" w:hAnsi="Times New Roman" w:eastAsia="宋体" w:cs="Times New Roman"/>
      <w:lang w:val="en-US" w:eastAsia="zh-CN" w:bidi="ar-SA"/>
    </w:rPr>
  </w:style>
  <w:style w:type="character" w:customStyle="1" w:styleId="539">
    <w:name w:val="WPSOffice手动目录 2 CharProp2"/>
    <w:qFormat/>
    <w:uiPriority w:val="0"/>
    <w:rPr>
      <w:rFonts w:ascii="Times New Roman" w:hAnsi="Times New Roman" w:eastAsia="宋体" w:cs="Times New Roman"/>
      <w:lang w:val="en-US" w:eastAsia="zh-CN" w:bidi="ar-SA"/>
    </w:rPr>
  </w:style>
  <w:style w:type="character" w:customStyle="1" w:styleId="540">
    <w:name w:val="WPSOffice手动目录 2 CharProp1"/>
    <w:qFormat/>
    <w:uiPriority w:val="0"/>
    <w:rPr>
      <w:rFonts w:ascii="Times New Roman" w:hAnsi="Times New Roman" w:eastAsia="宋体" w:cs="Times New Roman"/>
      <w:lang w:val="en-US" w:eastAsia="zh-CN" w:bidi="ar-SA"/>
    </w:rPr>
  </w:style>
  <w:style w:type="character" w:customStyle="1" w:styleId="541">
    <w:name w:val="WPSOffice手动目录 2 CharProp"/>
    <w:qFormat/>
    <w:uiPriority w:val="0"/>
    <w:rPr>
      <w:rFonts w:ascii="Times New Roman" w:hAnsi="Times New Roman" w:eastAsia="宋体" w:cs="Times New Roman"/>
      <w:lang w:val="en-US" w:eastAsia="zh-CN" w:bidi="ar-SA"/>
    </w:rPr>
  </w:style>
  <w:style w:type="paragraph" w:customStyle="1" w:styleId="54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43">
    <w:name w:val="WPSOffice手动目录 3 CharProp3"/>
    <w:qFormat/>
    <w:uiPriority w:val="0"/>
    <w:rPr>
      <w:rFonts w:ascii="Times New Roman" w:hAnsi="Times New Roman" w:eastAsia="宋体" w:cs="Times New Roman"/>
      <w:lang w:val="en-US" w:eastAsia="zh-CN" w:bidi="ar-SA"/>
    </w:rPr>
  </w:style>
  <w:style w:type="character" w:customStyle="1" w:styleId="544">
    <w:name w:val="WPSOffice手动目录 3 CharProp2"/>
    <w:qFormat/>
    <w:uiPriority w:val="0"/>
    <w:rPr>
      <w:rFonts w:ascii="Times New Roman" w:hAnsi="Times New Roman" w:eastAsia="宋体" w:cs="Times New Roman"/>
      <w:lang w:val="en-US" w:eastAsia="zh-CN" w:bidi="ar-SA"/>
    </w:rPr>
  </w:style>
  <w:style w:type="character" w:customStyle="1" w:styleId="545">
    <w:name w:val="WPSOffice手动目录 3 CharProp1"/>
    <w:qFormat/>
    <w:uiPriority w:val="0"/>
    <w:rPr>
      <w:rFonts w:ascii="Times New Roman" w:hAnsi="Times New Roman" w:eastAsia="宋体" w:cs="Times New Roman"/>
      <w:lang w:val="en-US" w:eastAsia="zh-CN" w:bidi="ar-SA"/>
    </w:rPr>
  </w:style>
  <w:style w:type="character" w:customStyle="1" w:styleId="546">
    <w:name w:val="WPSOffice手动目录 3 CharProp"/>
    <w:qFormat/>
    <w:uiPriority w:val="0"/>
    <w:rPr>
      <w:rFonts w:ascii="Times New Roman" w:hAnsi="Times New Roman" w:eastAsia="宋体" w:cs="Times New Roman"/>
      <w:lang w:val="en-US" w:eastAsia="zh-CN" w:bidi="ar-SA"/>
    </w:rPr>
  </w:style>
  <w:style w:type="character" w:customStyle="1" w:styleId="547">
    <w:name w:val="批注文字 字符"/>
    <w:basedOn w:val="319"/>
    <w:link w:val="28"/>
    <w:qFormat/>
    <w:uiPriority w:val="0"/>
    <w:rPr>
      <w:rFonts w:ascii="Arial" w:hAnsi="Arial" w:eastAsia="Arial" w:cs="Arial"/>
      <w:snapToGrid w:val="0"/>
      <w:color w:val="000000"/>
      <w:sz w:val="21"/>
      <w:szCs w:val="21"/>
      <w:lang w:eastAsia="en-US"/>
    </w:rPr>
  </w:style>
  <w:style w:type="character" w:customStyle="1" w:styleId="548">
    <w:name w:val="批注主题 字符"/>
    <w:basedOn w:val="547"/>
    <w:link w:val="86"/>
    <w:qFormat/>
    <w:uiPriority w:val="0"/>
    <w:rPr>
      <w:rFonts w:ascii="Arial" w:hAnsi="Arial" w:eastAsia="Arial" w:cs="Arial"/>
      <w:b/>
      <w:bCs/>
      <w:snapToGrid w:val="0"/>
      <w:color w:val="000000"/>
      <w:sz w:val="21"/>
      <w:szCs w:val="21"/>
      <w:lang w:eastAsia="en-US"/>
    </w:rPr>
  </w:style>
  <w:style w:type="character" w:customStyle="1" w:styleId="549">
    <w:name w:val="页脚 字符"/>
    <w:basedOn w:val="319"/>
    <w:link w:val="57"/>
    <w:qFormat/>
    <w:uiPriority w:val="99"/>
    <w:rPr>
      <w:rFonts w:ascii="Arial" w:hAnsi="Arial" w:eastAsia="Arial" w:cs="Arial"/>
      <w:snapToGrid w:val="0"/>
      <w:color w:val="000000"/>
      <w:sz w:val="18"/>
      <w:szCs w:val="18"/>
      <w:lang w:eastAsia="en-US"/>
    </w:rPr>
  </w:style>
  <w:style w:type="character" w:customStyle="1" w:styleId="550">
    <w:name w:val="@他1"/>
    <w:basedOn w:val="319"/>
    <w:semiHidden/>
    <w:unhideWhenUsed/>
    <w:qFormat/>
    <w:uiPriority w:val="99"/>
    <w:rPr>
      <w:color w:val="2B579A"/>
      <w:shd w:val="clear" w:color="auto" w:fill="E1DFDD"/>
    </w:rPr>
  </w:style>
  <w:style w:type="character" w:customStyle="1" w:styleId="551">
    <w:name w:val="HTML 地址 字符"/>
    <w:basedOn w:val="319"/>
    <w:link w:val="42"/>
    <w:qFormat/>
    <w:uiPriority w:val="0"/>
    <w:rPr>
      <w:rFonts w:ascii="Arial" w:hAnsi="Arial" w:eastAsia="Arial" w:cs="Arial"/>
      <w:i/>
      <w:iCs/>
      <w:snapToGrid w:val="0"/>
      <w:color w:val="000000"/>
      <w:sz w:val="21"/>
      <w:szCs w:val="21"/>
      <w:lang w:eastAsia="en-US"/>
    </w:rPr>
  </w:style>
  <w:style w:type="character" w:customStyle="1" w:styleId="552">
    <w:name w:val="HTML 预设格式 字符"/>
    <w:basedOn w:val="319"/>
    <w:link w:val="81"/>
    <w:qFormat/>
    <w:uiPriority w:val="0"/>
    <w:rPr>
      <w:rFonts w:ascii="Courier New" w:hAnsi="Courier New" w:eastAsia="Arial" w:cs="Courier New"/>
      <w:snapToGrid w:val="0"/>
      <w:color w:val="000000"/>
      <w:lang w:eastAsia="en-US"/>
    </w:rPr>
  </w:style>
  <w:style w:type="paragraph" w:customStyle="1" w:styleId="553">
    <w:name w:val="TOC 标题1"/>
    <w:basedOn w:val="3"/>
    <w:next w:val="1"/>
    <w:semiHidden/>
    <w:unhideWhenUsed/>
    <w:qFormat/>
    <w:uiPriority w:val="39"/>
    <w:pPr>
      <w:spacing w:line="578" w:lineRule="auto"/>
      <w:outlineLvl w:val="9"/>
    </w:pPr>
    <w:rPr>
      <w:bCs/>
      <w:szCs w:val="44"/>
    </w:rPr>
  </w:style>
  <w:style w:type="character" w:customStyle="1" w:styleId="554">
    <w:name w:val="TOC 标题1 CharProp3"/>
    <w:qFormat/>
    <w:uiPriority w:val="39"/>
    <w:rPr>
      <w:bCs/>
      <w:szCs w:val="44"/>
    </w:rPr>
  </w:style>
  <w:style w:type="character" w:customStyle="1" w:styleId="555">
    <w:name w:val="TOC 标题1 CharProp2"/>
    <w:qFormat/>
    <w:uiPriority w:val="39"/>
    <w:rPr>
      <w:bCs/>
      <w:szCs w:val="44"/>
    </w:rPr>
  </w:style>
  <w:style w:type="character" w:customStyle="1" w:styleId="556">
    <w:name w:val="TOC 标题1 CharProp1"/>
    <w:qFormat/>
    <w:uiPriority w:val="39"/>
    <w:rPr>
      <w:bCs/>
      <w:szCs w:val="44"/>
    </w:rPr>
  </w:style>
  <w:style w:type="character" w:customStyle="1" w:styleId="557">
    <w:name w:val="TOC 标题1 CharProp"/>
    <w:qFormat/>
    <w:uiPriority w:val="39"/>
    <w:rPr>
      <w:bCs/>
      <w:szCs w:val="44"/>
    </w:rPr>
  </w:style>
  <w:style w:type="character" w:customStyle="1" w:styleId="558">
    <w:name w:val="标题 字符"/>
    <w:basedOn w:val="319"/>
    <w:link w:val="85"/>
    <w:qFormat/>
    <w:uiPriority w:val="0"/>
    <w:rPr>
      <w:rFonts w:asciiTheme="majorHAnsi" w:hAnsiTheme="majorHAnsi" w:eastAsiaTheme="majorEastAsia" w:cstheme="majorBidi"/>
      <w:b/>
      <w:bCs/>
      <w:snapToGrid w:val="0"/>
      <w:color w:val="000000"/>
      <w:sz w:val="32"/>
      <w:szCs w:val="32"/>
      <w:lang w:eastAsia="en-US"/>
    </w:rPr>
  </w:style>
  <w:style w:type="character" w:customStyle="1" w:styleId="559">
    <w:name w:val="标题 5 字符"/>
    <w:basedOn w:val="319"/>
    <w:link w:val="7"/>
    <w:semiHidden/>
    <w:qFormat/>
    <w:uiPriority w:val="0"/>
    <w:rPr>
      <w:rFonts w:ascii="Arial" w:hAnsi="Arial" w:eastAsia="Arial" w:cs="Arial"/>
      <w:b/>
      <w:bCs/>
      <w:snapToGrid w:val="0"/>
      <w:color w:val="000000"/>
      <w:sz w:val="28"/>
      <w:szCs w:val="28"/>
      <w:lang w:eastAsia="en-US"/>
    </w:rPr>
  </w:style>
  <w:style w:type="character" w:customStyle="1" w:styleId="560">
    <w:name w:val="标题 6 字符"/>
    <w:basedOn w:val="319"/>
    <w:link w:val="8"/>
    <w:semiHidden/>
    <w:qFormat/>
    <w:uiPriority w:val="0"/>
    <w:rPr>
      <w:rFonts w:asciiTheme="majorHAnsi" w:hAnsiTheme="majorHAnsi" w:eastAsiaTheme="majorEastAsia" w:cstheme="majorBidi"/>
      <w:b/>
      <w:bCs/>
      <w:snapToGrid w:val="0"/>
      <w:color w:val="000000"/>
      <w:sz w:val="24"/>
      <w:szCs w:val="24"/>
      <w:lang w:eastAsia="en-US"/>
    </w:rPr>
  </w:style>
  <w:style w:type="character" w:customStyle="1" w:styleId="561">
    <w:name w:val="标题 7 字符"/>
    <w:basedOn w:val="319"/>
    <w:link w:val="9"/>
    <w:semiHidden/>
    <w:qFormat/>
    <w:uiPriority w:val="0"/>
    <w:rPr>
      <w:rFonts w:ascii="Arial" w:hAnsi="Arial" w:eastAsia="Arial" w:cs="Arial"/>
      <w:b/>
      <w:bCs/>
      <w:snapToGrid w:val="0"/>
      <w:color w:val="000000"/>
      <w:sz w:val="24"/>
      <w:szCs w:val="24"/>
      <w:lang w:eastAsia="en-US"/>
    </w:rPr>
  </w:style>
  <w:style w:type="character" w:customStyle="1" w:styleId="562">
    <w:name w:val="标题 8 字符"/>
    <w:basedOn w:val="319"/>
    <w:link w:val="10"/>
    <w:semiHidden/>
    <w:qFormat/>
    <w:uiPriority w:val="0"/>
    <w:rPr>
      <w:rFonts w:asciiTheme="majorHAnsi" w:hAnsiTheme="majorHAnsi" w:eastAsiaTheme="majorEastAsia" w:cstheme="majorBidi"/>
      <w:snapToGrid w:val="0"/>
      <w:color w:val="000000"/>
      <w:sz w:val="24"/>
      <w:szCs w:val="24"/>
      <w:lang w:eastAsia="en-US"/>
    </w:rPr>
  </w:style>
  <w:style w:type="character" w:customStyle="1" w:styleId="563">
    <w:name w:val="标题 9 字符"/>
    <w:basedOn w:val="319"/>
    <w:link w:val="11"/>
    <w:semiHidden/>
    <w:qFormat/>
    <w:uiPriority w:val="0"/>
    <w:rPr>
      <w:rFonts w:asciiTheme="majorHAnsi" w:hAnsiTheme="majorHAnsi" w:eastAsiaTheme="majorEastAsia" w:cstheme="majorBidi"/>
      <w:snapToGrid w:val="0"/>
      <w:color w:val="000000"/>
      <w:sz w:val="21"/>
      <w:szCs w:val="21"/>
      <w:lang w:eastAsia="en-US"/>
    </w:rPr>
  </w:style>
  <w:style w:type="character" w:customStyle="1" w:styleId="564">
    <w:name w:val="不明显参考1"/>
    <w:basedOn w:val="319"/>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65">
    <w:name w:val="不明显强调1"/>
    <w:basedOn w:val="319"/>
    <w:qFormat/>
    <w:uiPriority w:val="19"/>
    <w:rPr>
      <w:i/>
      <w:iCs/>
      <w:color w:val="404040" w:themeColor="text1" w:themeTint="BF"/>
      <w14:textFill>
        <w14:solidFill>
          <w14:schemeClr w14:val="tx1">
            <w14:lumMod w14:val="75000"/>
            <w14:lumOff w14:val="25000"/>
          </w14:schemeClr>
        </w14:solidFill>
      </w14:textFill>
    </w:rPr>
  </w:style>
  <w:style w:type="character" w:customStyle="1" w:styleId="566">
    <w:name w:val="称呼 字符"/>
    <w:basedOn w:val="319"/>
    <w:link w:val="30"/>
    <w:qFormat/>
    <w:uiPriority w:val="0"/>
    <w:rPr>
      <w:rFonts w:ascii="Arial" w:hAnsi="Arial" w:eastAsia="Arial" w:cs="Arial"/>
      <w:snapToGrid w:val="0"/>
      <w:color w:val="000000"/>
      <w:sz w:val="21"/>
      <w:szCs w:val="21"/>
      <w:lang w:eastAsia="en-US"/>
    </w:rPr>
  </w:style>
  <w:style w:type="character" w:customStyle="1" w:styleId="567">
    <w:name w:val="电子邮件签名 字符"/>
    <w:basedOn w:val="319"/>
    <w:link w:val="19"/>
    <w:qFormat/>
    <w:uiPriority w:val="0"/>
    <w:rPr>
      <w:rFonts w:ascii="Arial" w:hAnsi="Arial" w:eastAsia="Arial" w:cs="Arial"/>
      <w:snapToGrid w:val="0"/>
      <w:color w:val="000000"/>
      <w:sz w:val="21"/>
      <w:szCs w:val="21"/>
      <w:lang w:eastAsia="en-US"/>
    </w:rPr>
  </w:style>
  <w:style w:type="character" w:customStyle="1" w:styleId="568">
    <w:name w:val="副标题 字符"/>
    <w:basedOn w:val="319"/>
    <w:link w:val="65"/>
    <w:qFormat/>
    <w:uiPriority w:val="0"/>
    <w:rPr>
      <w:rFonts w:asciiTheme="minorHAnsi" w:hAnsiTheme="minorHAnsi" w:eastAsiaTheme="minorEastAsia" w:cstheme="minorBidi"/>
      <w:b/>
      <w:bCs/>
      <w:snapToGrid w:val="0"/>
      <w:color w:val="000000"/>
      <w:kern w:val="28"/>
      <w:sz w:val="32"/>
      <w:szCs w:val="32"/>
      <w:lang w:eastAsia="en-US"/>
    </w:rPr>
  </w:style>
  <w:style w:type="character" w:customStyle="1" w:styleId="569">
    <w:name w:val="宏文本 字符"/>
    <w:basedOn w:val="319"/>
    <w:link w:val="2"/>
    <w:qFormat/>
    <w:uiPriority w:val="0"/>
    <w:rPr>
      <w:rFonts w:ascii="Courier New" w:hAnsi="Courier New" w:cs="Courier New"/>
      <w:snapToGrid w:val="0"/>
      <w:color w:val="000000"/>
      <w:sz w:val="24"/>
      <w:szCs w:val="24"/>
      <w:lang w:eastAsia="en-US"/>
    </w:rPr>
  </w:style>
  <w:style w:type="character" w:customStyle="1" w:styleId="570">
    <w:name w:val="脚注文本 字符"/>
    <w:basedOn w:val="319"/>
    <w:link w:val="68"/>
    <w:qFormat/>
    <w:uiPriority w:val="0"/>
    <w:rPr>
      <w:rFonts w:ascii="Arial" w:hAnsi="Arial" w:eastAsia="Arial" w:cs="Arial"/>
      <w:snapToGrid w:val="0"/>
      <w:color w:val="000000"/>
      <w:sz w:val="18"/>
      <w:szCs w:val="18"/>
      <w:lang w:eastAsia="en-US"/>
    </w:rPr>
  </w:style>
  <w:style w:type="character" w:customStyle="1" w:styleId="571">
    <w:name w:val="结束语 字符"/>
    <w:basedOn w:val="319"/>
    <w:link w:val="32"/>
    <w:qFormat/>
    <w:uiPriority w:val="0"/>
    <w:rPr>
      <w:rFonts w:ascii="Arial" w:hAnsi="Arial" w:eastAsia="Arial" w:cs="Arial"/>
      <w:snapToGrid w:val="0"/>
      <w:color w:val="000000"/>
      <w:sz w:val="21"/>
      <w:szCs w:val="21"/>
      <w:lang w:eastAsia="en-US"/>
    </w:rPr>
  </w:style>
  <w:style w:type="character" w:customStyle="1" w:styleId="572">
    <w:name w:val="井号标签1"/>
    <w:basedOn w:val="319"/>
    <w:semiHidden/>
    <w:unhideWhenUsed/>
    <w:qFormat/>
    <w:uiPriority w:val="99"/>
    <w:rPr>
      <w:color w:val="2B579A"/>
      <w:shd w:val="clear" w:color="auto" w:fill="E1DFDD"/>
    </w:rPr>
  </w:style>
  <w:style w:type="paragraph" w:styleId="573">
    <w:name w:val="List Paragraph"/>
    <w:basedOn w:val="1"/>
    <w:semiHidden/>
    <w:unhideWhenUsed/>
    <w:qFormat/>
    <w:uiPriority w:val="99"/>
    <w:pPr>
      <w:ind w:firstLine="420" w:firstLineChars="200"/>
    </w:pPr>
  </w:style>
  <w:style w:type="character" w:customStyle="1" w:styleId="574">
    <w:name w:val="List Paragraph CharProp3"/>
    <w:qFormat/>
    <w:uiPriority w:val="99"/>
  </w:style>
  <w:style w:type="character" w:customStyle="1" w:styleId="575">
    <w:name w:val="List Paragraph CharProp2"/>
    <w:qFormat/>
    <w:uiPriority w:val="99"/>
  </w:style>
  <w:style w:type="character" w:customStyle="1" w:styleId="576">
    <w:name w:val="List Paragraph CharProp1"/>
    <w:qFormat/>
    <w:uiPriority w:val="99"/>
  </w:style>
  <w:style w:type="character" w:customStyle="1" w:styleId="577">
    <w:name w:val="List Paragraph CharProp"/>
    <w:qFormat/>
    <w:uiPriority w:val="99"/>
  </w:style>
  <w:style w:type="character" w:customStyle="1" w:styleId="578">
    <w:name w:val="明显参考1"/>
    <w:basedOn w:val="319"/>
    <w:qFormat/>
    <w:uiPriority w:val="32"/>
    <w:rPr>
      <w:b/>
      <w:bCs/>
      <w:smallCaps/>
      <w:color w:val="4F81BD" w:themeColor="accent1"/>
      <w:spacing w:val="5"/>
      <w14:textFill>
        <w14:solidFill>
          <w14:schemeClr w14:val="accent1"/>
        </w14:solidFill>
      </w14:textFill>
    </w:rPr>
  </w:style>
  <w:style w:type="character" w:customStyle="1" w:styleId="579">
    <w:name w:val="明显强调1"/>
    <w:basedOn w:val="319"/>
    <w:qFormat/>
    <w:uiPriority w:val="21"/>
    <w:rPr>
      <w:i/>
      <w:iCs/>
      <w:color w:val="4F81BD" w:themeColor="accent1"/>
      <w14:textFill>
        <w14:solidFill>
          <w14:schemeClr w14:val="accent1"/>
        </w14:solidFill>
      </w14:textFill>
    </w:rPr>
  </w:style>
  <w:style w:type="paragraph" w:styleId="580">
    <w:name w:val="Intense Quote"/>
    <w:basedOn w:val="1"/>
    <w:next w:val="1"/>
    <w:link w:val="585"/>
    <w:semiHidden/>
    <w:unhideWhenUsed/>
    <w:qFormat/>
    <w:uiPriority w:val="99"/>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581">
    <w:name w:val="Intense Quote CharProp3"/>
    <w:qFormat/>
    <w:uiPriority w:val="99"/>
    <w:rPr>
      <w:i/>
      <w:iCs/>
      <w:color w:val="4F81BD" w:themeColor="accent1"/>
      <w14:textFill>
        <w14:solidFill>
          <w14:schemeClr w14:val="accent1"/>
        </w14:solidFill>
      </w14:textFill>
    </w:rPr>
  </w:style>
  <w:style w:type="character" w:customStyle="1" w:styleId="582">
    <w:name w:val="Intense Quote CharProp2"/>
    <w:qFormat/>
    <w:uiPriority w:val="99"/>
    <w:rPr>
      <w:i/>
      <w:iCs/>
      <w:color w:val="4F81BD" w:themeColor="accent1"/>
      <w14:textFill>
        <w14:solidFill>
          <w14:schemeClr w14:val="accent1"/>
        </w14:solidFill>
      </w14:textFill>
    </w:rPr>
  </w:style>
  <w:style w:type="character" w:customStyle="1" w:styleId="583">
    <w:name w:val="Intense Quote CharProp1"/>
    <w:qFormat/>
    <w:uiPriority w:val="99"/>
    <w:rPr>
      <w:i/>
      <w:iCs/>
      <w:color w:val="4F81BD" w:themeColor="accent1"/>
      <w14:textFill>
        <w14:solidFill>
          <w14:schemeClr w14:val="accent1"/>
        </w14:solidFill>
      </w14:textFill>
    </w:rPr>
  </w:style>
  <w:style w:type="character" w:customStyle="1" w:styleId="584">
    <w:name w:val="Intense Quote CharProp"/>
    <w:qFormat/>
    <w:uiPriority w:val="99"/>
    <w:rPr>
      <w:i/>
      <w:iCs/>
      <w:color w:val="4F81BD" w:themeColor="accent1"/>
      <w14:textFill>
        <w14:solidFill>
          <w14:schemeClr w14:val="accent1"/>
        </w14:solidFill>
      </w14:textFill>
    </w:rPr>
  </w:style>
  <w:style w:type="character" w:customStyle="1" w:styleId="585">
    <w:name w:val="明显引用 字符"/>
    <w:basedOn w:val="319"/>
    <w:link w:val="580"/>
    <w:semiHidden/>
    <w:qFormat/>
    <w:uiPriority w:val="99"/>
    <w:rPr>
      <w:rFonts w:ascii="Arial" w:hAnsi="Arial" w:eastAsia="Arial" w:cs="Arial"/>
      <w:i/>
      <w:iCs/>
      <w:snapToGrid w:val="0"/>
      <w:color w:val="4F81BD" w:themeColor="accent1"/>
      <w:sz w:val="21"/>
      <w:szCs w:val="21"/>
      <w:lang w:eastAsia="en-US"/>
      <w14:textFill>
        <w14:solidFill>
          <w14:schemeClr w14:val="accent1"/>
        </w14:solidFill>
      </w14:textFill>
    </w:rPr>
  </w:style>
  <w:style w:type="character" w:customStyle="1" w:styleId="586">
    <w:name w:val="签名 字符"/>
    <w:basedOn w:val="319"/>
    <w:link w:val="59"/>
    <w:qFormat/>
    <w:uiPriority w:val="0"/>
    <w:rPr>
      <w:rFonts w:ascii="Arial" w:hAnsi="Arial" w:eastAsia="Arial" w:cs="Arial"/>
      <w:snapToGrid w:val="0"/>
      <w:color w:val="000000"/>
      <w:sz w:val="21"/>
      <w:szCs w:val="21"/>
      <w:lang w:eastAsia="en-US"/>
    </w:rPr>
  </w:style>
  <w:style w:type="table" w:customStyle="1" w:styleId="587">
    <w:name w:val="清单表 1 浅色1"/>
    <w:basedOn w:val="89"/>
    <w:qFormat/>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88">
    <w:name w:val="清单表 1 浅色 - 着色 11"/>
    <w:basedOn w:val="89"/>
    <w:qFormat/>
    <w:uiPriority w:val="46"/>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589">
    <w:name w:val="清单表 1 浅色 - 着色 21"/>
    <w:basedOn w:val="89"/>
    <w:qFormat/>
    <w:uiPriority w:val="46"/>
    <w:tblStylePr w:type="firstRow">
      <w:rPr>
        <w:b/>
        <w:bCs/>
      </w:rPr>
      <w:tcPr>
        <w:tcBorders>
          <w:bottom w:val="single" w:color="D99594" w:themeColor="accent2" w:themeTint="99" w:sz="4" w:space="0"/>
        </w:tcBorders>
      </w:tcPr>
    </w:tblStylePr>
    <w:tblStylePr w:type="lastRow">
      <w:rPr>
        <w:b/>
        <w:bCs/>
      </w:rPr>
      <w:tcPr>
        <w:tcBorders>
          <w:top w:val="sing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590">
    <w:name w:val="清单表 1 浅色 - 着色 31"/>
    <w:basedOn w:val="89"/>
    <w:qFormat/>
    <w:uiPriority w:val="46"/>
    <w:tblStylePr w:type="firstRow">
      <w:rPr>
        <w:b/>
        <w:bCs/>
      </w:rPr>
      <w:tcPr>
        <w:tcBorders>
          <w:bottom w:val="single" w:color="C2D69B" w:themeColor="accent3" w:themeTint="99" w:sz="4" w:space="0"/>
        </w:tcBorders>
      </w:tcPr>
    </w:tblStylePr>
    <w:tblStylePr w:type="lastRow">
      <w:rPr>
        <w:b/>
        <w:bCs/>
      </w:rPr>
      <w:tcPr>
        <w:tcBorders>
          <w:top w:val="sing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591">
    <w:name w:val="清单表 1 浅色 - 着色 41"/>
    <w:basedOn w:val="89"/>
    <w:qFormat/>
    <w:uiPriority w:val="46"/>
    <w:tblStylePr w:type="firstRow">
      <w:rPr>
        <w:b/>
        <w:bCs/>
      </w:rPr>
      <w:tcPr>
        <w:tcBorders>
          <w:bottom w:val="single" w:color="B2A1C7" w:themeColor="accent4" w:themeTint="99" w:sz="4" w:space="0"/>
        </w:tcBorders>
      </w:tcPr>
    </w:tblStylePr>
    <w:tblStylePr w:type="lastRow">
      <w:rPr>
        <w:b/>
        <w:bCs/>
      </w:rPr>
      <w:tcPr>
        <w:tcBorders>
          <w:top w:val="sing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592">
    <w:name w:val="清单表 1 浅色 - 着色 51"/>
    <w:basedOn w:val="89"/>
    <w:qFormat/>
    <w:uiPriority w:val="46"/>
    <w:tblStylePr w:type="firstRow">
      <w:rPr>
        <w:b/>
        <w:bCs/>
      </w:rPr>
      <w:tcPr>
        <w:tcBorders>
          <w:bottom w:val="single" w:color="92CDDC" w:themeColor="accent5" w:themeTint="99" w:sz="4" w:space="0"/>
        </w:tcBorders>
      </w:tcPr>
    </w:tblStylePr>
    <w:tblStylePr w:type="lastRow">
      <w:rPr>
        <w:b/>
        <w:bCs/>
      </w:rPr>
      <w:tcPr>
        <w:tcBorders>
          <w:top w:val="sing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593">
    <w:name w:val="清单表 1 浅色 - 着色 61"/>
    <w:basedOn w:val="89"/>
    <w:qFormat/>
    <w:uiPriority w:val="46"/>
    <w:tblStylePr w:type="firstRow">
      <w:rPr>
        <w:b/>
        <w:bCs/>
      </w:rPr>
      <w:tcPr>
        <w:tcBorders>
          <w:bottom w:val="single" w:color="FABF8F" w:themeColor="accent6" w:themeTint="99" w:sz="4" w:space="0"/>
        </w:tcBorders>
      </w:tcPr>
    </w:tblStylePr>
    <w:tblStylePr w:type="lastRow">
      <w:rPr>
        <w:b/>
        <w:bCs/>
      </w:rPr>
      <w:tcPr>
        <w:tcBorders>
          <w:top w:val="sing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594">
    <w:name w:val="清单表 21"/>
    <w:basedOn w:val="89"/>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95">
    <w:name w:val="清单表 2 - 着色 11"/>
    <w:basedOn w:val="89"/>
    <w:qFormat/>
    <w:uiPriority w:val="47"/>
    <w:tblPr>
      <w:tblBorders>
        <w:top w:val="single" w:color="95B3D7" w:themeColor="accent1" w:themeTint="99" w:sz="4" w:space="0"/>
        <w:bottom w:val="single" w:color="95B3D7" w:themeColor="accent1" w:themeTint="99" w:sz="4" w:space="0"/>
        <w:insideH w:val="single" w:color="95B3D7"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596">
    <w:name w:val="清单表 2 - 着色 21"/>
    <w:basedOn w:val="89"/>
    <w:qFormat/>
    <w:uiPriority w:val="47"/>
    <w:tblPr>
      <w:tblBorders>
        <w:top w:val="single" w:color="D99594" w:themeColor="accent2" w:themeTint="99" w:sz="4" w:space="0"/>
        <w:bottom w:val="single" w:color="D99594" w:themeColor="accent2" w:themeTint="99" w:sz="4" w:space="0"/>
        <w:insideH w:val="single" w:color="D99594"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597">
    <w:name w:val="清单表 2 - 着色 31"/>
    <w:basedOn w:val="89"/>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598">
    <w:name w:val="清单表 2 - 着色 41"/>
    <w:basedOn w:val="89"/>
    <w:qFormat/>
    <w:uiPriority w:val="47"/>
    <w:tblPr>
      <w:tblBorders>
        <w:top w:val="single" w:color="B2A1C7" w:themeColor="accent4" w:themeTint="99" w:sz="4" w:space="0"/>
        <w:bottom w:val="single" w:color="B2A1C7" w:themeColor="accent4" w:themeTint="99" w:sz="4" w:space="0"/>
        <w:insideH w:val="single" w:color="B2A1C7"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599">
    <w:name w:val="清单表 2 - 着色 51"/>
    <w:basedOn w:val="89"/>
    <w:qFormat/>
    <w:uiPriority w:val="47"/>
    <w:tblPr>
      <w:tblBorders>
        <w:top w:val="single" w:color="92CDDC" w:themeColor="accent5" w:themeTint="99" w:sz="4" w:space="0"/>
        <w:bottom w:val="single" w:color="92CDDC" w:themeColor="accent5" w:themeTint="99" w:sz="4" w:space="0"/>
        <w:insideH w:val="single" w:color="92CDDC"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600">
    <w:name w:val="清单表 2 - 着色 61"/>
    <w:basedOn w:val="89"/>
    <w:qFormat/>
    <w:uiPriority w:val="47"/>
    <w:tblPr>
      <w:tblBorders>
        <w:top w:val="single" w:color="FABF8F" w:themeColor="accent6" w:themeTint="99" w:sz="4" w:space="0"/>
        <w:bottom w:val="single" w:color="FABF8F" w:themeColor="accent6" w:themeTint="99" w:sz="4" w:space="0"/>
        <w:insideH w:val="single" w:color="FABF8F"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601">
    <w:name w:val="清单表 31"/>
    <w:basedOn w:val="89"/>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602">
    <w:name w:val="清单表 3 - 着色 11"/>
    <w:basedOn w:val="89"/>
    <w:qFormat/>
    <w:uiPriority w:val="48"/>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b/>
        <w:bCs/>
        <w:color w:val="FFFFFF" w:themeColor="background1"/>
        <w14:textFill>
          <w14:solidFill>
            <w14:schemeClr w14:val="bg1"/>
          </w14:solidFill>
        </w14:textFill>
      </w:rPr>
      <w:tcPr>
        <w:shd w:val="clear" w:color="auto" w:fill="4F81BD" w:themeFill="accent1"/>
      </w:tcPr>
    </w:tblStylePr>
    <w:tblStylePr w:type="lastRow">
      <w:rPr>
        <w:b/>
        <w:bCs/>
      </w:rPr>
      <w:tcPr>
        <w:tcBorders>
          <w:top w:val="double" w:color="4F81BD"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F81BD" w:themeColor="accent1" w:sz="4" w:space="0"/>
          <w:right w:val="single" w:color="4F81BD" w:themeColor="accent1" w:sz="4" w:space="0"/>
        </w:tcBorders>
      </w:tcPr>
    </w:tblStylePr>
    <w:tblStylePr w:type="band1Horz">
      <w:tcPr>
        <w:tcBorders>
          <w:top w:val="single" w:color="4F81BD" w:themeColor="accent1" w:sz="4" w:space="0"/>
          <w:bottom w:val="single" w:color="4F81BD"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F81BD" w:themeColor="accent1" w:sz="4" w:space="0"/>
          <w:left w:val="nil"/>
        </w:tcBorders>
      </w:tcPr>
    </w:tblStylePr>
    <w:tblStylePr w:type="swCell">
      <w:tcPr>
        <w:tcBorders>
          <w:top w:val="double" w:color="4F81BD" w:themeColor="accent1" w:sz="4" w:space="0"/>
          <w:right w:val="nil"/>
        </w:tcBorders>
      </w:tcPr>
    </w:tblStylePr>
  </w:style>
  <w:style w:type="table" w:customStyle="1" w:styleId="603">
    <w:name w:val="清单表 3 - 着色 21"/>
    <w:basedOn w:val="89"/>
    <w:qFormat/>
    <w:uiPriority w:val="48"/>
    <w:tblPr>
      <w:tblBorders>
        <w:top w:val="single" w:color="C0504D" w:themeColor="accent2" w:sz="4" w:space="0"/>
        <w:left w:val="single" w:color="C0504D" w:themeColor="accent2" w:sz="4" w:space="0"/>
        <w:bottom w:val="single" w:color="C0504D" w:themeColor="accent2" w:sz="4" w:space="0"/>
        <w:right w:val="single" w:color="C0504D" w:themeColor="accent2" w:sz="4" w:space="0"/>
      </w:tblBorders>
    </w:tblPr>
    <w:tblStylePr w:type="firstRow">
      <w:rPr>
        <w:b/>
        <w:bCs/>
        <w:color w:val="FFFFFF" w:themeColor="background1"/>
        <w14:textFill>
          <w14:solidFill>
            <w14:schemeClr w14:val="bg1"/>
          </w14:solidFill>
        </w14:textFill>
      </w:rPr>
      <w:tcPr>
        <w:shd w:val="clear" w:color="auto" w:fill="C0504D" w:themeFill="accent2"/>
      </w:tcPr>
    </w:tblStylePr>
    <w:tblStylePr w:type="lastRow">
      <w:rPr>
        <w:b/>
        <w:bCs/>
      </w:rPr>
      <w:tcPr>
        <w:tcBorders>
          <w:top w:val="double" w:color="C0504D"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C0504D" w:themeColor="accent2" w:sz="4" w:space="0"/>
          <w:right w:val="single" w:color="C0504D" w:themeColor="accent2" w:sz="4" w:space="0"/>
        </w:tcBorders>
      </w:tcPr>
    </w:tblStylePr>
    <w:tblStylePr w:type="band1Horz">
      <w:tcPr>
        <w:tcBorders>
          <w:top w:val="single" w:color="C0504D" w:themeColor="accent2" w:sz="4" w:space="0"/>
          <w:bottom w:val="single" w:color="C0504D"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0504D" w:themeColor="accent2" w:sz="4" w:space="0"/>
          <w:left w:val="nil"/>
        </w:tcBorders>
      </w:tcPr>
    </w:tblStylePr>
    <w:tblStylePr w:type="swCell">
      <w:tcPr>
        <w:tcBorders>
          <w:top w:val="double" w:color="C0504D" w:themeColor="accent2" w:sz="4" w:space="0"/>
          <w:right w:val="nil"/>
        </w:tcBorders>
      </w:tcPr>
    </w:tblStylePr>
  </w:style>
  <w:style w:type="table" w:customStyle="1" w:styleId="604">
    <w:name w:val="清单表 3 - 着色 31"/>
    <w:basedOn w:val="89"/>
    <w:qFormat/>
    <w:uiPriority w:val="48"/>
    <w:tblPr>
      <w:tblBorders>
        <w:top w:val="single" w:color="9BBB59" w:themeColor="accent3" w:sz="4" w:space="0"/>
        <w:left w:val="single" w:color="9BBB59" w:themeColor="accent3" w:sz="4" w:space="0"/>
        <w:bottom w:val="single" w:color="9BBB59" w:themeColor="accent3" w:sz="4" w:space="0"/>
        <w:right w:val="single" w:color="9BBB59" w:themeColor="accent3" w:sz="4" w:space="0"/>
      </w:tblBorders>
    </w:tblPr>
    <w:tblStylePr w:type="firstRow">
      <w:rPr>
        <w:b/>
        <w:bCs/>
        <w:color w:val="FFFFFF" w:themeColor="background1"/>
        <w14:textFill>
          <w14:solidFill>
            <w14:schemeClr w14:val="bg1"/>
          </w14:solidFill>
        </w14:textFill>
      </w:rPr>
      <w:tcPr>
        <w:shd w:val="clear" w:color="auto" w:fill="9BBB59" w:themeFill="accent3"/>
      </w:tcPr>
    </w:tblStylePr>
    <w:tblStylePr w:type="lastRow">
      <w:rPr>
        <w:b/>
        <w:bCs/>
      </w:rPr>
      <w:tcPr>
        <w:tcBorders>
          <w:top w:val="double" w:color="9BBB59"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9BBB59" w:themeColor="accent3" w:sz="4" w:space="0"/>
          <w:right w:val="single" w:color="9BBB59" w:themeColor="accent3" w:sz="4" w:space="0"/>
        </w:tcBorders>
      </w:tcPr>
    </w:tblStylePr>
    <w:tblStylePr w:type="band1Horz">
      <w:tcPr>
        <w:tcBorders>
          <w:top w:val="single" w:color="9BBB59" w:themeColor="accent3" w:sz="4" w:space="0"/>
          <w:bottom w:val="single" w:color="9BBB59"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9BBB59" w:themeColor="accent3" w:sz="4" w:space="0"/>
          <w:left w:val="nil"/>
        </w:tcBorders>
      </w:tcPr>
    </w:tblStylePr>
    <w:tblStylePr w:type="swCell">
      <w:tcPr>
        <w:tcBorders>
          <w:top w:val="double" w:color="9BBB59" w:themeColor="accent3" w:sz="4" w:space="0"/>
          <w:right w:val="nil"/>
        </w:tcBorders>
      </w:tcPr>
    </w:tblStylePr>
  </w:style>
  <w:style w:type="table" w:customStyle="1" w:styleId="605">
    <w:name w:val="清单表 3 - 着色 41"/>
    <w:basedOn w:val="89"/>
    <w:qFormat/>
    <w:uiPriority w:val="48"/>
    <w:tblPr>
      <w:tblBorders>
        <w:top w:val="single" w:color="8064A2" w:themeColor="accent4" w:sz="4" w:space="0"/>
        <w:left w:val="single" w:color="8064A2" w:themeColor="accent4" w:sz="4" w:space="0"/>
        <w:bottom w:val="single" w:color="8064A2" w:themeColor="accent4" w:sz="4" w:space="0"/>
        <w:right w:val="single" w:color="8064A2" w:themeColor="accent4" w:sz="4" w:space="0"/>
      </w:tblBorders>
    </w:tblPr>
    <w:tblStylePr w:type="firstRow">
      <w:rPr>
        <w:b/>
        <w:bCs/>
        <w:color w:val="FFFFFF" w:themeColor="background1"/>
        <w14:textFill>
          <w14:solidFill>
            <w14:schemeClr w14:val="bg1"/>
          </w14:solidFill>
        </w14:textFill>
      </w:rPr>
      <w:tcPr>
        <w:shd w:val="clear" w:color="auto" w:fill="8064A2" w:themeFill="accent4"/>
      </w:tcPr>
    </w:tblStylePr>
    <w:tblStylePr w:type="lastRow">
      <w:rPr>
        <w:b/>
        <w:bCs/>
      </w:rPr>
      <w:tcPr>
        <w:tcBorders>
          <w:top w:val="double" w:color="8064A2"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8064A2" w:themeColor="accent4" w:sz="4" w:space="0"/>
          <w:right w:val="single" w:color="8064A2" w:themeColor="accent4" w:sz="4" w:space="0"/>
        </w:tcBorders>
      </w:tcPr>
    </w:tblStylePr>
    <w:tblStylePr w:type="band1Horz">
      <w:tcPr>
        <w:tcBorders>
          <w:top w:val="single" w:color="8064A2" w:themeColor="accent4" w:sz="4" w:space="0"/>
          <w:bottom w:val="single" w:color="8064A2"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8064A2" w:themeColor="accent4" w:sz="4" w:space="0"/>
          <w:left w:val="nil"/>
        </w:tcBorders>
      </w:tcPr>
    </w:tblStylePr>
    <w:tblStylePr w:type="swCell">
      <w:tcPr>
        <w:tcBorders>
          <w:top w:val="double" w:color="8064A2" w:themeColor="accent4" w:sz="4" w:space="0"/>
          <w:right w:val="nil"/>
        </w:tcBorders>
      </w:tcPr>
    </w:tblStylePr>
  </w:style>
  <w:style w:type="table" w:customStyle="1" w:styleId="606">
    <w:name w:val="清单表 3 - 着色 51"/>
    <w:basedOn w:val="89"/>
    <w:qFormat/>
    <w:uiPriority w:val="48"/>
    <w:tblPr>
      <w:tblBorders>
        <w:top w:val="single" w:color="4BACC6" w:themeColor="accent5" w:sz="4" w:space="0"/>
        <w:left w:val="single" w:color="4BACC6" w:themeColor="accent5" w:sz="4" w:space="0"/>
        <w:bottom w:val="single" w:color="4BACC6" w:themeColor="accent5" w:sz="4" w:space="0"/>
        <w:right w:val="single" w:color="4BACC6" w:themeColor="accent5" w:sz="4" w:space="0"/>
      </w:tblBorders>
    </w:tblPr>
    <w:tblStylePr w:type="firstRow">
      <w:rPr>
        <w:b/>
        <w:bCs/>
        <w:color w:val="FFFFFF" w:themeColor="background1"/>
        <w14:textFill>
          <w14:solidFill>
            <w14:schemeClr w14:val="bg1"/>
          </w14:solidFill>
        </w14:textFill>
      </w:rPr>
      <w:tcPr>
        <w:shd w:val="clear" w:color="auto" w:fill="4BACC6" w:themeFill="accent5"/>
      </w:tcPr>
    </w:tblStylePr>
    <w:tblStylePr w:type="lastRow">
      <w:rPr>
        <w:b/>
        <w:bCs/>
      </w:rPr>
      <w:tcPr>
        <w:tcBorders>
          <w:top w:val="double" w:color="4BACC6"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BACC6" w:themeColor="accent5" w:sz="4" w:space="0"/>
          <w:right w:val="single" w:color="4BACC6" w:themeColor="accent5" w:sz="4" w:space="0"/>
        </w:tcBorders>
      </w:tcPr>
    </w:tblStylePr>
    <w:tblStylePr w:type="band1Horz">
      <w:tcPr>
        <w:tcBorders>
          <w:top w:val="single" w:color="4BACC6" w:themeColor="accent5" w:sz="4" w:space="0"/>
          <w:bottom w:val="single" w:color="4BACC6"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BACC6" w:themeColor="accent5" w:sz="4" w:space="0"/>
          <w:left w:val="nil"/>
        </w:tcBorders>
      </w:tcPr>
    </w:tblStylePr>
    <w:tblStylePr w:type="swCell">
      <w:tcPr>
        <w:tcBorders>
          <w:top w:val="double" w:color="4BACC6" w:themeColor="accent5" w:sz="4" w:space="0"/>
          <w:right w:val="nil"/>
        </w:tcBorders>
      </w:tcPr>
    </w:tblStylePr>
  </w:style>
  <w:style w:type="table" w:customStyle="1" w:styleId="607">
    <w:name w:val="清单表 3 - 着色 61"/>
    <w:basedOn w:val="89"/>
    <w:qFormat/>
    <w:uiPriority w:val="48"/>
    <w:tblPr>
      <w:tblBorders>
        <w:top w:val="single" w:color="F79646" w:themeColor="accent6" w:sz="4" w:space="0"/>
        <w:left w:val="single" w:color="F79646" w:themeColor="accent6" w:sz="4" w:space="0"/>
        <w:bottom w:val="single" w:color="F79646" w:themeColor="accent6" w:sz="4" w:space="0"/>
        <w:right w:val="single" w:color="F79646" w:themeColor="accent6" w:sz="4" w:space="0"/>
      </w:tblBorders>
    </w:tblPr>
    <w:tblStylePr w:type="firstRow">
      <w:rPr>
        <w:b/>
        <w:bCs/>
        <w:color w:val="FFFFFF" w:themeColor="background1"/>
        <w14:textFill>
          <w14:solidFill>
            <w14:schemeClr w14:val="bg1"/>
          </w14:solidFill>
        </w14:textFill>
      </w:rPr>
      <w:tcPr>
        <w:shd w:val="clear" w:color="auto" w:fill="F79646" w:themeFill="accent6"/>
      </w:tcPr>
    </w:tblStylePr>
    <w:tblStylePr w:type="lastRow">
      <w:rPr>
        <w:b/>
        <w:bCs/>
      </w:rPr>
      <w:tcPr>
        <w:tcBorders>
          <w:top w:val="double" w:color="F79646"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79646" w:themeColor="accent6" w:sz="4" w:space="0"/>
          <w:right w:val="single" w:color="F79646" w:themeColor="accent6" w:sz="4" w:space="0"/>
        </w:tcBorders>
      </w:tcPr>
    </w:tblStylePr>
    <w:tblStylePr w:type="band1Horz">
      <w:tcPr>
        <w:tcBorders>
          <w:top w:val="single" w:color="F79646" w:themeColor="accent6" w:sz="4" w:space="0"/>
          <w:bottom w:val="single" w:color="F79646"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79646" w:themeColor="accent6" w:sz="4" w:space="0"/>
          <w:left w:val="nil"/>
        </w:tcBorders>
      </w:tcPr>
    </w:tblStylePr>
    <w:tblStylePr w:type="swCell">
      <w:tcPr>
        <w:tcBorders>
          <w:top w:val="double" w:color="F79646" w:themeColor="accent6" w:sz="4" w:space="0"/>
          <w:right w:val="nil"/>
        </w:tcBorders>
      </w:tcPr>
    </w:tblStylePr>
  </w:style>
  <w:style w:type="table" w:customStyle="1" w:styleId="608">
    <w:name w:val="清单表 41"/>
    <w:basedOn w:val="89"/>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609">
    <w:name w:val="清单表 4 - 着色 11"/>
    <w:basedOn w:val="89"/>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610">
    <w:name w:val="清单表 4 - 着色 21"/>
    <w:basedOn w:val="89"/>
    <w:qFormat/>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tblBorders>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tcBorders>
        <w:shd w:val="clear" w:color="auto" w:fill="C0504D" w:themeFill="accent2"/>
      </w:tcPr>
    </w:tblStylePr>
    <w:tblStylePr w:type="lastRow">
      <w:rPr>
        <w:b/>
        <w:bCs/>
      </w:rPr>
      <w:tcPr>
        <w:tcBorders>
          <w:top w:val="doub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611">
    <w:name w:val="清单表 4 - 着色 31"/>
    <w:basedOn w:val="89"/>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612">
    <w:name w:val="清单表 4 - 着色 41"/>
    <w:basedOn w:val="89"/>
    <w:qFormat/>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tblBorders>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tcBorders>
        <w:shd w:val="clear" w:color="auto" w:fill="8064A2" w:themeFill="accent4"/>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613">
    <w:name w:val="清单表 4 - 着色 51"/>
    <w:basedOn w:val="89"/>
    <w:qFormat/>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tblBorders>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tcBorders>
        <w:shd w:val="clear" w:color="auto" w:fill="4BACC6" w:themeFill="accent5"/>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614">
    <w:name w:val="清单表 4 - 着色 61"/>
    <w:basedOn w:val="89"/>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tblBorders>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tcBorders>
        <w:shd w:val="clear" w:color="auto" w:fill="F79646" w:themeFill="accent6"/>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615">
    <w:name w:val="清单表 5 深色1"/>
    <w:basedOn w:val="89"/>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16">
    <w:name w:val="清单表 5 深色1 CharProp3"/>
    <w:qFormat/>
    <w:uiPriority w:val="50"/>
    <w:rPr>
      <w:color w:val="FFFFFF" w:themeColor="background1"/>
      <w14:textFill>
        <w14:solidFill>
          <w14:schemeClr w14:val="bg1"/>
        </w14:solidFill>
      </w14:textFill>
    </w:rPr>
  </w:style>
  <w:style w:type="character" w:customStyle="1" w:styleId="617">
    <w:name w:val="清单表 5 深色1 CharProp2"/>
    <w:qFormat/>
    <w:uiPriority w:val="50"/>
    <w:rPr>
      <w:color w:val="FFFFFF" w:themeColor="background1"/>
      <w14:textFill>
        <w14:solidFill>
          <w14:schemeClr w14:val="bg1"/>
        </w14:solidFill>
      </w14:textFill>
    </w:rPr>
  </w:style>
  <w:style w:type="character" w:customStyle="1" w:styleId="618">
    <w:name w:val="清单表 5 深色1 CharProp1"/>
    <w:qFormat/>
    <w:uiPriority w:val="50"/>
    <w:rPr>
      <w:color w:val="FFFFFF" w:themeColor="background1"/>
      <w14:textFill>
        <w14:solidFill>
          <w14:schemeClr w14:val="bg1"/>
        </w14:solidFill>
      </w14:textFill>
    </w:rPr>
  </w:style>
  <w:style w:type="character" w:customStyle="1" w:styleId="619">
    <w:name w:val="清单表 5 深色1 CharProp"/>
    <w:qFormat/>
    <w:uiPriority w:val="50"/>
    <w:rPr>
      <w:color w:val="FFFFFF" w:themeColor="background1"/>
      <w14:textFill>
        <w14:solidFill>
          <w14:schemeClr w14:val="bg1"/>
        </w14:solidFill>
      </w14:textFill>
    </w:rPr>
  </w:style>
  <w:style w:type="table" w:customStyle="1" w:styleId="620">
    <w:name w:val="清单表 5 深色 - 着色 11"/>
    <w:basedOn w:val="89"/>
    <w:qFormat/>
    <w:uiPriority w:val="50"/>
    <w:rPr>
      <w:color w:val="FFFFFF" w:themeColor="background1"/>
      <w14:textFill>
        <w14:solidFill>
          <w14:schemeClr w14:val="bg1"/>
        </w14:solidFill>
      </w14:textFill>
    </w:rPr>
    <w:tblPr>
      <w:tblBorders>
        <w:top w:val="single" w:color="4F81BD" w:themeColor="accent1" w:sz="24" w:space="0"/>
        <w:left w:val="single" w:color="4F81BD" w:themeColor="accent1" w:sz="24" w:space="0"/>
        <w:bottom w:val="single" w:color="4F81BD" w:themeColor="accent1" w:sz="24" w:space="0"/>
        <w:right w:val="single" w:color="4F81BD" w:themeColor="accent1" w:sz="24" w:space="0"/>
      </w:tblBorders>
    </w:tblPr>
    <w:tcPr>
      <w:shd w:val="clear" w:color="auto" w:fill="4F81BD"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21">
    <w:name w:val="清单表 5 深色 - 着色 11 CharProp3"/>
    <w:qFormat/>
    <w:uiPriority w:val="50"/>
    <w:rPr>
      <w:color w:val="FFFFFF" w:themeColor="background1"/>
      <w14:textFill>
        <w14:solidFill>
          <w14:schemeClr w14:val="bg1"/>
        </w14:solidFill>
      </w14:textFill>
    </w:rPr>
  </w:style>
  <w:style w:type="character" w:customStyle="1" w:styleId="622">
    <w:name w:val="清单表 5 深色 - 着色 11 CharProp2"/>
    <w:qFormat/>
    <w:uiPriority w:val="50"/>
    <w:rPr>
      <w:color w:val="FFFFFF" w:themeColor="background1"/>
      <w14:textFill>
        <w14:solidFill>
          <w14:schemeClr w14:val="bg1"/>
        </w14:solidFill>
      </w14:textFill>
    </w:rPr>
  </w:style>
  <w:style w:type="character" w:customStyle="1" w:styleId="623">
    <w:name w:val="清单表 5 深色 - 着色 11 CharProp1"/>
    <w:qFormat/>
    <w:uiPriority w:val="50"/>
    <w:rPr>
      <w:color w:val="FFFFFF" w:themeColor="background1"/>
      <w14:textFill>
        <w14:solidFill>
          <w14:schemeClr w14:val="bg1"/>
        </w14:solidFill>
      </w14:textFill>
    </w:rPr>
  </w:style>
  <w:style w:type="character" w:customStyle="1" w:styleId="624">
    <w:name w:val="清单表 5 深色 - 着色 11 CharProp"/>
    <w:qFormat/>
    <w:uiPriority w:val="50"/>
    <w:rPr>
      <w:color w:val="FFFFFF" w:themeColor="background1"/>
      <w14:textFill>
        <w14:solidFill>
          <w14:schemeClr w14:val="bg1"/>
        </w14:solidFill>
      </w14:textFill>
    </w:rPr>
  </w:style>
  <w:style w:type="table" w:customStyle="1" w:styleId="625">
    <w:name w:val="清单表 5 深色 - 着色 21"/>
    <w:basedOn w:val="89"/>
    <w:qFormat/>
    <w:uiPriority w:val="50"/>
    <w:rPr>
      <w:color w:val="FFFFFF" w:themeColor="background1"/>
      <w14:textFill>
        <w14:solidFill>
          <w14:schemeClr w14:val="bg1"/>
        </w14:solidFill>
      </w14:textFill>
    </w:rPr>
    <w:tblPr>
      <w:tblBorders>
        <w:top w:val="single" w:color="C0504D" w:themeColor="accent2" w:sz="24" w:space="0"/>
        <w:left w:val="single" w:color="C0504D" w:themeColor="accent2" w:sz="24" w:space="0"/>
        <w:bottom w:val="single" w:color="C0504D" w:themeColor="accent2" w:sz="24" w:space="0"/>
        <w:right w:val="single" w:color="C0504D" w:themeColor="accent2" w:sz="24" w:space="0"/>
      </w:tblBorders>
    </w:tblPr>
    <w:tcPr>
      <w:shd w:val="clear" w:color="auto" w:fill="C0504D"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26">
    <w:name w:val="清单表 5 深色 - 着色 21 CharProp3"/>
    <w:qFormat/>
    <w:uiPriority w:val="50"/>
    <w:rPr>
      <w:color w:val="FFFFFF" w:themeColor="background1"/>
      <w14:textFill>
        <w14:solidFill>
          <w14:schemeClr w14:val="bg1"/>
        </w14:solidFill>
      </w14:textFill>
    </w:rPr>
  </w:style>
  <w:style w:type="character" w:customStyle="1" w:styleId="627">
    <w:name w:val="清单表 5 深色 - 着色 21 CharProp2"/>
    <w:qFormat/>
    <w:uiPriority w:val="50"/>
    <w:rPr>
      <w:color w:val="FFFFFF" w:themeColor="background1"/>
      <w14:textFill>
        <w14:solidFill>
          <w14:schemeClr w14:val="bg1"/>
        </w14:solidFill>
      </w14:textFill>
    </w:rPr>
  </w:style>
  <w:style w:type="character" w:customStyle="1" w:styleId="628">
    <w:name w:val="清单表 5 深色 - 着色 21 CharProp1"/>
    <w:qFormat/>
    <w:uiPriority w:val="50"/>
    <w:rPr>
      <w:color w:val="FFFFFF" w:themeColor="background1"/>
      <w14:textFill>
        <w14:solidFill>
          <w14:schemeClr w14:val="bg1"/>
        </w14:solidFill>
      </w14:textFill>
    </w:rPr>
  </w:style>
  <w:style w:type="character" w:customStyle="1" w:styleId="629">
    <w:name w:val="清单表 5 深色 - 着色 21 CharProp"/>
    <w:qFormat/>
    <w:uiPriority w:val="50"/>
    <w:rPr>
      <w:color w:val="FFFFFF" w:themeColor="background1"/>
      <w14:textFill>
        <w14:solidFill>
          <w14:schemeClr w14:val="bg1"/>
        </w14:solidFill>
      </w14:textFill>
    </w:rPr>
  </w:style>
  <w:style w:type="table" w:customStyle="1" w:styleId="630">
    <w:name w:val="清单表 5 深色 - 着色 31"/>
    <w:basedOn w:val="89"/>
    <w:qFormat/>
    <w:uiPriority w:val="50"/>
    <w:rPr>
      <w:color w:val="FFFFFF" w:themeColor="background1"/>
      <w14:textFill>
        <w14:solidFill>
          <w14:schemeClr w14:val="bg1"/>
        </w14:solidFill>
      </w14:textFill>
    </w:rPr>
    <w:tblPr>
      <w:tblBorders>
        <w:top w:val="single" w:color="9BBB59" w:themeColor="accent3" w:sz="24" w:space="0"/>
        <w:left w:val="single" w:color="9BBB59" w:themeColor="accent3" w:sz="24" w:space="0"/>
        <w:bottom w:val="single" w:color="9BBB59" w:themeColor="accent3" w:sz="24" w:space="0"/>
        <w:right w:val="single" w:color="9BBB59" w:themeColor="accent3" w:sz="24" w:space="0"/>
      </w:tblBorders>
    </w:tblPr>
    <w:tcPr>
      <w:shd w:val="clear" w:color="auto" w:fill="9BBB59"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31">
    <w:name w:val="清单表 5 深色 - 着色 31 CharProp3"/>
    <w:qFormat/>
    <w:uiPriority w:val="50"/>
    <w:rPr>
      <w:color w:val="FFFFFF" w:themeColor="background1"/>
      <w14:textFill>
        <w14:solidFill>
          <w14:schemeClr w14:val="bg1"/>
        </w14:solidFill>
      </w14:textFill>
    </w:rPr>
  </w:style>
  <w:style w:type="character" w:customStyle="1" w:styleId="632">
    <w:name w:val="清单表 5 深色 - 着色 31 CharProp2"/>
    <w:qFormat/>
    <w:uiPriority w:val="50"/>
    <w:rPr>
      <w:color w:val="FFFFFF" w:themeColor="background1"/>
      <w14:textFill>
        <w14:solidFill>
          <w14:schemeClr w14:val="bg1"/>
        </w14:solidFill>
      </w14:textFill>
    </w:rPr>
  </w:style>
  <w:style w:type="character" w:customStyle="1" w:styleId="633">
    <w:name w:val="清单表 5 深色 - 着色 31 CharProp1"/>
    <w:qFormat/>
    <w:uiPriority w:val="50"/>
    <w:rPr>
      <w:color w:val="FFFFFF" w:themeColor="background1"/>
      <w14:textFill>
        <w14:solidFill>
          <w14:schemeClr w14:val="bg1"/>
        </w14:solidFill>
      </w14:textFill>
    </w:rPr>
  </w:style>
  <w:style w:type="character" w:customStyle="1" w:styleId="634">
    <w:name w:val="清单表 5 深色 - 着色 31 CharProp"/>
    <w:qFormat/>
    <w:uiPriority w:val="50"/>
    <w:rPr>
      <w:color w:val="FFFFFF" w:themeColor="background1"/>
      <w14:textFill>
        <w14:solidFill>
          <w14:schemeClr w14:val="bg1"/>
        </w14:solidFill>
      </w14:textFill>
    </w:rPr>
  </w:style>
  <w:style w:type="table" w:customStyle="1" w:styleId="635">
    <w:name w:val="清单表 5 深色 - 着色 41"/>
    <w:basedOn w:val="89"/>
    <w:qFormat/>
    <w:uiPriority w:val="50"/>
    <w:rPr>
      <w:color w:val="FFFFFF" w:themeColor="background1"/>
      <w14:textFill>
        <w14:solidFill>
          <w14:schemeClr w14:val="bg1"/>
        </w14:solidFill>
      </w14:textFill>
    </w:rPr>
    <w:tblPr>
      <w:tblBorders>
        <w:top w:val="single" w:color="8064A2" w:themeColor="accent4" w:sz="24" w:space="0"/>
        <w:left w:val="single" w:color="8064A2" w:themeColor="accent4" w:sz="24" w:space="0"/>
        <w:bottom w:val="single" w:color="8064A2" w:themeColor="accent4" w:sz="24" w:space="0"/>
        <w:right w:val="single" w:color="8064A2" w:themeColor="accent4" w:sz="24" w:space="0"/>
      </w:tblBorders>
    </w:tblPr>
    <w:tcPr>
      <w:shd w:val="clear" w:color="auto" w:fill="8064A2"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36">
    <w:name w:val="清单表 5 深色 - 着色 41 CharProp3"/>
    <w:qFormat/>
    <w:uiPriority w:val="50"/>
    <w:rPr>
      <w:color w:val="FFFFFF" w:themeColor="background1"/>
      <w14:textFill>
        <w14:solidFill>
          <w14:schemeClr w14:val="bg1"/>
        </w14:solidFill>
      </w14:textFill>
    </w:rPr>
  </w:style>
  <w:style w:type="character" w:customStyle="1" w:styleId="637">
    <w:name w:val="清单表 5 深色 - 着色 41 CharProp2"/>
    <w:qFormat/>
    <w:uiPriority w:val="50"/>
    <w:rPr>
      <w:color w:val="FFFFFF" w:themeColor="background1"/>
      <w14:textFill>
        <w14:solidFill>
          <w14:schemeClr w14:val="bg1"/>
        </w14:solidFill>
      </w14:textFill>
    </w:rPr>
  </w:style>
  <w:style w:type="character" w:customStyle="1" w:styleId="638">
    <w:name w:val="清单表 5 深色 - 着色 41 CharProp1"/>
    <w:qFormat/>
    <w:uiPriority w:val="50"/>
    <w:rPr>
      <w:color w:val="FFFFFF" w:themeColor="background1"/>
      <w14:textFill>
        <w14:solidFill>
          <w14:schemeClr w14:val="bg1"/>
        </w14:solidFill>
      </w14:textFill>
    </w:rPr>
  </w:style>
  <w:style w:type="character" w:customStyle="1" w:styleId="639">
    <w:name w:val="清单表 5 深色 - 着色 41 CharProp"/>
    <w:qFormat/>
    <w:uiPriority w:val="50"/>
    <w:rPr>
      <w:color w:val="FFFFFF" w:themeColor="background1"/>
      <w14:textFill>
        <w14:solidFill>
          <w14:schemeClr w14:val="bg1"/>
        </w14:solidFill>
      </w14:textFill>
    </w:rPr>
  </w:style>
  <w:style w:type="table" w:customStyle="1" w:styleId="640">
    <w:name w:val="清单表 5 深色 - 着色 51"/>
    <w:basedOn w:val="89"/>
    <w:qFormat/>
    <w:uiPriority w:val="50"/>
    <w:rPr>
      <w:color w:val="FFFFFF" w:themeColor="background1"/>
      <w14:textFill>
        <w14:solidFill>
          <w14:schemeClr w14:val="bg1"/>
        </w14:solidFill>
      </w14:textFill>
    </w:rPr>
    <w:tblPr>
      <w:tblBorders>
        <w:top w:val="single" w:color="4BACC6" w:themeColor="accent5" w:sz="24" w:space="0"/>
        <w:left w:val="single" w:color="4BACC6" w:themeColor="accent5" w:sz="24" w:space="0"/>
        <w:bottom w:val="single" w:color="4BACC6" w:themeColor="accent5" w:sz="24" w:space="0"/>
        <w:right w:val="single" w:color="4BACC6" w:themeColor="accent5" w:sz="24" w:space="0"/>
      </w:tblBorders>
    </w:tblPr>
    <w:tcPr>
      <w:shd w:val="clear" w:color="auto" w:fill="4BACC6"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41">
    <w:name w:val="清单表 5 深色 - 着色 51 CharProp3"/>
    <w:qFormat/>
    <w:uiPriority w:val="50"/>
    <w:rPr>
      <w:color w:val="FFFFFF" w:themeColor="background1"/>
      <w14:textFill>
        <w14:solidFill>
          <w14:schemeClr w14:val="bg1"/>
        </w14:solidFill>
      </w14:textFill>
    </w:rPr>
  </w:style>
  <w:style w:type="character" w:customStyle="1" w:styleId="642">
    <w:name w:val="清单表 5 深色 - 着色 51 CharProp2"/>
    <w:qFormat/>
    <w:uiPriority w:val="50"/>
    <w:rPr>
      <w:color w:val="FFFFFF" w:themeColor="background1"/>
      <w14:textFill>
        <w14:solidFill>
          <w14:schemeClr w14:val="bg1"/>
        </w14:solidFill>
      </w14:textFill>
    </w:rPr>
  </w:style>
  <w:style w:type="character" w:customStyle="1" w:styleId="643">
    <w:name w:val="清单表 5 深色 - 着色 51 CharProp1"/>
    <w:qFormat/>
    <w:uiPriority w:val="50"/>
    <w:rPr>
      <w:color w:val="FFFFFF" w:themeColor="background1"/>
      <w14:textFill>
        <w14:solidFill>
          <w14:schemeClr w14:val="bg1"/>
        </w14:solidFill>
      </w14:textFill>
    </w:rPr>
  </w:style>
  <w:style w:type="character" w:customStyle="1" w:styleId="644">
    <w:name w:val="清单表 5 深色 - 着色 51 CharProp"/>
    <w:qFormat/>
    <w:uiPriority w:val="50"/>
    <w:rPr>
      <w:color w:val="FFFFFF" w:themeColor="background1"/>
      <w14:textFill>
        <w14:solidFill>
          <w14:schemeClr w14:val="bg1"/>
        </w14:solidFill>
      </w14:textFill>
    </w:rPr>
  </w:style>
  <w:style w:type="table" w:customStyle="1" w:styleId="645">
    <w:name w:val="清单表 5 深色 - 着色 61"/>
    <w:basedOn w:val="89"/>
    <w:qFormat/>
    <w:uiPriority w:val="50"/>
    <w:rPr>
      <w:color w:val="FFFFFF" w:themeColor="background1"/>
      <w14:textFill>
        <w14:solidFill>
          <w14:schemeClr w14:val="bg1"/>
        </w14:solidFill>
      </w14:textFill>
    </w:rPr>
    <w:tblPr>
      <w:tblBorders>
        <w:top w:val="single" w:color="F79646" w:themeColor="accent6" w:sz="24" w:space="0"/>
        <w:left w:val="single" w:color="F79646" w:themeColor="accent6" w:sz="24" w:space="0"/>
        <w:bottom w:val="single" w:color="F79646" w:themeColor="accent6" w:sz="24" w:space="0"/>
        <w:right w:val="single" w:color="F79646" w:themeColor="accent6" w:sz="24" w:space="0"/>
      </w:tblBorders>
    </w:tblPr>
    <w:tcPr>
      <w:shd w:val="clear" w:color="auto" w:fill="F79646"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646">
    <w:name w:val="清单表 5 深色 - 着色 61 CharProp3"/>
    <w:qFormat/>
    <w:uiPriority w:val="50"/>
    <w:rPr>
      <w:color w:val="FFFFFF" w:themeColor="background1"/>
      <w14:textFill>
        <w14:solidFill>
          <w14:schemeClr w14:val="bg1"/>
        </w14:solidFill>
      </w14:textFill>
    </w:rPr>
  </w:style>
  <w:style w:type="character" w:customStyle="1" w:styleId="647">
    <w:name w:val="清单表 5 深色 - 着色 61 CharProp2"/>
    <w:qFormat/>
    <w:uiPriority w:val="50"/>
    <w:rPr>
      <w:color w:val="FFFFFF" w:themeColor="background1"/>
      <w14:textFill>
        <w14:solidFill>
          <w14:schemeClr w14:val="bg1"/>
        </w14:solidFill>
      </w14:textFill>
    </w:rPr>
  </w:style>
  <w:style w:type="character" w:customStyle="1" w:styleId="648">
    <w:name w:val="清单表 5 深色 - 着色 61 CharProp1"/>
    <w:qFormat/>
    <w:uiPriority w:val="50"/>
    <w:rPr>
      <w:color w:val="FFFFFF" w:themeColor="background1"/>
      <w14:textFill>
        <w14:solidFill>
          <w14:schemeClr w14:val="bg1"/>
        </w14:solidFill>
      </w14:textFill>
    </w:rPr>
  </w:style>
  <w:style w:type="character" w:customStyle="1" w:styleId="649">
    <w:name w:val="清单表 5 深色 - 着色 61 CharProp"/>
    <w:qFormat/>
    <w:uiPriority w:val="50"/>
    <w:rPr>
      <w:color w:val="FFFFFF" w:themeColor="background1"/>
      <w14:textFill>
        <w14:solidFill>
          <w14:schemeClr w14:val="bg1"/>
        </w14:solidFill>
      </w14:textFill>
    </w:rPr>
  </w:style>
  <w:style w:type="table" w:customStyle="1" w:styleId="650">
    <w:name w:val="清单表 6 彩色1"/>
    <w:basedOn w:val="89"/>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651">
    <w:name w:val="清单表 6 彩色1 CharProp3"/>
    <w:qFormat/>
    <w:uiPriority w:val="51"/>
    <w:rPr>
      <w:color w:val="000000" w:themeColor="text1"/>
      <w14:textFill>
        <w14:solidFill>
          <w14:schemeClr w14:val="tx1"/>
        </w14:solidFill>
      </w14:textFill>
    </w:rPr>
  </w:style>
  <w:style w:type="character" w:customStyle="1" w:styleId="652">
    <w:name w:val="清单表 6 彩色1 CharProp2"/>
    <w:qFormat/>
    <w:uiPriority w:val="51"/>
    <w:rPr>
      <w:color w:val="000000" w:themeColor="text1"/>
      <w14:textFill>
        <w14:solidFill>
          <w14:schemeClr w14:val="tx1"/>
        </w14:solidFill>
      </w14:textFill>
    </w:rPr>
  </w:style>
  <w:style w:type="character" w:customStyle="1" w:styleId="653">
    <w:name w:val="清单表 6 彩色1 CharProp1"/>
    <w:qFormat/>
    <w:uiPriority w:val="51"/>
    <w:rPr>
      <w:color w:val="000000" w:themeColor="text1"/>
      <w14:textFill>
        <w14:solidFill>
          <w14:schemeClr w14:val="tx1"/>
        </w14:solidFill>
      </w14:textFill>
    </w:rPr>
  </w:style>
  <w:style w:type="character" w:customStyle="1" w:styleId="654">
    <w:name w:val="清单表 6 彩色1 CharProp"/>
    <w:qFormat/>
    <w:uiPriority w:val="51"/>
    <w:rPr>
      <w:color w:val="000000" w:themeColor="text1"/>
      <w14:textFill>
        <w14:solidFill>
          <w14:schemeClr w14:val="tx1"/>
        </w14:solidFill>
      </w14:textFill>
    </w:rPr>
  </w:style>
  <w:style w:type="table" w:customStyle="1" w:styleId="655">
    <w:name w:val="清单表 6 彩色 - 着色 11"/>
    <w:basedOn w:val="89"/>
    <w:qFormat/>
    <w:uiPriority w:val="51"/>
    <w:rPr>
      <w:color w:val="376092" w:themeColor="accent1" w:themeShade="BF"/>
    </w:rPr>
    <w:tblPr>
      <w:tblBorders>
        <w:top w:val="single" w:color="4F81BD" w:themeColor="accent1" w:sz="4" w:space="0"/>
        <w:bottom w:val="single" w:color="4F81BD" w:themeColor="accent1" w:sz="4" w:space="0"/>
      </w:tblBorders>
    </w:tblPr>
    <w:tblStylePr w:type="firstRow">
      <w:rPr>
        <w:b/>
        <w:bCs/>
      </w:rPr>
      <w:tcPr>
        <w:tcBorders>
          <w:bottom w:val="single" w:color="4F81BD" w:themeColor="accent1" w:sz="4" w:space="0"/>
        </w:tcBorders>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656">
    <w:name w:val="清单表 6 彩色 - 着色 11 CharProp3"/>
    <w:qFormat/>
    <w:uiPriority w:val="51"/>
    <w:rPr>
      <w:color w:val="376092" w:themeColor="accent1" w:themeShade="BF"/>
    </w:rPr>
  </w:style>
  <w:style w:type="character" w:customStyle="1" w:styleId="657">
    <w:name w:val="清单表 6 彩色 - 着色 11 CharProp2"/>
    <w:qFormat/>
    <w:uiPriority w:val="51"/>
    <w:rPr>
      <w:color w:val="376092" w:themeColor="accent1" w:themeShade="BF"/>
    </w:rPr>
  </w:style>
  <w:style w:type="character" w:customStyle="1" w:styleId="658">
    <w:name w:val="清单表 6 彩色 - 着色 11 CharProp1"/>
    <w:qFormat/>
    <w:uiPriority w:val="51"/>
    <w:rPr>
      <w:color w:val="376092" w:themeColor="accent1" w:themeShade="BF"/>
    </w:rPr>
  </w:style>
  <w:style w:type="character" w:customStyle="1" w:styleId="659">
    <w:name w:val="清单表 6 彩色 - 着色 11 CharProp"/>
    <w:qFormat/>
    <w:uiPriority w:val="51"/>
    <w:rPr>
      <w:color w:val="376092" w:themeColor="accent1" w:themeShade="BF"/>
    </w:rPr>
  </w:style>
  <w:style w:type="table" w:customStyle="1" w:styleId="660">
    <w:name w:val="清单表 6 彩色 - 着色 21"/>
    <w:basedOn w:val="89"/>
    <w:qFormat/>
    <w:uiPriority w:val="51"/>
    <w:rPr>
      <w:color w:val="953735" w:themeColor="accent2" w:themeShade="BF"/>
    </w:rPr>
    <w:tblPr>
      <w:tblBorders>
        <w:top w:val="single" w:color="C0504D" w:themeColor="accent2" w:sz="4" w:space="0"/>
        <w:bottom w:val="single" w:color="C0504D" w:themeColor="accent2" w:sz="4" w:space="0"/>
      </w:tblBorders>
    </w:tblPr>
    <w:tblStylePr w:type="firstRow">
      <w:rPr>
        <w:b/>
        <w:bCs/>
      </w:rPr>
      <w:tcPr>
        <w:tcBorders>
          <w:bottom w:val="single" w:color="C0504D" w:themeColor="accent2" w:sz="4" w:space="0"/>
        </w:tcBorders>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character" w:customStyle="1" w:styleId="661">
    <w:name w:val="清单表 6 彩色 - 着色 21 CharProp3"/>
    <w:qFormat/>
    <w:uiPriority w:val="51"/>
    <w:rPr>
      <w:color w:val="953735" w:themeColor="accent2" w:themeShade="BF"/>
    </w:rPr>
  </w:style>
  <w:style w:type="character" w:customStyle="1" w:styleId="662">
    <w:name w:val="清单表 6 彩色 - 着色 21 CharProp2"/>
    <w:qFormat/>
    <w:uiPriority w:val="51"/>
    <w:rPr>
      <w:color w:val="953735" w:themeColor="accent2" w:themeShade="BF"/>
    </w:rPr>
  </w:style>
  <w:style w:type="character" w:customStyle="1" w:styleId="663">
    <w:name w:val="清单表 6 彩色 - 着色 21 CharProp1"/>
    <w:qFormat/>
    <w:uiPriority w:val="51"/>
    <w:rPr>
      <w:color w:val="953735" w:themeColor="accent2" w:themeShade="BF"/>
    </w:rPr>
  </w:style>
  <w:style w:type="character" w:customStyle="1" w:styleId="664">
    <w:name w:val="清单表 6 彩色 - 着色 21 CharProp"/>
    <w:qFormat/>
    <w:uiPriority w:val="51"/>
    <w:rPr>
      <w:color w:val="953735" w:themeColor="accent2" w:themeShade="BF"/>
    </w:rPr>
  </w:style>
  <w:style w:type="table" w:customStyle="1" w:styleId="665">
    <w:name w:val="清单表 6 彩色 - 着色 31"/>
    <w:basedOn w:val="89"/>
    <w:qFormat/>
    <w:uiPriority w:val="51"/>
    <w:rPr>
      <w:color w:val="77933C" w:themeColor="accent3" w:themeShade="BF"/>
    </w:rPr>
    <w:tblPr>
      <w:tblBorders>
        <w:top w:val="single" w:color="9BBB59" w:themeColor="accent3" w:sz="4" w:space="0"/>
        <w:bottom w:val="single" w:color="9BBB59" w:themeColor="accent3" w:sz="4" w:space="0"/>
      </w:tblBorders>
    </w:tblPr>
    <w:tblStylePr w:type="firstRow">
      <w:rPr>
        <w:b/>
        <w:bCs/>
      </w:rPr>
      <w:tcPr>
        <w:tcBorders>
          <w:bottom w:val="single" w:color="9BBB59" w:themeColor="accent3" w:sz="4" w:space="0"/>
        </w:tcBorders>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character" w:customStyle="1" w:styleId="666">
    <w:name w:val="清单表 6 彩色 - 着色 31 CharProp3"/>
    <w:qFormat/>
    <w:uiPriority w:val="51"/>
    <w:rPr>
      <w:color w:val="77933C" w:themeColor="accent3" w:themeShade="BF"/>
    </w:rPr>
  </w:style>
  <w:style w:type="character" w:customStyle="1" w:styleId="667">
    <w:name w:val="清单表 6 彩色 - 着色 31 CharProp2"/>
    <w:qFormat/>
    <w:uiPriority w:val="51"/>
    <w:rPr>
      <w:color w:val="77933C" w:themeColor="accent3" w:themeShade="BF"/>
    </w:rPr>
  </w:style>
  <w:style w:type="character" w:customStyle="1" w:styleId="668">
    <w:name w:val="清单表 6 彩色 - 着色 31 CharProp1"/>
    <w:qFormat/>
    <w:uiPriority w:val="51"/>
    <w:rPr>
      <w:color w:val="77933C" w:themeColor="accent3" w:themeShade="BF"/>
    </w:rPr>
  </w:style>
  <w:style w:type="character" w:customStyle="1" w:styleId="669">
    <w:name w:val="清单表 6 彩色 - 着色 31 CharProp"/>
    <w:qFormat/>
    <w:uiPriority w:val="51"/>
    <w:rPr>
      <w:color w:val="77933C" w:themeColor="accent3" w:themeShade="BF"/>
    </w:rPr>
  </w:style>
  <w:style w:type="table" w:customStyle="1" w:styleId="670">
    <w:name w:val="清单表 6 彩色 - 着色 41"/>
    <w:basedOn w:val="89"/>
    <w:qFormat/>
    <w:uiPriority w:val="51"/>
    <w:rPr>
      <w:color w:val="604A7B" w:themeColor="accent4" w:themeShade="BF"/>
    </w:rPr>
    <w:tblPr>
      <w:tblBorders>
        <w:top w:val="single" w:color="8064A2" w:themeColor="accent4" w:sz="4" w:space="0"/>
        <w:bottom w:val="single" w:color="8064A2" w:themeColor="accent4" w:sz="4" w:space="0"/>
      </w:tblBorders>
    </w:tblPr>
    <w:tblStylePr w:type="firstRow">
      <w:rPr>
        <w:b/>
        <w:bCs/>
      </w:rPr>
      <w:tcPr>
        <w:tcBorders>
          <w:bottom w:val="single" w:color="8064A2" w:themeColor="accent4" w:sz="4" w:space="0"/>
        </w:tcBorders>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character" w:customStyle="1" w:styleId="671">
    <w:name w:val="清单表 6 彩色 - 着色 41 CharProp3"/>
    <w:qFormat/>
    <w:uiPriority w:val="51"/>
    <w:rPr>
      <w:color w:val="604A7B" w:themeColor="accent4" w:themeShade="BF"/>
    </w:rPr>
  </w:style>
  <w:style w:type="character" w:customStyle="1" w:styleId="672">
    <w:name w:val="清单表 6 彩色 - 着色 41 CharProp2"/>
    <w:qFormat/>
    <w:uiPriority w:val="51"/>
    <w:rPr>
      <w:color w:val="604A7B" w:themeColor="accent4" w:themeShade="BF"/>
    </w:rPr>
  </w:style>
  <w:style w:type="character" w:customStyle="1" w:styleId="673">
    <w:name w:val="清单表 6 彩色 - 着色 41 CharProp1"/>
    <w:qFormat/>
    <w:uiPriority w:val="51"/>
    <w:rPr>
      <w:color w:val="604A7B" w:themeColor="accent4" w:themeShade="BF"/>
    </w:rPr>
  </w:style>
  <w:style w:type="character" w:customStyle="1" w:styleId="674">
    <w:name w:val="清单表 6 彩色 - 着色 41 CharProp"/>
    <w:qFormat/>
    <w:uiPriority w:val="51"/>
    <w:rPr>
      <w:color w:val="604A7B" w:themeColor="accent4" w:themeShade="BF"/>
    </w:rPr>
  </w:style>
  <w:style w:type="table" w:customStyle="1" w:styleId="675">
    <w:name w:val="清单表 6 彩色 - 着色 51"/>
    <w:basedOn w:val="89"/>
    <w:qFormat/>
    <w:uiPriority w:val="51"/>
    <w:rPr>
      <w:color w:val="31859C" w:themeColor="accent5" w:themeShade="BF"/>
    </w:rPr>
    <w:tblPr>
      <w:tblBorders>
        <w:top w:val="single" w:color="4BACC6" w:themeColor="accent5" w:sz="4" w:space="0"/>
        <w:bottom w:val="single" w:color="4BACC6" w:themeColor="accent5" w:sz="4" w:space="0"/>
      </w:tblBorders>
    </w:tblPr>
    <w:tblStylePr w:type="firstRow">
      <w:rPr>
        <w:b/>
        <w:bCs/>
      </w:rPr>
      <w:tcPr>
        <w:tcBorders>
          <w:bottom w:val="single" w:color="4BACC6" w:themeColor="accent5" w:sz="4" w:space="0"/>
        </w:tcBorders>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676">
    <w:name w:val="清单表 6 彩色 - 着色 51 CharProp3"/>
    <w:qFormat/>
    <w:uiPriority w:val="51"/>
    <w:rPr>
      <w:color w:val="31859C" w:themeColor="accent5" w:themeShade="BF"/>
    </w:rPr>
  </w:style>
  <w:style w:type="character" w:customStyle="1" w:styleId="677">
    <w:name w:val="清单表 6 彩色 - 着色 51 CharProp2"/>
    <w:qFormat/>
    <w:uiPriority w:val="51"/>
    <w:rPr>
      <w:color w:val="31859C" w:themeColor="accent5" w:themeShade="BF"/>
    </w:rPr>
  </w:style>
  <w:style w:type="character" w:customStyle="1" w:styleId="678">
    <w:name w:val="清单表 6 彩色 - 着色 51 CharProp1"/>
    <w:qFormat/>
    <w:uiPriority w:val="51"/>
    <w:rPr>
      <w:color w:val="31859C" w:themeColor="accent5" w:themeShade="BF"/>
    </w:rPr>
  </w:style>
  <w:style w:type="character" w:customStyle="1" w:styleId="679">
    <w:name w:val="清单表 6 彩色 - 着色 51 CharProp"/>
    <w:qFormat/>
    <w:uiPriority w:val="51"/>
    <w:rPr>
      <w:color w:val="31859C" w:themeColor="accent5" w:themeShade="BF"/>
    </w:rPr>
  </w:style>
  <w:style w:type="table" w:customStyle="1" w:styleId="680">
    <w:name w:val="清单表 6 彩色 - 着色 61"/>
    <w:basedOn w:val="89"/>
    <w:qFormat/>
    <w:uiPriority w:val="51"/>
    <w:rPr>
      <w:color w:val="E46C0A" w:themeColor="accent6" w:themeShade="BF"/>
    </w:rPr>
    <w:tblPr>
      <w:tblBorders>
        <w:top w:val="single" w:color="F79646" w:themeColor="accent6" w:sz="4" w:space="0"/>
        <w:bottom w:val="single" w:color="F79646" w:themeColor="accent6" w:sz="4" w:space="0"/>
      </w:tblBorders>
    </w:tblPr>
    <w:tblStylePr w:type="firstRow">
      <w:rPr>
        <w:b/>
        <w:bCs/>
      </w:rPr>
      <w:tcPr>
        <w:tcBorders>
          <w:bottom w:val="single" w:color="F79646" w:themeColor="accent6" w:sz="4" w:space="0"/>
        </w:tcBorders>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character" w:customStyle="1" w:styleId="681">
    <w:name w:val="清单表 6 彩色 - 着色 61 CharProp3"/>
    <w:qFormat/>
    <w:uiPriority w:val="51"/>
    <w:rPr>
      <w:color w:val="E46C0A" w:themeColor="accent6" w:themeShade="BF"/>
    </w:rPr>
  </w:style>
  <w:style w:type="character" w:customStyle="1" w:styleId="682">
    <w:name w:val="清单表 6 彩色 - 着色 61 CharProp2"/>
    <w:qFormat/>
    <w:uiPriority w:val="51"/>
    <w:rPr>
      <w:color w:val="E46C0A" w:themeColor="accent6" w:themeShade="BF"/>
    </w:rPr>
  </w:style>
  <w:style w:type="character" w:customStyle="1" w:styleId="683">
    <w:name w:val="清单表 6 彩色 - 着色 61 CharProp1"/>
    <w:qFormat/>
    <w:uiPriority w:val="51"/>
    <w:rPr>
      <w:color w:val="E46C0A" w:themeColor="accent6" w:themeShade="BF"/>
    </w:rPr>
  </w:style>
  <w:style w:type="character" w:customStyle="1" w:styleId="684">
    <w:name w:val="清单表 6 彩色 - 着色 61 CharProp"/>
    <w:qFormat/>
    <w:uiPriority w:val="51"/>
    <w:rPr>
      <w:color w:val="E46C0A" w:themeColor="accent6" w:themeShade="BF"/>
    </w:rPr>
  </w:style>
  <w:style w:type="table" w:customStyle="1" w:styleId="685">
    <w:name w:val="清单表 7 彩色1"/>
    <w:basedOn w:val="89"/>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686">
    <w:name w:val="清单表 7 彩色1 CharProp3"/>
    <w:qFormat/>
    <w:uiPriority w:val="52"/>
    <w:rPr>
      <w:color w:val="000000" w:themeColor="text1"/>
      <w14:textFill>
        <w14:solidFill>
          <w14:schemeClr w14:val="tx1"/>
        </w14:solidFill>
      </w14:textFill>
    </w:rPr>
  </w:style>
  <w:style w:type="character" w:customStyle="1" w:styleId="687">
    <w:name w:val="清单表 7 彩色1 CharProp2"/>
    <w:qFormat/>
    <w:uiPriority w:val="52"/>
    <w:rPr>
      <w:color w:val="000000" w:themeColor="text1"/>
      <w14:textFill>
        <w14:solidFill>
          <w14:schemeClr w14:val="tx1"/>
        </w14:solidFill>
      </w14:textFill>
    </w:rPr>
  </w:style>
  <w:style w:type="character" w:customStyle="1" w:styleId="688">
    <w:name w:val="清单表 7 彩色1 CharProp1"/>
    <w:qFormat/>
    <w:uiPriority w:val="52"/>
    <w:rPr>
      <w:color w:val="000000" w:themeColor="text1"/>
      <w14:textFill>
        <w14:solidFill>
          <w14:schemeClr w14:val="tx1"/>
        </w14:solidFill>
      </w14:textFill>
    </w:rPr>
  </w:style>
  <w:style w:type="character" w:customStyle="1" w:styleId="689">
    <w:name w:val="清单表 7 彩色1 CharProp"/>
    <w:qFormat/>
    <w:uiPriority w:val="52"/>
    <w:rPr>
      <w:color w:val="000000" w:themeColor="text1"/>
      <w14:textFill>
        <w14:solidFill>
          <w14:schemeClr w14:val="tx1"/>
        </w14:solidFill>
      </w14:textFill>
    </w:rPr>
  </w:style>
  <w:style w:type="table" w:customStyle="1" w:styleId="690">
    <w:name w:val="清单表 7 彩色 - 着色 11"/>
    <w:basedOn w:val="89"/>
    <w:qFormat/>
    <w:uiPriority w:val="52"/>
    <w:rPr>
      <w:color w:val="376092" w:themeColor="accent1" w:themeShade="BF"/>
    </w:rPr>
    <w:tblStylePr w:type="firstRow">
      <w:rPr>
        <w:rFonts w:asciiTheme="majorHAnsi" w:hAnsiTheme="majorHAnsi" w:eastAsiaTheme="majorEastAsia" w:cstheme="majorBidi"/>
        <w:i/>
        <w:iCs/>
        <w:sz w:val="26"/>
      </w:rPr>
      <w:tcPr>
        <w:tcBorders>
          <w:bottom w:val="single" w:color="4F81BD"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F81BD"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F81BD"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F81BD" w:themeColor="accent1" w:sz="4" w:space="0"/>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691">
    <w:name w:val="清单表 7 彩色 - 着色 11 CharProp3"/>
    <w:qFormat/>
    <w:uiPriority w:val="52"/>
    <w:rPr>
      <w:color w:val="376092" w:themeColor="accent1" w:themeShade="BF"/>
    </w:rPr>
  </w:style>
  <w:style w:type="character" w:customStyle="1" w:styleId="692">
    <w:name w:val="清单表 7 彩色 - 着色 11 CharProp2"/>
    <w:qFormat/>
    <w:uiPriority w:val="52"/>
    <w:rPr>
      <w:color w:val="376092" w:themeColor="accent1" w:themeShade="BF"/>
    </w:rPr>
  </w:style>
  <w:style w:type="character" w:customStyle="1" w:styleId="693">
    <w:name w:val="清单表 7 彩色 - 着色 11 CharProp1"/>
    <w:qFormat/>
    <w:uiPriority w:val="52"/>
    <w:rPr>
      <w:color w:val="376092" w:themeColor="accent1" w:themeShade="BF"/>
    </w:rPr>
  </w:style>
  <w:style w:type="character" w:customStyle="1" w:styleId="694">
    <w:name w:val="清单表 7 彩色 - 着色 11 CharProp"/>
    <w:qFormat/>
    <w:uiPriority w:val="52"/>
    <w:rPr>
      <w:color w:val="376092" w:themeColor="accent1" w:themeShade="BF"/>
    </w:rPr>
  </w:style>
  <w:style w:type="table" w:customStyle="1" w:styleId="695">
    <w:name w:val="清单表 7 彩色 - 着色 21"/>
    <w:basedOn w:val="89"/>
    <w:qFormat/>
    <w:uiPriority w:val="52"/>
    <w:rPr>
      <w:color w:val="953735" w:themeColor="accent2" w:themeShade="BF"/>
    </w:rPr>
    <w:tblStylePr w:type="firstRow">
      <w:rPr>
        <w:rFonts w:asciiTheme="majorHAnsi" w:hAnsiTheme="majorHAnsi" w:eastAsiaTheme="majorEastAsia" w:cstheme="majorBidi"/>
        <w:i/>
        <w:iCs/>
        <w:sz w:val="26"/>
      </w:rPr>
      <w:tcPr>
        <w:tcBorders>
          <w:bottom w:val="single" w:color="C0504D"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C0504D"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C0504D"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C0504D" w:themeColor="accent2" w:sz="4" w:space="0"/>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696">
    <w:name w:val="清单表 7 彩色 - 着色 21 CharProp3"/>
    <w:qFormat/>
    <w:uiPriority w:val="52"/>
    <w:rPr>
      <w:color w:val="953735" w:themeColor="accent2" w:themeShade="BF"/>
    </w:rPr>
  </w:style>
  <w:style w:type="character" w:customStyle="1" w:styleId="697">
    <w:name w:val="清单表 7 彩色 - 着色 21 CharProp2"/>
    <w:qFormat/>
    <w:uiPriority w:val="52"/>
    <w:rPr>
      <w:color w:val="953735" w:themeColor="accent2" w:themeShade="BF"/>
    </w:rPr>
  </w:style>
  <w:style w:type="character" w:customStyle="1" w:styleId="698">
    <w:name w:val="清单表 7 彩色 - 着色 21 CharProp1"/>
    <w:qFormat/>
    <w:uiPriority w:val="52"/>
    <w:rPr>
      <w:color w:val="953735" w:themeColor="accent2" w:themeShade="BF"/>
    </w:rPr>
  </w:style>
  <w:style w:type="character" w:customStyle="1" w:styleId="699">
    <w:name w:val="清单表 7 彩色 - 着色 21 CharProp"/>
    <w:qFormat/>
    <w:uiPriority w:val="52"/>
    <w:rPr>
      <w:color w:val="953735" w:themeColor="accent2" w:themeShade="BF"/>
    </w:rPr>
  </w:style>
  <w:style w:type="table" w:customStyle="1" w:styleId="700">
    <w:name w:val="清单表 7 彩色 - 着色 31"/>
    <w:basedOn w:val="89"/>
    <w:qFormat/>
    <w:uiPriority w:val="52"/>
    <w:rPr>
      <w:color w:val="77933C" w:themeColor="accent3" w:themeShade="BF"/>
    </w:rPr>
    <w:tblStylePr w:type="firstRow">
      <w:rPr>
        <w:rFonts w:asciiTheme="majorHAnsi" w:hAnsiTheme="majorHAnsi" w:eastAsiaTheme="majorEastAsia" w:cstheme="majorBidi"/>
        <w:i/>
        <w:iCs/>
        <w:sz w:val="26"/>
      </w:rPr>
      <w:tcPr>
        <w:tcBorders>
          <w:bottom w:val="single" w:color="9BBB59"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9BBB5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9BBB59"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9BBB59" w:themeColor="accent3" w:sz="4" w:space="0"/>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701">
    <w:name w:val="清单表 7 彩色 - 着色 31 CharProp3"/>
    <w:qFormat/>
    <w:uiPriority w:val="52"/>
    <w:rPr>
      <w:color w:val="77933C" w:themeColor="accent3" w:themeShade="BF"/>
    </w:rPr>
  </w:style>
  <w:style w:type="character" w:customStyle="1" w:styleId="702">
    <w:name w:val="清单表 7 彩色 - 着色 31 CharProp2"/>
    <w:qFormat/>
    <w:uiPriority w:val="52"/>
    <w:rPr>
      <w:color w:val="77933C" w:themeColor="accent3" w:themeShade="BF"/>
    </w:rPr>
  </w:style>
  <w:style w:type="character" w:customStyle="1" w:styleId="703">
    <w:name w:val="清单表 7 彩色 - 着色 31 CharProp1"/>
    <w:qFormat/>
    <w:uiPriority w:val="52"/>
    <w:rPr>
      <w:color w:val="77933C" w:themeColor="accent3" w:themeShade="BF"/>
    </w:rPr>
  </w:style>
  <w:style w:type="character" w:customStyle="1" w:styleId="704">
    <w:name w:val="清单表 7 彩色 - 着色 31 CharProp"/>
    <w:qFormat/>
    <w:uiPriority w:val="52"/>
    <w:rPr>
      <w:color w:val="77933C" w:themeColor="accent3" w:themeShade="BF"/>
    </w:rPr>
  </w:style>
  <w:style w:type="table" w:customStyle="1" w:styleId="705">
    <w:name w:val="清单表 7 彩色 - 着色 41"/>
    <w:basedOn w:val="89"/>
    <w:qFormat/>
    <w:uiPriority w:val="52"/>
    <w:rPr>
      <w:color w:val="604A7B" w:themeColor="accent4" w:themeShade="BF"/>
    </w:rPr>
    <w:tblStylePr w:type="firstRow">
      <w:rPr>
        <w:rFonts w:asciiTheme="majorHAnsi" w:hAnsiTheme="majorHAnsi" w:eastAsiaTheme="majorEastAsia" w:cstheme="majorBidi"/>
        <w:i/>
        <w:iCs/>
        <w:sz w:val="26"/>
      </w:rPr>
      <w:tcPr>
        <w:tcBorders>
          <w:bottom w:val="single" w:color="8064A2"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8064A2"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8064A2"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8064A2" w:themeColor="accent4" w:sz="4" w:space="0"/>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706">
    <w:name w:val="清单表 7 彩色 - 着色 41 CharProp3"/>
    <w:qFormat/>
    <w:uiPriority w:val="52"/>
    <w:rPr>
      <w:color w:val="604A7B" w:themeColor="accent4" w:themeShade="BF"/>
    </w:rPr>
  </w:style>
  <w:style w:type="character" w:customStyle="1" w:styleId="707">
    <w:name w:val="清单表 7 彩色 - 着色 41 CharProp2"/>
    <w:qFormat/>
    <w:uiPriority w:val="52"/>
    <w:rPr>
      <w:color w:val="604A7B" w:themeColor="accent4" w:themeShade="BF"/>
    </w:rPr>
  </w:style>
  <w:style w:type="character" w:customStyle="1" w:styleId="708">
    <w:name w:val="清单表 7 彩色 - 着色 41 CharProp1"/>
    <w:qFormat/>
    <w:uiPriority w:val="52"/>
    <w:rPr>
      <w:color w:val="604A7B" w:themeColor="accent4" w:themeShade="BF"/>
    </w:rPr>
  </w:style>
  <w:style w:type="character" w:customStyle="1" w:styleId="709">
    <w:name w:val="清单表 7 彩色 - 着色 41 CharProp"/>
    <w:qFormat/>
    <w:uiPriority w:val="52"/>
    <w:rPr>
      <w:color w:val="604A7B" w:themeColor="accent4" w:themeShade="BF"/>
    </w:rPr>
  </w:style>
  <w:style w:type="table" w:customStyle="1" w:styleId="710">
    <w:name w:val="清单表 7 彩色 - 着色 51"/>
    <w:basedOn w:val="89"/>
    <w:qFormat/>
    <w:uiPriority w:val="52"/>
    <w:rPr>
      <w:color w:val="31859C" w:themeColor="accent5" w:themeShade="BF"/>
    </w:rPr>
    <w:tblStylePr w:type="firstRow">
      <w:rPr>
        <w:rFonts w:asciiTheme="majorHAnsi" w:hAnsiTheme="majorHAnsi" w:eastAsiaTheme="majorEastAsia" w:cstheme="majorBidi"/>
        <w:i/>
        <w:iCs/>
        <w:sz w:val="26"/>
      </w:rPr>
      <w:tcPr>
        <w:tcBorders>
          <w:bottom w:val="single" w:color="4BACC6"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BACC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BACC6"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BACC6" w:themeColor="accent5" w:sz="4" w:space="0"/>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711">
    <w:name w:val="清单表 7 彩色 - 着色 51 CharProp3"/>
    <w:qFormat/>
    <w:uiPriority w:val="52"/>
    <w:rPr>
      <w:color w:val="31859C" w:themeColor="accent5" w:themeShade="BF"/>
    </w:rPr>
  </w:style>
  <w:style w:type="character" w:customStyle="1" w:styleId="712">
    <w:name w:val="清单表 7 彩色 - 着色 51 CharProp2"/>
    <w:qFormat/>
    <w:uiPriority w:val="52"/>
    <w:rPr>
      <w:color w:val="31859C" w:themeColor="accent5" w:themeShade="BF"/>
    </w:rPr>
  </w:style>
  <w:style w:type="character" w:customStyle="1" w:styleId="713">
    <w:name w:val="清单表 7 彩色 - 着色 51 CharProp1"/>
    <w:qFormat/>
    <w:uiPriority w:val="52"/>
    <w:rPr>
      <w:color w:val="31859C" w:themeColor="accent5" w:themeShade="BF"/>
    </w:rPr>
  </w:style>
  <w:style w:type="character" w:customStyle="1" w:styleId="714">
    <w:name w:val="清单表 7 彩色 - 着色 51 CharProp"/>
    <w:qFormat/>
    <w:uiPriority w:val="52"/>
    <w:rPr>
      <w:color w:val="31859C" w:themeColor="accent5" w:themeShade="BF"/>
    </w:rPr>
  </w:style>
  <w:style w:type="table" w:customStyle="1" w:styleId="715">
    <w:name w:val="清单表 7 彩色 - 着色 61"/>
    <w:basedOn w:val="89"/>
    <w:qFormat/>
    <w:uiPriority w:val="52"/>
    <w:rPr>
      <w:color w:val="E46C0A" w:themeColor="accent6" w:themeShade="BF"/>
    </w:rPr>
    <w:tblStylePr w:type="firstRow">
      <w:rPr>
        <w:rFonts w:asciiTheme="majorHAnsi" w:hAnsiTheme="majorHAnsi" w:eastAsiaTheme="majorEastAsia" w:cstheme="majorBidi"/>
        <w:i/>
        <w:iCs/>
        <w:sz w:val="26"/>
      </w:rPr>
      <w:tcPr>
        <w:tcBorders>
          <w:bottom w:val="single" w:color="F79646"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7964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79646"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79646" w:themeColor="accent6" w:sz="4" w:space="0"/>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716">
    <w:name w:val="清单表 7 彩色 - 着色 61 CharProp3"/>
    <w:qFormat/>
    <w:uiPriority w:val="52"/>
    <w:rPr>
      <w:color w:val="E46C0A" w:themeColor="accent6" w:themeShade="BF"/>
    </w:rPr>
  </w:style>
  <w:style w:type="character" w:customStyle="1" w:styleId="717">
    <w:name w:val="清单表 7 彩色 - 着色 61 CharProp2"/>
    <w:qFormat/>
    <w:uiPriority w:val="52"/>
    <w:rPr>
      <w:color w:val="E46C0A" w:themeColor="accent6" w:themeShade="BF"/>
    </w:rPr>
  </w:style>
  <w:style w:type="character" w:customStyle="1" w:styleId="718">
    <w:name w:val="清单表 7 彩色 - 着色 61 CharProp1"/>
    <w:qFormat/>
    <w:uiPriority w:val="52"/>
    <w:rPr>
      <w:color w:val="E46C0A" w:themeColor="accent6" w:themeShade="BF"/>
    </w:rPr>
  </w:style>
  <w:style w:type="character" w:customStyle="1" w:styleId="719">
    <w:name w:val="清单表 7 彩色 - 着色 61 CharProp"/>
    <w:qFormat/>
    <w:uiPriority w:val="52"/>
    <w:rPr>
      <w:color w:val="E46C0A" w:themeColor="accent6" w:themeShade="BF"/>
    </w:rPr>
  </w:style>
  <w:style w:type="character" w:customStyle="1" w:styleId="720">
    <w:name w:val="日期 字符"/>
    <w:basedOn w:val="319"/>
    <w:link w:val="51"/>
    <w:qFormat/>
    <w:uiPriority w:val="0"/>
    <w:rPr>
      <w:rFonts w:ascii="Arial" w:hAnsi="Arial" w:eastAsia="Arial" w:cs="Arial"/>
      <w:snapToGrid w:val="0"/>
      <w:color w:val="000000"/>
      <w:sz w:val="21"/>
      <w:szCs w:val="21"/>
      <w:lang w:eastAsia="en-US"/>
    </w:rPr>
  </w:style>
  <w:style w:type="character" w:customStyle="1" w:styleId="721">
    <w:name w:val="书籍标题1"/>
    <w:basedOn w:val="319"/>
    <w:qFormat/>
    <w:uiPriority w:val="33"/>
    <w:rPr>
      <w:b/>
      <w:bCs/>
      <w:i/>
      <w:iCs/>
      <w:spacing w:val="5"/>
    </w:rPr>
  </w:style>
  <w:style w:type="paragraph" w:customStyle="1" w:styleId="722">
    <w:name w:val="书目1"/>
    <w:basedOn w:val="1"/>
    <w:next w:val="1"/>
    <w:semiHidden/>
    <w:unhideWhenUsed/>
    <w:qFormat/>
    <w:uiPriority w:val="37"/>
  </w:style>
  <w:style w:type="character" w:customStyle="1" w:styleId="723">
    <w:name w:val="书目1 CharProp3"/>
    <w:qFormat/>
    <w:uiPriority w:val="37"/>
  </w:style>
  <w:style w:type="character" w:customStyle="1" w:styleId="724">
    <w:name w:val="书目1 CharProp2"/>
    <w:qFormat/>
    <w:uiPriority w:val="37"/>
  </w:style>
  <w:style w:type="character" w:customStyle="1" w:styleId="725">
    <w:name w:val="书目1 CharProp1"/>
    <w:qFormat/>
    <w:uiPriority w:val="37"/>
  </w:style>
  <w:style w:type="character" w:customStyle="1" w:styleId="726">
    <w:name w:val="书目1 CharProp"/>
    <w:qFormat/>
    <w:uiPriority w:val="37"/>
  </w:style>
  <w:style w:type="table" w:customStyle="1" w:styleId="727">
    <w:name w:val="网格表 1 浅色1"/>
    <w:basedOn w:val="89"/>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728">
    <w:name w:val="网格表 1 浅色 - 着色 11"/>
    <w:basedOn w:val="89"/>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729">
    <w:name w:val="网格表 1 浅色 - 着色 21"/>
    <w:basedOn w:val="89"/>
    <w:qFormat/>
    <w:uiPriority w:val="46"/>
    <w:tblPr>
      <w:tblBorders>
        <w:top w:val="single" w:color="E5B8B7" w:themeColor="accent2" w:themeTint="66" w:sz="4" w:space="0"/>
        <w:left w:val="single" w:color="E5B8B7" w:themeColor="accent2" w:themeTint="66" w:sz="4" w:space="0"/>
        <w:bottom w:val="single" w:color="E5B8B7" w:themeColor="accent2" w:themeTint="66" w:sz="4" w:space="0"/>
        <w:right w:val="single" w:color="E5B8B7" w:themeColor="accent2" w:themeTint="66" w:sz="4" w:space="0"/>
        <w:insideH w:val="single" w:color="E5B8B7" w:themeColor="accent2" w:themeTint="66" w:sz="4" w:space="0"/>
        <w:insideV w:val="single" w:color="E5B8B7" w:themeColor="accent2" w:themeTint="66" w:sz="4" w:space="0"/>
      </w:tblBorders>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2" w:space="0"/>
        </w:tcBorders>
      </w:tcPr>
    </w:tblStylePr>
    <w:tblStylePr w:type="firstCol">
      <w:rPr>
        <w:b/>
        <w:bCs/>
      </w:rPr>
    </w:tblStylePr>
    <w:tblStylePr w:type="lastCol">
      <w:rPr>
        <w:b/>
        <w:bCs/>
      </w:rPr>
    </w:tblStylePr>
  </w:style>
  <w:style w:type="table" w:customStyle="1" w:styleId="730">
    <w:name w:val="网格表 1 浅色 - 着色 31"/>
    <w:basedOn w:val="89"/>
    <w:qFormat/>
    <w:uiPriority w:val="46"/>
    <w:tblPr>
      <w:tblBorders>
        <w:top w:val="single" w:color="D6E3BC" w:themeColor="accent3" w:themeTint="66" w:sz="4" w:space="0"/>
        <w:left w:val="single" w:color="D6E3BC" w:themeColor="accent3" w:themeTint="66" w:sz="4" w:space="0"/>
        <w:bottom w:val="single" w:color="D6E3BC" w:themeColor="accent3" w:themeTint="66" w:sz="4" w:space="0"/>
        <w:right w:val="single" w:color="D6E3BC" w:themeColor="accent3" w:themeTint="66" w:sz="4" w:space="0"/>
        <w:insideH w:val="single" w:color="D6E3BC" w:themeColor="accent3" w:themeTint="66" w:sz="4" w:space="0"/>
        <w:insideV w:val="single" w:color="D6E3BC" w:themeColor="accent3" w:themeTint="66" w:sz="4" w:space="0"/>
      </w:tblBorders>
    </w:tblPr>
    <w:tblStylePr w:type="firstRow">
      <w:rPr>
        <w:b/>
        <w:bCs/>
      </w:rPr>
      <w:tcPr>
        <w:tcBorders>
          <w:bottom w:val="single" w:color="C2D69B" w:themeColor="accent3" w:themeTint="99" w:sz="12" w:space="0"/>
        </w:tcBorders>
      </w:tcPr>
    </w:tblStylePr>
    <w:tblStylePr w:type="lastRow">
      <w:rPr>
        <w:b/>
        <w:bCs/>
      </w:rPr>
      <w:tcPr>
        <w:tcBorders>
          <w:top w:val="double" w:color="C2D69B" w:themeColor="accent3" w:themeTint="99" w:sz="2" w:space="0"/>
        </w:tcBorders>
      </w:tcPr>
    </w:tblStylePr>
    <w:tblStylePr w:type="firstCol">
      <w:rPr>
        <w:b/>
        <w:bCs/>
      </w:rPr>
    </w:tblStylePr>
    <w:tblStylePr w:type="lastCol">
      <w:rPr>
        <w:b/>
        <w:bCs/>
      </w:rPr>
    </w:tblStylePr>
  </w:style>
  <w:style w:type="table" w:customStyle="1" w:styleId="731">
    <w:name w:val="网格表 1 浅色 - 着色 41"/>
    <w:basedOn w:val="89"/>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732">
    <w:name w:val="网格表 1 浅色 - 着色 51"/>
    <w:basedOn w:val="89"/>
    <w:qFormat/>
    <w:uiPriority w:val="46"/>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733">
    <w:name w:val="网格表 1 浅色 - 着色 61"/>
    <w:basedOn w:val="89"/>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table" w:customStyle="1" w:styleId="734">
    <w:name w:val="网格表 21"/>
    <w:basedOn w:val="89"/>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735">
    <w:name w:val="网格表 2 - 着色 11"/>
    <w:basedOn w:val="89"/>
    <w:qFormat/>
    <w:uiPriority w:val="47"/>
    <w:tblPr>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Pr>
    <w:tblStylePr w:type="firstRow">
      <w:rPr>
        <w:b/>
        <w:bCs/>
      </w:rPr>
      <w:tcPr>
        <w:tcBorders>
          <w:top w:val="nil"/>
          <w:bottom w:val="single" w:color="95B3D7" w:themeColor="accent1" w:themeTint="99" w:sz="12" w:space="0"/>
          <w:insideH w:val="nil"/>
          <w:insideV w:val="nil"/>
        </w:tcBorders>
        <w:shd w:val="clear" w:color="auto" w:fill="FFFFFF" w:themeFill="background1"/>
      </w:tcPr>
    </w:tblStylePr>
    <w:tblStylePr w:type="lastRow">
      <w:rPr>
        <w:b/>
        <w:bCs/>
      </w:r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736">
    <w:name w:val="网格表 2 - 着色 21"/>
    <w:basedOn w:val="89"/>
    <w:qFormat/>
    <w:uiPriority w:val="47"/>
    <w:tblPr>
      <w:tblBorders>
        <w:top w:val="single" w:color="D99594" w:themeColor="accent2" w:themeTint="99" w:sz="2" w:space="0"/>
        <w:bottom w:val="single" w:color="D99594" w:themeColor="accent2" w:themeTint="99" w:sz="2" w:space="0"/>
        <w:insideH w:val="single" w:color="D99594" w:themeColor="accent2" w:themeTint="99" w:sz="2" w:space="0"/>
        <w:insideV w:val="single" w:color="D99594" w:themeColor="accent2" w:themeTint="99" w:sz="2" w:space="0"/>
      </w:tblBorders>
    </w:tblPr>
    <w:tblStylePr w:type="firstRow">
      <w:rPr>
        <w:b/>
        <w:bCs/>
      </w:rPr>
      <w:tcPr>
        <w:tcBorders>
          <w:top w:val="nil"/>
          <w:bottom w:val="single" w:color="D99594" w:themeColor="accent2" w:themeTint="99" w:sz="12" w:space="0"/>
          <w:insideH w:val="nil"/>
          <w:insideV w:val="nil"/>
        </w:tcBorders>
        <w:shd w:val="clear" w:color="auto" w:fill="FFFFFF" w:themeFill="background1"/>
      </w:tcPr>
    </w:tblStylePr>
    <w:tblStylePr w:type="lastRow">
      <w:rPr>
        <w:b/>
        <w:bCs/>
      </w:rPr>
      <w:tcPr>
        <w:tcBorders>
          <w:top w:val="double" w:color="D99594"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737">
    <w:name w:val="网格表 2 - 着色 31"/>
    <w:basedOn w:val="89"/>
    <w:qFormat/>
    <w:uiPriority w:val="47"/>
    <w:tblPr>
      <w:tblBorders>
        <w:top w:val="single" w:color="C2D69B" w:themeColor="accent3" w:themeTint="99" w:sz="2" w:space="0"/>
        <w:bottom w:val="single" w:color="C2D69B" w:themeColor="accent3" w:themeTint="99" w:sz="2" w:space="0"/>
        <w:insideH w:val="single" w:color="C2D69B" w:themeColor="accent3" w:themeTint="99" w:sz="2" w:space="0"/>
        <w:insideV w:val="single" w:color="C2D69B" w:themeColor="accent3" w:themeTint="99" w:sz="2" w:space="0"/>
      </w:tblBorders>
    </w:tblPr>
    <w:tblStylePr w:type="firstRow">
      <w:rPr>
        <w:b/>
        <w:bCs/>
      </w:rPr>
      <w:tcPr>
        <w:tcBorders>
          <w:top w:val="nil"/>
          <w:bottom w:val="single" w:color="C2D69B" w:themeColor="accent3" w:themeTint="99" w:sz="12" w:space="0"/>
          <w:insideH w:val="nil"/>
          <w:insideV w:val="nil"/>
        </w:tcBorders>
        <w:shd w:val="clear" w:color="auto" w:fill="FFFFFF" w:themeFill="background1"/>
      </w:tcPr>
    </w:tblStylePr>
    <w:tblStylePr w:type="lastRow">
      <w:rPr>
        <w:b/>
        <w:bCs/>
      </w:rPr>
      <w:tcPr>
        <w:tcBorders>
          <w:top w:val="double" w:color="C2D69B"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738">
    <w:name w:val="网格表 2 - 着色 41"/>
    <w:basedOn w:val="89"/>
    <w:qFormat/>
    <w:uiPriority w:val="47"/>
    <w:tblPr>
      <w:tblBorders>
        <w:top w:val="single" w:color="B2A1C7" w:themeColor="accent4" w:themeTint="99" w:sz="2" w:space="0"/>
        <w:bottom w:val="single" w:color="B2A1C7" w:themeColor="accent4" w:themeTint="99" w:sz="2" w:space="0"/>
        <w:insideH w:val="single" w:color="B2A1C7" w:themeColor="accent4" w:themeTint="99" w:sz="2" w:space="0"/>
        <w:insideV w:val="single" w:color="B2A1C7" w:themeColor="accent4" w:themeTint="99" w:sz="2" w:space="0"/>
      </w:tblBorders>
    </w:tblPr>
    <w:tblStylePr w:type="firstRow">
      <w:rPr>
        <w:b/>
        <w:bCs/>
      </w:rPr>
      <w:tcPr>
        <w:tcBorders>
          <w:top w:val="nil"/>
          <w:bottom w:val="single" w:color="B2A1C7" w:themeColor="accent4" w:themeTint="99" w:sz="12" w:space="0"/>
          <w:insideH w:val="nil"/>
          <w:insideV w:val="nil"/>
        </w:tcBorders>
        <w:shd w:val="clear" w:color="auto" w:fill="FFFFFF" w:themeFill="background1"/>
      </w:tcPr>
    </w:tblStylePr>
    <w:tblStylePr w:type="lastRow">
      <w:rPr>
        <w:b/>
        <w:bCs/>
      </w:rPr>
      <w:tcPr>
        <w:tcBorders>
          <w:top w:val="double" w:color="B2A1C7"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739">
    <w:name w:val="网格表 2 - 着色 51"/>
    <w:basedOn w:val="89"/>
    <w:qFormat/>
    <w:uiPriority w:val="47"/>
    <w:tblPr>
      <w:tblBorders>
        <w:top w:val="single" w:color="92CDDC" w:themeColor="accent5" w:themeTint="99" w:sz="2" w:space="0"/>
        <w:bottom w:val="single" w:color="92CDDC" w:themeColor="accent5" w:themeTint="99" w:sz="2" w:space="0"/>
        <w:insideH w:val="single" w:color="92CDDC" w:themeColor="accent5" w:themeTint="99" w:sz="2" w:space="0"/>
        <w:insideV w:val="single" w:color="92CDDC" w:themeColor="accent5" w:themeTint="99" w:sz="2" w:space="0"/>
      </w:tblBorders>
    </w:tblPr>
    <w:tblStylePr w:type="firstRow">
      <w:rPr>
        <w:b/>
        <w:bCs/>
      </w:rPr>
      <w:tcPr>
        <w:tcBorders>
          <w:top w:val="nil"/>
          <w:bottom w:val="single" w:color="92CDDC" w:themeColor="accent5" w:themeTint="99" w:sz="12" w:space="0"/>
          <w:insideH w:val="nil"/>
          <w:insideV w:val="nil"/>
        </w:tcBorders>
        <w:shd w:val="clear" w:color="auto" w:fill="FFFFFF" w:themeFill="background1"/>
      </w:tcPr>
    </w:tblStylePr>
    <w:tblStylePr w:type="lastRow">
      <w:rPr>
        <w:b/>
        <w:bCs/>
      </w:rPr>
      <w:tcPr>
        <w:tcBorders>
          <w:top w:val="double" w:color="92CDDC"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740">
    <w:name w:val="网格表 2 - 着色 61"/>
    <w:basedOn w:val="89"/>
    <w:qFormat/>
    <w:uiPriority w:val="47"/>
    <w:tblPr>
      <w:tblBorders>
        <w:top w:val="single" w:color="FABF8F" w:themeColor="accent6" w:themeTint="99" w:sz="2" w:space="0"/>
        <w:bottom w:val="single" w:color="FABF8F" w:themeColor="accent6" w:themeTint="99" w:sz="2" w:space="0"/>
        <w:insideH w:val="single" w:color="FABF8F" w:themeColor="accent6" w:themeTint="99" w:sz="2" w:space="0"/>
        <w:insideV w:val="single" w:color="FABF8F" w:themeColor="accent6" w:themeTint="99" w:sz="2" w:space="0"/>
      </w:tblBorders>
    </w:tblPr>
    <w:tblStylePr w:type="firstRow">
      <w:rPr>
        <w:b/>
        <w:bCs/>
      </w:rPr>
      <w:tcPr>
        <w:tcBorders>
          <w:top w:val="nil"/>
          <w:bottom w:val="single" w:color="FABF8F" w:themeColor="accent6" w:themeTint="99" w:sz="12" w:space="0"/>
          <w:insideH w:val="nil"/>
          <w:insideV w:val="nil"/>
        </w:tcBorders>
        <w:shd w:val="clear" w:color="auto" w:fill="FFFFFF" w:themeFill="background1"/>
      </w:tcPr>
    </w:tblStylePr>
    <w:tblStylePr w:type="lastRow">
      <w:rPr>
        <w:b/>
        <w:bCs/>
      </w:rPr>
      <w:tcPr>
        <w:tcBorders>
          <w:top w:val="double" w:color="FABF8F"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741">
    <w:name w:val="网格表 31"/>
    <w:basedOn w:val="89"/>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742">
    <w:name w:val="网格表 3 - 着色 11"/>
    <w:basedOn w:val="89"/>
    <w:qFormat/>
    <w:uiPriority w:val="48"/>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743">
    <w:name w:val="网格表 3 - 着色 21"/>
    <w:basedOn w:val="89"/>
    <w:qFormat/>
    <w:uiPriority w:val="48"/>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bottom w:val="single" w:color="D99594" w:themeColor="accent2" w:themeTint="99" w:sz="4" w:space="0"/>
        </w:tcBorders>
      </w:tcPr>
    </w:tblStylePr>
    <w:tblStylePr w:type="nwCell">
      <w:tcPr>
        <w:tcBorders>
          <w:bottom w:val="single" w:color="D99594" w:themeColor="accent2" w:themeTint="99" w:sz="4" w:space="0"/>
        </w:tcBorders>
      </w:tcPr>
    </w:tblStylePr>
    <w:tblStylePr w:type="seCell">
      <w:tcPr>
        <w:tcBorders>
          <w:top w:val="single" w:color="D99594" w:themeColor="accent2" w:themeTint="99" w:sz="4" w:space="0"/>
        </w:tcBorders>
      </w:tcPr>
    </w:tblStylePr>
    <w:tblStylePr w:type="swCell">
      <w:tcPr>
        <w:tcBorders>
          <w:top w:val="single" w:color="D99594" w:themeColor="accent2" w:themeTint="99" w:sz="4" w:space="0"/>
        </w:tcBorders>
      </w:tcPr>
    </w:tblStylePr>
  </w:style>
  <w:style w:type="table" w:customStyle="1" w:styleId="744">
    <w:name w:val="网格表 3 - 着色 31"/>
    <w:basedOn w:val="89"/>
    <w:qFormat/>
    <w:uiPriority w:val="48"/>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bottom w:val="single" w:color="C2D69B" w:themeColor="accent3" w:themeTint="99" w:sz="4" w:space="0"/>
        </w:tcBorders>
      </w:tcPr>
    </w:tblStylePr>
    <w:tblStylePr w:type="nwCell">
      <w:tcPr>
        <w:tcBorders>
          <w:bottom w:val="single" w:color="C2D69B" w:themeColor="accent3" w:themeTint="99" w:sz="4" w:space="0"/>
        </w:tcBorders>
      </w:tcPr>
    </w:tblStylePr>
    <w:tblStylePr w:type="seCell">
      <w:tcPr>
        <w:tcBorders>
          <w:top w:val="single" w:color="C2D69B" w:themeColor="accent3" w:themeTint="99" w:sz="4" w:space="0"/>
        </w:tcBorders>
      </w:tcPr>
    </w:tblStylePr>
    <w:tblStylePr w:type="swCell">
      <w:tcPr>
        <w:tcBorders>
          <w:top w:val="single" w:color="C2D69B" w:themeColor="accent3" w:themeTint="99" w:sz="4" w:space="0"/>
        </w:tcBorders>
      </w:tcPr>
    </w:tblStylePr>
  </w:style>
  <w:style w:type="table" w:customStyle="1" w:styleId="745">
    <w:name w:val="网格表 3 - 着色 41"/>
    <w:basedOn w:val="89"/>
    <w:qFormat/>
    <w:uiPriority w:val="48"/>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bottom w:val="single" w:color="B2A1C7" w:themeColor="accent4" w:themeTint="99" w:sz="4" w:space="0"/>
        </w:tcBorders>
      </w:tcPr>
    </w:tblStylePr>
    <w:tblStylePr w:type="nwCell">
      <w:tcPr>
        <w:tcBorders>
          <w:bottom w:val="single" w:color="B2A1C7" w:themeColor="accent4" w:themeTint="99" w:sz="4" w:space="0"/>
        </w:tcBorders>
      </w:tcPr>
    </w:tblStylePr>
    <w:tblStylePr w:type="seCell">
      <w:tcPr>
        <w:tcBorders>
          <w:top w:val="single" w:color="B2A1C7" w:themeColor="accent4" w:themeTint="99" w:sz="4" w:space="0"/>
        </w:tcBorders>
      </w:tcPr>
    </w:tblStylePr>
    <w:tblStylePr w:type="swCell">
      <w:tcPr>
        <w:tcBorders>
          <w:top w:val="single" w:color="B2A1C7" w:themeColor="accent4" w:themeTint="99" w:sz="4" w:space="0"/>
        </w:tcBorders>
      </w:tcPr>
    </w:tblStylePr>
  </w:style>
  <w:style w:type="table" w:customStyle="1" w:styleId="746">
    <w:name w:val="网格表 3 - 着色 51"/>
    <w:basedOn w:val="89"/>
    <w:qFormat/>
    <w:uiPriority w:val="48"/>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bottom w:val="single" w:color="92CDDC" w:themeColor="accent5" w:themeTint="99" w:sz="4" w:space="0"/>
        </w:tcBorders>
      </w:tcPr>
    </w:tblStylePr>
    <w:tblStylePr w:type="nwCell">
      <w:tcPr>
        <w:tcBorders>
          <w:bottom w:val="single" w:color="92CDDC" w:themeColor="accent5" w:themeTint="99" w:sz="4" w:space="0"/>
        </w:tcBorders>
      </w:tcPr>
    </w:tblStylePr>
    <w:tblStylePr w:type="seCell">
      <w:tcPr>
        <w:tcBorders>
          <w:top w:val="single" w:color="92CDDC" w:themeColor="accent5" w:themeTint="99" w:sz="4" w:space="0"/>
        </w:tcBorders>
      </w:tcPr>
    </w:tblStylePr>
    <w:tblStylePr w:type="swCell">
      <w:tcPr>
        <w:tcBorders>
          <w:top w:val="single" w:color="92CDDC" w:themeColor="accent5" w:themeTint="99" w:sz="4" w:space="0"/>
        </w:tcBorders>
      </w:tcPr>
    </w:tblStylePr>
  </w:style>
  <w:style w:type="table" w:customStyle="1" w:styleId="747">
    <w:name w:val="网格表 3 - 着色 61"/>
    <w:basedOn w:val="89"/>
    <w:qFormat/>
    <w:uiPriority w:val="48"/>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table" w:customStyle="1" w:styleId="748">
    <w:name w:val="网格表 41"/>
    <w:basedOn w:val="89"/>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749">
    <w:name w:val="网格表 4 - 着色 11"/>
    <w:basedOn w:val="89"/>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750">
    <w:name w:val="网格表 4 - 着色 21"/>
    <w:basedOn w:val="89"/>
    <w:qFormat/>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751">
    <w:name w:val="网格表 4 - 着色 31"/>
    <w:basedOn w:val="89"/>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752">
    <w:name w:val="网格表 4 - 着色 41"/>
    <w:basedOn w:val="89"/>
    <w:qFormat/>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753">
    <w:name w:val="网格表 4 - 着色 51"/>
    <w:basedOn w:val="89"/>
    <w:qFormat/>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754">
    <w:name w:val="网格表 4 - 着色 61"/>
    <w:basedOn w:val="89"/>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755">
    <w:name w:val="网格表 5 深色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756">
    <w:name w:val="网格表 5 深色 - 着色 1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 w:type="table" w:customStyle="1" w:styleId="757">
    <w:name w:val="网格表 5 深色 - 着色 2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DBDB"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table" w:customStyle="1" w:styleId="758">
    <w:name w:val="网格表 5 深色 - 着色 3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cPr>
        <w:shd w:val="clear" w:color="auto" w:fill="D6E3BC" w:themeFill="accent3" w:themeFillTint="66"/>
      </w:tcPr>
    </w:tblStylePr>
    <w:tblStylePr w:type="band1Horz">
      <w:tcPr>
        <w:shd w:val="clear" w:color="auto" w:fill="D6E3BC" w:themeFill="accent3" w:themeFillTint="66"/>
      </w:tcPr>
    </w:tblStylePr>
  </w:style>
  <w:style w:type="table" w:customStyle="1" w:styleId="759">
    <w:name w:val="网格表 5 深色 - 着色 4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5DFE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64A2"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64A2"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64A2"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64A2" w:themeFill="accent4"/>
      </w:tcPr>
    </w:tblStylePr>
    <w:tblStylePr w:type="band1Vert">
      <w:tcPr>
        <w:shd w:val="clear" w:color="auto" w:fill="CCC0D9" w:themeFill="accent4" w:themeFillTint="66"/>
      </w:tcPr>
    </w:tblStylePr>
    <w:tblStylePr w:type="band1Horz">
      <w:tcPr>
        <w:shd w:val="clear" w:color="auto" w:fill="CCC0D9" w:themeFill="accent4" w:themeFillTint="66"/>
      </w:tcPr>
    </w:tblStylePr>
  </w:style>
  <w:style w:type="table" w:customStyle="1" w:styleId="760">
    <w:name w:val="网格表 5 深色 - 着色 5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E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table" w:customStyle="1" w:styleId="761">
    <w:name w:val="网格表 5 深色 - 着色 61"/>
    <w:basedOn w:val="89"/>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DE9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79646"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79646"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79646"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table" w:customStyle="1" w:styleId="762">
    <w:name w:val="网格表 6 彩色1"/>
    <w:basedOn w:val="89"/>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763">
    <w:name w:val="网格表 6 彩色1 CharProp3"/>
    <w:qFormat/>
    <w:uiPriority w:val="51"/>
    <w:rPr>
      <w:color w:val="000000" w:themeColor="text1"/>
      <w14:textFill>
        <w14:solidFill>
          <w14:schemeClr w14:val="tx1"/>
        </w14:solidFill>
      </w14:textFill>
    </w:rPr>
  </w:style>
  <w:style w:type="character" w:customStyle="1" w:styleId="764">
    <w:name w:val="网格表 6 彩色1 CharProp2"/>
    <w:qFormat/>
    <w:uiPriority w:val="51"/>
    <w:rPr>
      <w:color w:val="000000" w:themeColor="text1"/>
      <w14:textFill>
        <w14:solidFill>
          <w14:schemeClr w14:val="tx1"/>
        </w14:solidFill>
      </w14:textFill>
    </w:rPr>
  </w:style>
  <w:style w:type="character" w:customStyle="1" w:styleId="765">
    <w:name w:val="网格表 6 彩色1 CharProp1"/>
    <w:qFormat/>
    <w:uiPriority w:val="51"/>
    <w:rPr>
      <w:color w:val="000000" w:themeColor="text1"/>
      <w14:textFill>
        <w14:solidFill>
          <w14:schemeClr w14:val="tx1"/>
        </w14:solidFill>
      </w14:textFill>
    </w:rPr>
  </w:style>
  <w:style w:type="character" w:customStyle="1" w:styleId="766">
    <w:name w:val="网格表 6 彩色1 CharProp"/>
    <w:qFormat/>
    <w:uiPriority w:val="51"/>
    <w:rPr>
      <w:color w:val="000000" w:themeColor="text1"/>
      <w14:textFill>
        <w14:solidFill>
          <w14:schemeClr w14:val="tx1"/>
        </w14:solidFill>
      </w14:textFill>
    </w:rPr>
  </w:style>
  <w:style w:type="table" w:customStyle="1" w:styleId="767">
    <w:name w:val="网格表 6 彩色 - 着色 11"/>
    <w:basedOn w:val="89"/>
    <w:qFormat/>
    <w:uiPriority w:val="51"/>
    <w:rPr>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768">
    <w:name w:val="网格表 6 彩色 - 着色 11 CharProp3"/>
    <w:qFormat/>
    <w:uiPriority w:val="51"/>
    <w:rPr>
      <w:color w:val="376092" w:themeColor="accent1" w:themeShade="BF"/>
    </w:rPr>
  </w:style>
  <w:style w:type="character" w:customStyle="1" w:styleId="769">
    <w:name w:val="网格表 6 彩色 - 着色 11 CharProp2"/>
    <w:qFormat/>
    <w:uiPriority w:val="51"/>
    <w:rPr>
      <w:color w:val="376092" w:themeColor="accent1" w:themeShade="BF"/>
    </w:rPr>
  </w:style>
  <w:style w:type="character" w:customStyle="1" w:styleId="770">
    <w:name w:val="网格表 6 彩色 - 着色 11 CharProp1"/>
    <w:qFormat/>
    <w:uiPriority w:val="51"/>
    <w:rPr>
      <w:color w:val="376092" w:themeColor="accent1" w:themeShade="BF"/>
    </w:rPr>
  </w:style>
  <w:style w:type="character" w:customStyle="1" w:styleId="771">
    <w:name w:val="网格表 6 彩色 - 着色 11 CharProp"/>
    <w:qFormat/>
    <w:uiPriority w:val="51"/>
    <w:rPr>
      <w:color w:val="376092" w:themeColor="accent1" w:themeShade="BF"/>
    </w:rPr>
  </w:style>
  <w:style w:type="table" w:customStyle="1" w:styleId="772">
    <w:name w:val="网格表 6 彩色 - 着色 21"/>
    <w:basedOn w:val="89"/>
    <w:qFormat/>
    <w:uiPriority w:val="51"/>
    <w:rPr>
      <w:color w:val="953735" w:themeColor="accent2" w:themeShade="BF"/>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character" w:customStyle="1" w:styleId="773">
    <w:name w:val="网格表 6 彩色 - 着色 21 CharProp3"/>
    <w:qFormat/>
    <w:uiPriority w:val="51"/>
    <w:rPr>
      <w:color w:val="953735" w:themeColor="accent2" w:themeShade="BF"/>
    </w:rPr>
  </w:style>
  <w:style w:type="character" w:customStyle="1" w:styleId="774">
    <w:name w:val="网格表 6 彩色 - 着色 21 CharProp2"/>
    <w:qFormat/>
    <w:uiPriority w:val="51"/>
    <w:rPr>
      <w:color w:val="953735" w:themeColor="accent2" w:themeShade="BF"/>
    </w:rPr>
  </w:style>
  <w:style w:type="character" w:customStyle="1" w:styleId="775">
    <w:name w:val="网格表 6 彩色 - 着色 21 CharProp1"/>
    <w:qFormat/>
    <w:uiPriority w:val="51"/>
    <w:rPr>
      <w:color w:val="953735" w:themeColor="accent2" w:themeShade="BF"/>
    </w:rPr>
  </w:style>
  <w:style w:type="character" w:customStyle="1" w:styleId="776">
    <w:name w:val="网格表 6 彩色 - 着色 21 CharProp"/>
    <w:qFormat/>
    <w:uiPriority w:val="51"/>
    <w:rPr>
      <w:color w:val="953735" w:themeColor="accent2" w:themeShade="BF"/>
    </w:rPr>
  </w:style>
  <w:style w:type="table" w:customStyle="1" w:styleId="777">
    <w:name w:val="网格表 6 彩色 - 着色 31"/>
    <w:basedOn w:val="89"/>
    <w:qFormat/>
    <w:uiPriority w:val="51"/>
    <w:rPr>
      <w:color w:val="77933C" w:themeColor="accent3" w:themeShade="BF"/>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rPr>
      <w:tcPr>
        <w:tcBorders>
          <w:bottom w:val="single" w:color="C2D69B" w:themeColor="accent3" w:themeTint="99" w:sz="12" w:space="0"/>
        </w:tcBorders>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character" w:customStyle="1" w:styleId="778">
    <w:name w:val="网格表 6 彩色 - 着色 31 CharProp3"/>
    <w:qFormat/>
    <w:uiPriority w:val="51"/>
    <w:rPr>
      <w:color w:val="77933C" w:themeColor="accent3" w:themeShade="BF"/>
    </w:rPr>
  </w:style>
  <w:style w:type="character" w:customStyle="1" w:styleId="779">
    <w:name w:val="网格表 6 彩色 - 着色 31 CharProp2"/>
    <w:qFormat/>
    <w:uiPriority w:val="51"/>
    <w:rPr>
      <w:color w:val="77933C" w:themeColor="accent3" w:themeShade="BF"/>
    </w:rPr>
  </w:style>
  <w:style w:type="character" w:customStyle="1" w:styleId="780">
    <w:name w:val="网格表 6 彩色 - 着色 31 CharProp1"/>
    <w:qFormat/>
    <w:uiPriority w:val="51"/>
    <w:rPr>
      <w:color w:val="77933C" w:themeColor="accent3" w:themeShade="BF"/>
    </w:rPr>
  </w:style>
  <w:style w:type="character" w:customStyle="1" w:styleId="781">
    <w:name w:val="网格表 6 彩色 - 着色 31 CharProp"/>
    <w:qFormat/>
    <w:uiPriority w:val="51"/>
    <w:rPr>
      <w:color w:val="77933C" w:themeColor="accent3" w:themeShade="BF"/>
    </w:rPr>
  </w:style>
  <w:style w:type="table" w:customStyle="1" w:styleId="782">
    <w:name w:val="网格表 6 彩色 - 着色 41"/>
    <w:basedOn w:val="89"/>
    <w:qFormat/>
    <w:uiPriority w:val="51"/>
    <w:rPr>
      <w:color w:val="604A7B" w:themeColor="accent4" w:themeShade="BF"/>
    </w:rPr>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character" w:customStyle="1" w:styleId="783">
    <w:name w:val="网格表 6 彩色 - 着色 41 CharProp3"/>
    <w:qFormat/>
    <w:uiPriority w:val="51"/>
    <w:rPr>
      <w:color w:val="604A7B" w:themeColor="accent4" w:themeShade="BF"/>
    </w:rPr>
  </w:style>
  <w:style w:type="character" w:customStyle="1" w:styleId="784">
    <w:name w:val="网格表 6 彩色 - 着色 41 CharProp2"/>
    <w:qFormat/>
    <w:uiPriority w:val="51"/>
    <w:rPr>
      <w:color w:val="604A7B" w:themeColor="accent4" w:themeShade="BF"/>
    </w:rPr>
  </w:style>
  <w:style w:type="character" w:customStyle="1" w:styleId="785">
    <w:name w:val="网格表 6 彩色 - 着色 41 CharProp1"/>
    <w:qFormat/>
    <w:uiPriority w:val="51"/>
    <w:rPr>
      <w:color w:val="604A7B" w:themeColor="accent4" w:themeShade="BF"/>
    </w:rPr>
  </w:style>
  <w:style w:type="character" w:customStyle="1" w:styleId="786">
    <w:name w:val="网格表 6 彩色 - 着色 41 CharProp"/>
    <w:qFormat/>
    <w:uiPriority w:val="51"/>
    <w:rPr>
      <w:color w:val="604A7B" w:themeColor="accent4" w:themeShade="BF"/>
    </w:rPr>
  </w:style>
  <w:style w:type="table" w:customStyle="1" w:styleId="787">
    <w:name w:val="网格表 6 彩色 - 着色 51"/>
    <w:basedOn w:val="89"/>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788">
    <w:name w:val="网格表 6 彩色 - 着色 51 CharProp3"/>
    <w:qFormat/>
    <w:uiPriority w:val="51"/>
    <w:rPr>
      <w:color w:val="31859C" w:themeColor="accent5" w:themeShade="BF"/>
    </w:rPr>
  </w:style>
  <w:style w:type="character" w:customStyle="1" w:styleId="789">
    <w:name w:val="网格表 6 彩色 - 着色 51 CharProp2"/>
    <w:qFormat/>
    <w:uiPriority w:val="51"/>
    <w:rPr>
      <w:color w:val="31859C" w:themeColor="accent5" w:themeShade="BF"/>
    </w:rPr>
  </w:style>
  <w:style w:type="character" w:customStyle="1" w:styleId="790">
    <w:name w:val="网格表 6 彩色 - 着色 51 CharProp1"/>
    <w:qFormat/>
    <w:uiPriority w:val="51"/>
    <w:rPr>
      <w:color w:val="31859C" w:themeColor="accent5" w:themeShade="BF"/>
    </w:rPr>
  </w:style>
  <w:style w:type="character" w:customStyle="1" w:styleId="791">
    <w:name w:val="网格表 6 彩色 - 着色 51 CharProp"/>
    <w:qFormat/>
    <w:uiPriority w:val="51"/>
    <w:rPr>
      <w:color w:val="31859C" w:themeColor="accent5" w:themeShade="BF"/>
    </w:rPr>
  </w:style>
  <w:style w:type="table" w:customStyle="1" w:styleId="792">
    <w:name w:val="网格表 6 彩色 - 着色 61"/>
    <w:basedOn w:val="89"/>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character" w:customStyle="1" w:styleId="793">
    <w:name w:val="网格表 6 彩色 - 着色 61 CharProp3"/>
    <w:qFormat/>
    <w:uiPriority w:val="51"/>
    <w:rPr>
      <w:color w:val="E46C0A" w:themeColor="accent6" w:themeShade="BF"/>
    </w:rPr>
  </w:style>
  <w:style w:type="character" w:customStyle="1" w:styleId="794">
    <w:name w:val="网格表 6 彩色 - 着色 61 CharProp2"/>
    <w:qFormat/>
    <w:uiPriority w:val="51"/>
    <w:rPr>
      <w:color w:val="E46C0A" w:themeColor="accent6" w:themeShade="BF"/>
    </w:rPr>
  </w:style>
  <w:style w:type="character" w:customStyle="1" w:styleId="795">
    <w:name w:val="网格表 6 彩色 - 着色 61 CharProp1"/>
    <w:qFormat/>
    <w:uiPriority w:val="51"/>
    <w:rPr>
      <w:color w:val="E46C0A" w:themeColor="accent6" w:themeShade="BF"/>
    </w:rPr>
  </w:style>
  <w:style w:type="character" w:customStyle="1" w:styleId="796">
    <w:name w:val="网格表 6 彩色 - 着色 61 CharProp"/>
    <w:qFormat/>
    <w:uiPriority w:val="51"/>
    <w:rPr>
      <w:color w:val="E46C0A" w:themeColor="accent6" w:themeShade="BF"/>
    </w:rPr>
  </w:style>
  <w:style w:type="table" w:customStyle="1" w:styleId="797">
    <w:name w:val="网格表 7 彩色1"/>
    <w:basedOn w:val="89"/>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character" w:customStyle="1" w:styleId="798">
    <w:name w:val="网格表 7 彩色1 CharProp3"/>
    <w:qFormat/>
    <w:uiPriority w:val="52"/>
    <w:rPr>
      <w:color w:val="000000" w:themeColor="text1"/>
      <w14:textFill>
        <w14:solidFill>
          <w14:schemeClr w14:val="tx1"/>
        </w14:solidFill>
      </w14:textFill>
    </w:rPr>
  </w:style>
  <w:style w:type="character" w:customStyle="1" w:styleId="799">
    <w:name w:val="网格表 7 彩色1 CharProp2"/>
    <w:qFormat/>
    <w:uiPriority w:val="52"/>
    <w:rPr>
      <w:color w:val="000000" w:themeColor="text1"/>
      <w14:textFill>
        <w14:solidFill>
          <w14:schemeClr w14:val="tx1"/>
        </w14:solidFill>
      </w14:textFill>
    </w:rPr>
  </w:style>
  <w:style w:type="character" w:customStyle="1" w:styleId="800">
    <w:name w:val="网格表 7 彩色1 CharProp1"/>
    <w:qFormat/>
    <w:uiPriority w:val="52"/>
    <w:rPr>
      <w:color w:val="000000" w:themeColor="text1"/>
      <w14:textFill>
        <w14:solidFill>
          <w14:schemeClr w14:val="tx1"/>
        </w14:solidFill>
      </w14:textFill>
    </w:rPr>
  </w:style>
  <w:style w:type="character" w:customStyle="1" w:styleId="801">
    <w:name w:val="网格表 7 彩色1 CharProp"/>
    <w:qFormat/>
    <w:uiPriority w:val="52"/>
    <w:rPr>
      <w:color w:val="000000" w:themeColor="text1"/>
      <w14:textFill>
        <w14:solidFill>
          <w14:schemeClr w14:val="tx1"/>
        </w14:solidFill>
      </w14:textFill>
    </w:rPr>
  </w:style>
  <w:style w:type="table" w:customStyle="1" w:styleId="802">
    <w:name w:val="网格表 7 彩色 - 着色 11"/>
    <w:basedOn w:val="89"/>
    <w:qFormat/>
    <w:uiPriority w:val="52"/>
    <w:rPr>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character" w:customStyle="1" w:styleId="803">
    <w:name w:val="网格表 7 彩色 - 着色 11 CharProp3"/>
    <w:qFormat/>
    <w:uiPriority w:val="52"/>
    <w:rPr>
      <w:color w:val="376092" w:themeColor="accent1" w:themeShade="BF"/>
    </w:rPr>
  </w:style>
  <w:style w:type="character" w:customStyle="1" w:styleId="804">
    <w:name w:val="网格表 7 彩色 - 着色 11 CharProp2"/>
    <w:qFormat/>
    <w:uiPriority w:val="52"/>
    <w:rPr>
      <w:color w:val="376092" w:themeColor="accent1" w:themeShade="BF"/>
    </w:rPr>
  </w:style>
  <w:style w:type="character" w:customStyle="1" w:styleId="805">
    <w:name w:val="网格表 7 彩色 - 着色 11 CharProp1"/>
    <w:qFormat/>
    <w:uiPriority w:val="52"/>
    <w:rPr>
      <w:color w:val="376092" w:themeColor="accent1" w:themeShade="BF"/>
    </w:rPr>
  </w:style>
  <w:style w:type="character" w:customStyle="1" w:styleId="806">
    <w:name w:val="网格表 7 彩色 - 着色 11 CharProp"/>
    <w:qFormat/>
    <w:uiPriority w:val="52"/>
    <w:rPr>
      <w:color w:val="376092" w:themeColor="accent1" w:themeShade="BF"/>
    </w:rPr>
  </w:style>
  <w:style w:type="table" w:customStyle="1" w:styleId="807">
    <w:name w:val="网格表 7 彩色 - 着色 21"/>
    <w:basedOn w:val="89"/>
    <w:qFormat/>
    <w:uiPriority w:val="52"/>
    <w:rPr>
      <w:color w:val="953735" w:themeColor="accent2" w:themeShade="BF"/>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bottom w:val="single" w:color="D99594" w:themeColor="accent2" w:themeTint="99" w:sz="4" w:space="0"/>
        </w:tcBorders>
      </w:tcPr>
    </w:tblStylePr>
    <w:tblStylePr w:type="nwCell">
      <w:tcPr>
        <w:tcBorders>
          <w:bottom w:val="single" w:color="D99594" w:themeColor="accent2" w:themeTint="99" w:sz="4" w:space="0"/>
        </w:tcBorders>
      </w:tcPr>
    </w:tblStylePr>
    <w:tblStylePr w:type="seCell">
      <w:tcPr>
        <w:tcBorders>
          <w:top w:val="single" w:color="D99594" w:themeColor="accent2" w:themeTint="99" w:sz="4" w:space="0"/>
        </w:tcBorders>
      </w:tcPr>
    </w:tblStylePr>
    <w:tblStylePr w:type="swCell">
      <w:tcPr>
        <w:tcBorders>
          <w:top w:val="single" w:color="D99594" w:themeColor="accent2" w:themeTint="99" w:sz="4" w:space="0"/>
        </w:tcBorders>
      </w:tcPr>
    </w:tblStylePr>
  </w:style>
  <w:style w:type="character" w:customStyle="1" w:styleId="808">
    <w:name w:val="网格表 7 彩色 - 着色 21 CharProp3"/>
    <w:qFormat/>
    <w:uiPriority w:val="52"/>
    <w:rPr>
      <w:color w:val="953735" w:themeColor="accent2" w:themeShade="BF"/>
    </w:rPr>
  </w:style>
  <w:style w:type="character" w:customStyle="1" w:styleId="809">
    <w:name w:val="网格表 7 彩色 - 着色 21 CharProp2"/>
    <w:qFormat/>
    <w:uiPriority w:val="52"/>
    <w:rPr>
      <w:color w:val="953735" w:themeColor="accent2" w:themeShade="BF"/>
    </w:rPr>
  </w:style>
  <w:style w:type="character" w:customStyle="1" w:styleId="810">
    <w:name w:val="网格表 7 彩色 - 着色 21 CharProp1"/>
    <w:qFormat/>
    <w:uiPriority w:val="52"/>
    <w:rPr>
      <w:color w:val="953735" w:themeColor="accent2" w:themeShade="BF"/>
    </w:rPr>
  </w:style>
  <w:style w:type="character" w:customStyle="1" w:styleId="811">
    <w:name w:val="网格表 7 彩色 - 着色 21 CharProp"/>
    <w:qFormat/>
    <w:uiPriority w:val="52"/>
    <w:rPr>
      <w:color w:val="953735" w:themeColor="accent2" w:themeShade="BF"/>
    </w:rPr>
  </w:style>
  <w:style w:type="table" w:customStyle="1" w:styleId="812">
    <w:name w:val="网格表 7 彩色 - 着色 31"/>
    <w:basedOn w:val="89"/>
    <w:qFormat/>
    <w:uiPriority w:val="52"/>
    <w:rPr>
      <w:color w:val="77933C" w:themeColor="accent3" w:themeShade="BF"/>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bottom w:val="single" w:color="C2D69B" w:themeColor="accent3" w:themeTint="99" w:sz="4" w:space="0"/>
        </w:tcBorders>
      </w:tcPr>
    </w:tblStylePr>
    <w:tblStylePr w:type="nwCell">
      <w:tcPr>
        <w:tcBorders>
          <w:bottom w:val="single" w:color="C2D69B" w:themeColor="accent3" w:themeTint="99" w:sz="4" w:space="0"/>
        </w:tcBorders>
      </w:tcPr>
    </w:tblStylePr>
    <w:tblStylePr w:type="seCell">
      <w:tcPr>
        <w:tcBorders>
          <w:top w:val="single" w:color="C2D69B" w:themeColor="accent3" w:themeTint="99" w:sz="4" w:space="0"/>
        </w:tcBorders>
      </w:tcPr>
    </w:tblStylePr>
    <w:tblStylePr w:type="swCell">
      <w:tcPr>
        <w:tcBorders>
          <w:top w:val="single" w:color="C2D69B" w:themeColor="accent3" w:themeTint="99" w:sz="4" w:space="0"/>
        </w:tcBorders>
      </w:tcPr>
    </w:tblStylePr>
  </w:style>
  <w:style w:type="character" w:customStyle="1" w:styleId="813">
    <w:name w:val="网格表 7 彩色 - 着色 31 CharProp3"/>
    <w:qFormat/>
    <w:uiPriority w:val="52"/>
    <w:rPr>
      <w:color w:val="77933C" w:themeColor="accent3" w:themeShade="BF"/>
    </w:rPr>
  </w:style>
  <w:style w:type="character" w:customStyle="1" w:styleId="814">
    <w:name w:val="网格表 7 彩色 - 着色 31 CharProp2"/>
    <w:qFormat/>
    <w:uiPriority w:val="52"/>
    <w:rPr>
      <w:color w:val="77933C" w:themeColor="accent3" w:themeShade="BF"/>
    </w:rPr>
  </w:style>
  <w:style w:type="character" w:customStyle="1" w:styleId="815">
    <w:name w:val="网格表 7 彩色 - 着色 31 CharProp1"/>
    <w:qFormat/>
    <w:uiPriority w:val="52"/>
    <w:rPr>
      <w:color w:val="77933C" w:themeColor="accent3" w:themeShade="BF"/>
    </w:rPr>
  </w:style>
  <w:style w:type="character" w:customStyle="1" w:styleId="816">
    <w:name w:val="网格表 7 彩色 - 着色 31 CharProp"/>
    <w:qFormat/>
    <w:uiPriority w:val="52"/>
    <w:rPr>
      <w:color w:val="77933C" w:themeColor="accent3" w:themeShade="BF"/>
    </w:rPr>
  </w:style>
  <w:style w:type="table" w:customStyle="1" w:styleId="817">
    <w:name w:val="网格表 7 彩色 - 着色 41"/>
    <w:basedOn w:val="89"/>
    <w:qFormat/>
    <w:uiPriority w:val="52"/>
    <w:rPr>
      <w:color w:val="604A7B" w:themeColor="accent4" w:themeShade="BF"/>
    </w:rPr>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bottom w:val="single" w:color="B2A1C7" w:themeColor="accent4" w:themeTint="99" w:sz="4" w:space="0"/>
        </w:tcBorders>
      </w:tcPr>
    </w:tblStylePr>
    <w:tblStylePr w:type="nwCell">
      <w:tcPr>
        <w:tcBorders>
          <w:bottom w:val="single" w:color="B2A1C7" w:themeColor="accent4" w:themeTint="99" w:sz="4" w:space="0"/>
        </w:tcBorders>
      </w:tcPr>
    </w:tblStylePr>
    <w:tblStylePr w:type="seCell">
      <w:tcPr>
        <w:tcBorders>
          <w:top w:val="single" w:color="B2A1C7" w:themeColor="accent4" w:themeTint="99" w:sz="4" w:space="0"/>
        </w:tcBorders>
      </w:tcPr>
    </w:tblStylePr>
    <w:tblStylePr w:type="swCell">
      <w:tcPr>
        <w:tcBorders>
          <w:top w:val="single" w:color="B2A1C7" w:themeColor="accent4" w:themeTint="99" w:sz="4" w:space="0"/>
        </w:tcBorders>
      </w:tcPr>
    </w:tblStylePr>
  </w:style>
  <w:style w:type="character" w:customStyle="1" w:styleId="818">
    <w:name w:val="网格表 7 彩色 - 着色 41 CharProp3"/>
    <w:qFormat/>
    <w:uiPriority w:val="52"/>
    <w:rPr>
      <w:color w:val="604A7B" w:themeColor="accent4" w:themeShade="BF"/>
    </w:rPr>
  </w:style>
  <w:style w:type="character" w:customStyle="1" w:styleId="819">
    <w:name w:val="网格表 7 彩色 - 着色 41 CharProp2"/>
    <w:qFormat/>
    <w:uiPriority w:val="52"/>
    <w:rPr>
      <w:color w:val="604A7B" w:themeColor="accent4" w:themeShade="BF"/>
    </w:rPr>
  </w:style>
  <w:style w:type="character" w:customStyle="1" w:styleId="820">
    <w:name w:val="网格表 7 彩色 - 着色 41 CharProp1"/>
    <w:qFormat/>
    <w:uiPriority w:val="52"/>
    <w:rPr>
      <w:color w:val="604A7B" w:themeColor="accent4" w:themeShade="BF"/>
    </w:rPr>
  </w:style>
  <w:style w:type="character" w:customStyle="1" w:styleId="821">
    <w:name w:val="网格表 7 彩色 - 着色 41 CharProp"/>
    <w:qFormat/>
    <w:uiPriority w:val="52"/>
    <w:rPr>
      <w:color w:val="604A7B" w:themeColor="accent4" w:themeShade="BF"/>
    </w:rPr>
  </w:style>
  <w:style w:type="table" w:customStyle="1" w:styleId="822">
    <w:name w:val="网格表 7 彩色 - 着色 51"/>
    <w:basedOn w:val="89"/>
    <w:qFormat/>
    <w:uiPriority w:val="52"/>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bottom w:val="single" w:color="92CDDC" w:themeColor="accent5" w:themeTint="99" w:sz="4" w:space="0"/>
        </w:tcBorders>
      </w:tcPr>
    </w:tblStylePr>
    <w:tblStylePr w:type="nwCell">
      <w:tcPr>
        <w:tcBorders>
          <w:bottom w:val="single" w:color="92CDDC" w:themeColor="accent5" w:themeTint="99" w:sz="4" w:space="0"/>
        </w:tcBorders>
      </w:tcPr>
    </w:tblStylePr>
    <w:tblStylePr w:type="seCell">
      <w:tcPr>
        <w:tcBorders>
          <w:top w:val="single" w:color="92CDDC" w:themeColor="accent5" w:themeTint="99" w:sz="4" w:space="0"/>
        </w:tcBorders>
      </w:tcPr>
    </w:tblStylePr>
    <w:tblStylePr w:type="swCell">
      <w:tcPr>
        <w:tcBorders>
          <w:top w:val="single" w:color="92CDDC" w:themeColor="accent5" w:themeTint="99" w:sz="4" w:space="0"/>
        </w:tcBorders>
      </w:tcPr>
    </w:tblStylePr>
  </w:style>
  <w:style w:type="character" w:customStyle="1" w:styleId="823">
    <w:name w:val="网格表 7 彩色 - 着色 51 CharProp3"/>
    <w:qFormat/>
    <w:uiPriority w:val="52"/>
    <w:rPr>
      <w:color w:val="31859C" w:themeColor="accent5" w:themeShade="BF"/>
    </w:rPr>
  </w:style>
  <w:style w:type="character" w:customStyle="1" w:styleId="824">
    <w:name w:val="网格表 7 彩色 - 着色 51 CharProp2"/>
    <w:qFormat/>
    <w:uiPriority w:val="52"/>
    <w:rPr>
      <w:color w:val="31859C" w:themeColor="accent5" w:themeShade="BF"/>
    </w:rPr>
  </w:style>
  <w:style w:type="character" w:customStyle="1" w:styleId="825">
    <w:name w:val="网格表 7 彩色 - 着色 51 CharProp1"/>
    <w:qFormat/>
    <w:uiPriority w:val="52"/>
    <w:rPr>
      <w:color w:val="31859C" w:themeColor="accent5" w:themeShade="BF"/>
    </w:rPr>
  </w:style>
  <w:style w:type="character" w:customStyle="1" w:styleId="826">
    <w:name w:val="网格表 7 彩色 - 着色 51 CharProp"/>
    <w:qFormat/>
    <w:uiPriority w:val="52"/>
    <w:rPr>
      <w:color w:val="31859C" w:themeColor="accent5" w:themeShade="BF"/>
    </w:rPr>
  </w:style>
  <w:style w:type="table" w:customStyle="1" w:styleId="827">
    <w:name w:val="网格表 7 彩色 - 着色 61"/>
    <w:basedOn w:val="89"/>
    <w:qFormat/>
    <w:uiPriority w:val="52"/>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character" w:customStyle="1" w:styleId="828">
    <w:name w:val="网格表 7 彩色 - 着色 61 CharProp3"/>
    <w:qFormat/>
    <w:uiPriority w:val="52"/>
    <w:rPr>
      <w:color w:val="E46C0A" w:themeColor="accent6" w:themeShade="BF"/>
    </w:rPr>
  </w:style>
  <w:style w:type="character" w:customStyle="1" w:styleId="829">
    <w:name w:val="网格表 7 彩色 - 着色 61 CharProp2"/>
    <w:qFormat/>
    <w:uiPriority w:val="52"/>
    <w:rPr>
      <w:color w:val="E46C0A" w:themeColor="accent6" w:themeShade="BF"/>
    </w:rPr>
  </w:style>
  <w:style w:type="character" w:customStyle="1" w:styleId="830">
    <w:name w:val="网格表 7 彩色 - 着色 61 CharProp1"/>
    <w:qFormat/>
    <w:uiPriority w:val="52"/>
    <w:rPr>
      <w:color w:val="E46C0A" w:themeColor="accent6" w:themeShade="BF"/>
    </w:rPr>
  </w:style>
  <w:style w:type="character" w:customStyle="1" w:styleId="831">
    <w:name w:val="网格表 7 彩色 - 着色 61 CharProp"/>
    <w:qFormat/>
    <w:uiPriority w:val="52"/>
    <w:rPr>
      <w:color w:val="E46C0A" w:themeColor="accent6" w:themeShade="BF"/>
    </w:rPr>
  </w:style>
  <w:style w:type="table" w:customStyle="1" w:styleId="832">
    <w:name w:val="网格型浅色1"/>
    <w:basedOn w:val="8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833">
    <w:name w:val="尾注文本 字符"/>
    <w:basedOn w:val="319"/>
    <w:link w:val="53"/>
    <w:qFormat/>
    <w:uiPriority w:val="0"/>
    <w:rPr>
      <w:rFonts w:ascii="Arial" w:hAnsi="Arial" w:eastAsia="Arial" w:cs="Arial"/>
      <w:snapToGrid w:val="0"/>
      <w:color w:val="000000"/>
      <w:sz w:val="21"/>
      <w:szCs w:val="21"/>
      <w:lang w:eastAsia="en-US"/>
    </w:rPr>
  </w:style>
  <w:style w:type="character" w:customStyle="1" w:styleId="834">
    <w:name w:val="未处理的提及1"/>
    <w:basedOn w:val="319"/>
    <w:semiHidden/>
    <w:unhideWhenUsed/>
    <w:qFormat/>
    <w:uiPriority w:val="99"/>
    <w:rPr>
      <w:color w:val="605E5C"/>
      <w:shd w:val="clear" w:color="auto" w:fill="E1DFDD"/>
    </w:rPr>
  </w:style>
  <w:style w:type="character" w:customStyle="1" w:styleId="835">
    <w:name w:val="文档结构图 字符"/>
    <w:basedOn w:val="319"/>
    <w:link w:val="26"/>
    <w:qFormat/>
    <w:uiPriority w:val="0"/>
    <w:rPr>
      <w:rFonts w:ascii="Microsoft YaHei UI" w:hAnsi="Arial" w:eastAsia="Microsoft YaHei UI" w:cs="Arial"/>
      <w:snapToGrid w:val="0"/>
      <w:color w:val="000000"/>
      <w:sz w:val="18"/>
      <w:szCs w:val="18"/>
      <w:lang w:eastAsia="en-US"/>
    </w:rPr>
  </w:style>
  <w:style w:type="table" w:customStyle="1" w:styleId="836">
    <w:name w:val="无格式表格 11"/>
    <w:basedOn w:val="89"/>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837">
    <w:name w:val="无格式表格 21"/>
    <w:basedOn w:val="89"/>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838">
    <w:name w:val="无格式表格 31"/>
    <w:basedOn w:val="89"/>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839">
    <w:name w:val="无格式表格 41"/>
    <w:basedOn w:val="89"/>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840">
    <w:name w:val="无格式表格 51"/>
    <w:basedOn w:val="89"/>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841">
    <w:name w:val="No Spacing"/>
    <w:semiHidden/>
    <w:unhideWhenUsed/>
    <w:qFormat/>
    <w:uiPriority w:val="99"/>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customStyle="1" w:styleId="842">
    <w:name w:val="No Spacing CharProp3"/>
    <w:qFormat/>
    <w:uiPriority w:val="99"/>
    <w:rPr>
      <w:rFonts w:ascii="Arial" w:hAnsi="Arial" w:eastAsia="Arial" w:cs="Arial"/>
      <w:snapToGrid w:val="0"/>
      <w:color w:val="000000"/>
      <w:sz w:val="21"/>
      <w:szCs w:val="21"/>
      <w:lang w:val="en-US" w:eastAsia="en-US" w:bidi="ar-SA"/>
    </w:rPr>
  </w:style>
  <w:style w:type="character" w:customStyle="1" w:styleId="843">
    <w:name w:val="No Spacing CharProp2"/>
    <w:qFormat/>
    <w:uiPriority w:val="99"/>
    <w:rPr>
      <w:rFonts w:ascii="Arial" w:hAnsi="Arial" w:eastAsia="Arial" w:cs="Arial"/>
      <w:snapToGrid w:val="0"/>
      <w:color w:val="000000"/>
      <w:sz w:val="21"/>
      <w:szCs w:val="21"/>
      <w:lang w:val="en-US" w:eastAsia="en-US" w:bidi="ar-SA"/>
    </w:rPr>
  </w:style>
  <w:style w:type="character" w:customStyle="1" w:styleId="844">
    <w:name w:val="No Spacing CharProp1"/>
    <w:qFormat/>
    <w:uiPriority w:val="99"/>
    <w:rPr>
      <w:rFonts w:ascii="Arial" w:hAnsi="Arial" w:eastAsia="Arial" w:cs="Arial"/>
      <w:snapToGrid w:val="0"/>
      <w:color w:val="000000"/>
      <w:sz w:val="21"/>
      <w:szCs w:val="21"/>
      <w:lang w:val="en-US" w:eastAsia="en-US" w:bidi="ar-SA"/>
    </w:rPr>
  </w:style>
  <w:style w:type="character" w:customStyle="1" w:styleId="845">
    <w:name w:val="No Spacing CharProp"/>
    <w:qFormat/>
    <w:uiPriority w:val="99"/>
    <w:rPr>
      <w:rFonts w:ascii="Arial" w:hAnsi="Arial" w:eastAsia="Arial" w:cs="Arial"/>
      <w:snapToGrid w:val="0"/>
      <w:color w:val="000000"/>
      <w:sz w:val="21"/>
      <w:szCs w:val="21"/>
      <w:lang w:val="en-US" w:eastAsia="en-US" w:bidi="ar-SA"/>
    </w:rPr>
  </w:style>
  <w:style w:type="character" w:customStyle="1" w:styleId="846">
    <w:name w:val="信息标题 字符"/>
    <w:basedOn w:val="319"/>
    <w:link w:val="80"/>
    <w:qFormat/>
    <w:uiPriority w:val="0"/>
    <w:rPr>
      <w:rFonts w:asciiTheme="majorHAnsi" w:hAnsiTheme="majorHAnsi" w:eastAsiaTheme="majorEastAsia" w:cstheme="majorBidi"/>
      <w:snapToGrid w:val="0"/>
      <w:color w:val="000000"/>
      <w:sz w:val="24"/>
      <w:szCs w:val="24"/>
      <w:shd w:val="pct20" w:color="auto" w:fill="auto"/>
      <w:lang w:eastAsia="en-US"/>
    </w:rPr>
  </w:style>
  <w:style w:type="paragraph" w:styleId="847">
    <w:name w:val="Quote"/>
    <w:basedOn w:val="1"/>
    <w:next w:val="1"/>
    <w:link w:val="852"/>
    <w:semiHidden/>
    <w:unhideWhenUsed/>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848">
    <w:name w:val="Quote CharProp3"/>
    <w:qFormat/>
    <w:uiPriority w:val="99"/>
    <w:rPr>
      <w:i/>
      <w:iCs/>
      <w:color w:val="404040" w:themeColor="text1" w:themeTint="BF"/>
      <w14:textFill>
        <w14:solidFill>
          <w14:schemeClr w14:val="tx1">
            <w14:lumMod w14:val="75000"/>
            <w14:lumOff w14:val="25000"/>
          </w14:schemeClr>
        </w14:solidFill>
      </w14:textFill>
    </w:rPr>
  </w:style>
  <w:style w:type="character" w:customStyle="1" w:styleId="849">
    <w:name w:val="Quote CharProp2"/>
    <w:qFormat/>
    <w:uiPriority w:val="99"/>
    <w:rPr>
      <w:i/>
      <w:iCs/>
      <w:color w:val="404040" w:themeColor="text1" w:themeTint="BF"/>
      <w14:textFill>
        <w14:solidFill>
          <w14:schemeClr w14:val="tx1">
            <w14:lumMod w14:val="75000"/>
            <w14:lumOff w14:val="25000"/>
          </w14:schemeClr>
        </w14:solidFill>
      </w14:textFill>
    </w:rPr>
  </w:style>
  <w:style w:type="character" w:customStyle="1" w:styleId="850">
    <w:name w:val="Quote CharProp1"/>
    <w:qFormat/>
    <w:uiPriority w:val="99"/>
    <w:rPr>
      <w:i/>
      <w:iCs/>
      <w:color w:val="404040" w:themeColor="text1" w:themeTint="BF"/>
      <w14:textFill>
        <w14:solidFill>
          <w14:schemeClr w14:val="tx1">
            <w14:lumMod w14:val="75000"/>
            <w14:lumOff w14:val="25000"/>
          </w14:schemeClr>
        </w14:solidFill>
      </w14:textFill>
    </w:rPr>
  </w:style>
  <w:style w:type="character" w:customStyle="1" w:styleId="851">
    <w:name w:val="Quote CharProp"/>
    <w:qFormat/>
    <w:uiPriority w:val="99"/>
    <w:rPr>
      <w:i/>
      <w:iCs/>
      <w:color w:val="404040" w:themeColor="text1" w:themeTint="BF"/>
      <w14:textFill>
        <w14:solidFill>
          <w14:schemeClr w14:val="tx1">
            <w14:lumMod w14:val="75000"/>
            <w14:lumOff w14:val="25000"/>
          </w14:schemeClr>
        </w14:solidFill>
      </w14:textFill>
    </w:rPr>
  </w:style>
  <w:style w:type="character" w:customStyle="1" w:styleId="852">
    <w:name w:val="引用 字符"/>
    <w:basedOn w:val="319"/>
    <w:link w:val="847"/>
    <w:semiHidden/>
    <w:qFormat/>
    <w:uiPriority w:val="99"/>
    <w:rPr>
      <w:rFonts w:ascii="Arial" w:hAnsi="Arial" w:eastAsia="Arial" w:cs="Arial"/>
      <w:i/>
      <w:iCs/>
      <w:snapToGrid w:val="0"/>
      <w:color w:val="404040" w:themeColor="text1" w:themeTint="BF"/>
      <w:sz w:val="21"/>
      <w:szCs w:val="21"/>
      <w:lang w:eastAsia="en-US"/>
      <w14:textFill>
        <w14:solidFill>
          <w14:schemeClr w14:val="tx1">
            <w14:lumMod w14:val="75000"/>
            <w14:lumOff w14:val="25000"/>
          </w14:schemeClr>
        </w14:solidFill>
      </w14:textFill>
    </w:rPr>
  </w:style>
  <w:style w:type="character" w:styleId="853">
    <w:name w:val="Placeholder Text"/>
    <w:basedOn w:val="319"/>
    <w:semiHidden/>
    <w:unhideWhenUsed/>
    <w:qFormat/>
    <w:uiPriority w:val="99"/>
    <w:rPr>
      <w:color w:val="666666"/>
    </w:rPr>
  </w:style>
  <w:style w:type="character" w:customStyle="1" w:styleId="854">
    <w:name w:val="正文文本 2 字符"/>
    <w:basedOn w:val="319"/>
    <w:link w:val="77"/>
    <w:qFormat/>
    <w:uiPriority w:val="0"/>
    <w:rPr>
      <w:rFonts w:ascii="Arial" w:hAnsi="Arial" w:eastAsia="Arial" w:cs="Arial"/>
      <w:snapToGrid w:val="0"/>
      <w:color w:val="000000"/>
      <w:sz w:val="21"/>
      <w:szCs w:val="21"/>
      <w:lang w:eastAsia="en-US"/>
    </w:rPr>
  </w:style>
  <w:style w:type="character" w:customStyle="1" w:styleId="855">
    <w:name w:val="正文文本 3 字符"/>
    <w:basedOn w:val="319"/>
    <w:link w:val="31"/>
    <w:qFormat/>
    <w:uiPriority w:val="0"/>
    <w:rPr>
      <w:rFonts w:ascii="Arial" w:hAnsi="Arial" w:eastAsia="Arial" w:cs="Arial"/>
      <w:snapToGrid w:val="0"/>
      <w:color w:val="000000"/>
      <w:sz w:val="16"/>
      <w:szCs w:val="16"/>
      <w:lang w:eastAsia="en-US"/>
    </w:rPr>
  </w:style>
  <w:style w:type="character" w:customStyle="1" w:styleId="856">
    <w:name w:val="正文文本 字符"/>
    <w:basedOn w:val="319"/>
    <w:link w:val="34"/>
    <w:semiHidden/>
    <w:qFormat/>
    <w:uiPriority w:val="0"/>
    <w:rPr>
      <w:rFonts w:ascii="Arial" w:hAnsi="Arial" w:eastAsia="Arial" w:cs="Arial"/>
      <w:snapToGrid w:val="0"/>
      <w:color w:val="000000"/>
      <w:sz w:val="21"/>
      <w:szCs w:val="21"/>
      <w:lang w:eastAsia="en-US"/>
    </w:rPr>
  </w:style>
  <w:style w:type="character" w:customStyle="1" w:styleId="857">
    <w:name w:val="正文文本首行缩进 字符"/>
    <w:basedOn w:val="856"/>
    <w:link w:val="87"/>
    <w:qFormat/>
    <w:uiPriority w:val="0"/>
    <w:rPr>
      <w:rFonts w:ascii="Arial" w:hAnsi="Arial" w:eastAsia="Arial" w:cs="Arial"/>
      <w:snapToGrid w:val="0"/>
      <w:color w:val="000000"/>
      <w:sz w:val="21"/>
      <w:szCs w:val="21"/>
      <w:lang w:eastAsia="en-US"/>
    </w:rPr>
  </w:style>
  <w:style w:type="character" w:customStyle="1" w:styleId="858">
    <w:name w:val="正文文本缩进 字符"/>
    <w:basedOn w:val="319"/>
    <w:link w:val="35"/>
    <w:qFormat/>
    <w:uiPriority w:val="99"/>
    <w:rPr>
      <w:rFonts w:ascii="Arial" w:hAnsi="Arial" w:eastAsia="Arial" w:cs="Arial"/>
      <w:snapToGrid w:val="0"/>
      <w:color w:val="000000"/>
      <w:sz w:val="21"/>
      <w:szCs w:val="21"/>
      <w:lang w:eastAsia="en-US"/>
    </w:rPr>
  </w:style>
  <w:style w:type="character" w:customStyle="1" w:styleId="859">
    <w:name w:val="正文文本首行缩进 2 字符"/>
    <w:basedOn w:val="858"/>
    <w:link w:val="88"/>
    <w:qFormat/>
    <w:uiPriority w:val="0"/>
    <w:rPr>
      <w:rFonts w:ascii="Arial" w:hAnsi="Arial" w:eastAsia="Arial" w:cs="Arial"/>
      <w:snapToGrid w:val="0"/>
      <w:color w:val="000000"/>
      <w:sz w:val="21"/>
      <w:szCs w:val="21"/>
      <w:lang w:eastAsia="en-US"/>
    </w:rPr>
  </w:style>
  <w:style w:type="character" w:customStyle="1" w:styleId="860">
    <w:name w:val="正文文本缩进 2 字符"/>
    <w:basedOn w:val="319"/>
    <w:link w:val="52"/>
    <w:qFormat/>
    <w:uiPriority w:val="0"/>
    <w:rPr>
      <w:rFonts w:ascii="Arial" w:hAnsi="Arial" w:eastAsia="Arial" w:cs="Arial"/>
      <w:snapToGrid w:val="0"/>
      <w:color w:val="000000"/>
      <w:sz w:val="21"/>
      <w:szCs w:val="21"/>
      <w:lang w:eastAsia="en-US"/>
    </w:rPr>
  </w:style>
  <w:style w:type="character" w:customStyle="1" w:styleId="861">
    <w:name w:val="正文文本缩进 3 字符"/>
    <w:basedOn w:val="319"/>
    <w:link w:val="71"/>
    <w:qFormat/>
    <w:uiPriority w:val="0"/>
    <w:rPr>
      <w:rFonts w:ascii="Arial" w:hAnsi="Arial" w:eastAsia="Arial" w:cs="Arial"/>
      <w:snapToGrid w:val="0"/>
      <w:color w:val="000000"/>
      <w:sz w:val="16"/>
      <w:szCs w:val="16"/>
      <w:lang w:eastAsia="en-US"/>
    </w:rPr>
  </w:style>
  <w:style w:type="character" w:customStyle="1" w:styleId="862">
    <w:name w:val="智能超链接1"/>
    <w:basedOn w:val="319"/>
    <w:semiHidden/>
    <w:unhideWhenUsed/>
    <w:qFormat/>
    <w:uiPriority w:val="99"/>
    <w:rPr>
      <w:u w:val="dotted"/>
    </w:rPr>
  </w:style>
  <w:style w:type="character" w:customStyle="1" w:styleId="863">
    <w:name w:val="智能链接1"/>
    <w:basedOn w:val="319"/>
    <w:semiHidden/>
    <w:unhideWhenUsed/>
    <w:qFormat/>
    <w:uiPriority w:val="99"/>
    <w:rPr>
      <w:color w:val="0000FF"/>
      <w:u w:val="single"/>
      <w:shd w:val="clear" w:color="auto" w:fill="F3F2F1"/>
    </w:rPr>
  </w:style>
  <w:style w:type="character" w:customStyle="1" w:styleId="864">
    <w:name w:val="注释标题 字符"/>
    <w:basedOn w:val="319"/>
    <w:link w:val="16"/>
    <w:qFormat/>
    <w:uiPriority w:val="0"/>
    <w:rPr>
      <w:rFonts w:ascii="Arial" w:hAnsi="Arial" w:eastAsia="Arial" w:cs="Arial"/>
      <w:snapToGrid w:val="0"/>
      <w:color w:val="000000"/>
      <w:sz w:val="21"/>
      <w:szCs w:val="21"/>
      <w:lang w:eastAsia="en-US"/>
    </w:rPr>
  </w:style>
  <w:style w:type="character" w:customStyle="1" w:styleId="865">
    <w:name w:val="font51"/>
    <w:basedOn w:val="319"/>
    <w:qFormat/>
    <w:uiPriority w:val="0"/>
    <w:rPr>
      <w:rFonts w:ascii="Arial" w:hAnsi="Arial" w:cs="Arial"/>
      <w:color w:val="000000"/>
      <w:sz w:val="22"/>
      <w:szCs w:val="22"/>
      <w:u w:val="none"/>
    </w:rPr>
  </w:style>
  <w:style w:type="paragraph" w:customStyle="1" w:styleId="866">
    <w:name w:val="TOC 标题2"/>
    <w:basedOn w:val="3"/>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snapToGrid/>
      <w:color w:val="376092" w:themeColor="accent1" w:themeShade="BF"/>
      <w:kern w:val="0"/>
      <w:sz w:val="32"/>
      <w:szCs w:val="32"/>
      <w:lang w:eastAsia="zh-CN"/>
    </w:rPr>
  </w:style>
  <w:style w:type="character" w:customStyle="1" w:styleId="867">
    <w:name w:val="TOC 标题2 CharProp"/>
    <w:qFormat/>
    <w:uiPriority w:val="39"/>
    <w:rPr>
      <w:rFonts w:asciiTheme="majorHAnsi" w:hAnsiTheme="majorHAnsi" w:eastAsiaTheme="majorEastAsia" w:cstheme="majorBidi"/>
      <w:snapToGrid/>
      <w:color w:val="376092" w:themeColor="accent1" w:themeShade="BF"/>
      <w:kern w:val="0"/>
      <w:sz w:val="32"/>
      <w:szCs w:val="32"/>
      <w:lang w:eastAsia="zh-CN"/>
    </w:rPr>
  </w:style>
  <w:style w:type="character" w:customStyle="1" w:styleId="868">
    <w:name w:val="TOC Heading CharProp2"/>
    <w:qFormat/>
    <w:uiPriority w:val="39"/>
    <w:rPr>
      <w:rFonts w:asciiTheme="majorHAnsi" w:hAnsiTheme="majorHAnsi" w:eastAsiaTheme="majorEastAsia" w:cstheme="majorBidi"/>
      <w:snapToGrid/>
      <w:color w:val="376092" w:themeColor="accent1" w:themeShade="BF"/>
      <w:kern w:val="0"/>
      <w:sz w:val="32"/>
      <w:szCs w:val="32"/>
      <w:lang w:eastAsia="zh-CN"/>
    </w:rPr>
  </w:style>
  <w:style w:type="character" w:customStyle="1" w:styleId="869">
    <w:name w:val="TOC Heading CharProp1"/>
    <w:qFormat/>
    <w:uiPriority w:val="39"/>
    <w:rPr>
      <w:rFonts w:asciiTheme="majorHAnsi" w:hAnsiTheme="majorHAnsi" w:eastAsiaTheme="majorEastAsia" w:cstheme="majorBidi"/>
      <w:snapToGrid/>
      <w:color w:val="376092" w:themeColor="accent1" w:themeShade="BF"/>
      <w:kern w:val="0"/>
      <w:sz w:val="32"/>
      <w:szCs w:val="32"/>
      <w:lang w:eastAsia="zh-CN"/>
    </w:rPr>
  </w:style>
  <w:style w:type="character" w:customStyle="1" w:styleId="870">
    <w:name w:val="TOC Heading CharProp"/>
    <w:qFormat/>
    <w:uiPriority w:val="39"/>
    <w:rPr>
      <w:rFonts w:asciiTheme="majorHAnsi" w:hAnsiTheme="majorHAnsi" w:eastAsiaTheme="majorEastAsia" w:cstheme="majorBidi"/>
      <w:snapToGrid/>
      <w:color w:val="376092" w:themeColor="accent1" w:themeShade="BF"/>
      <w:kern w:val="0"/>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51</Pages>
  <Words>4039</Words>
  <Characters>4269</Characters>
  <Lines>240</Lines>
  <Paragraphs>67</Paragraphs>
  <TotalTime>23</TotalTime>
  <ScaleCrop>false</ScaleCrop>
  <LinksUpToDate>false</LinksUpToDate>
  <CharactersWithSpaces>4401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2024-08-11T10:45:00Z</dcterms:created>
  <dc:creator>Administrator</dc:creator>
  <cp:lastModifiedBy>WPS_1601648774</cp:lastModifiedBy>
  <dcterms:modified xsi:type="dcterms:W3CDTF">2025-07-18T09:55:03Z</dcterms:modified>
  <cp:revision>421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2024-07-01T16:22:27Z</vt:filetime>
  </property>
  <property fmtid="{D5CDD505-2E9C-101B-9397-08002B2CF9AE}" pid="4" name="KSOProductBuildVer">
    <vt:lpwstr>2052-12.1.0.21915</vt:lpwstr>
  </property>
  <property fmtid="{D5CDD505-2E9C-101B-9397-08002B2CF9AE}" pid="5" name="ICV">
    <vt:lpwstr>F4CEB4908FC5499B93DA3E28C38DFD89_13</vt:lpwstr>
  </property>
  <property fmtid="{D5CDD505-2E9C-101B-9397-08002B2CF9AE}" pid="6" name="KSOTemplateDocerSaveRecord">
    <vt:lpwstr>eyJoZGlkIjoiMTM1NjM1YzIxNWQ4ZGUwNjg4NTE3ZWQzZmQyNjA5ZDciLCJ1c2VySWQiOiIxMTI2ODM5MTcxIn0=</vt:lpwstr>
  </property>
</Properties>
</file>