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E8" w:rsidRPr="0051745B" w:rsidRDefault="00FB0C8A">
      <w:pPr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51745B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政府预算相关重要事项的说明</w:t>
      </w:r>
    </w:p>
    <w:p w:rsidR="005324E8" w:rsidRPr="009033F8" w:rsidRDefault="005324E8">
      <w:pPr>
        <w:rPr>
          <w:rFonts w:ascii="仿宋" w:eastAsia="仿宋" w:hAnsi="仿宋"/>
          <w:b/>
          <w:color w:val="000000" w:themeColor="text1"/>
          <w:sz w:val="30"/>
          <w:szCs w:val="30"/>
        </w:rPr>
      </w:pPr>
    </w:p>
    <w:p w:rsidR="005324E8" w:rsidRPr="009033F8" w:rsidRDefault="00FB0C8A" w:rsidP="009033F8">
      <w:pPr>
        <w:spacing w:line="560" w:lineRule="exact"/>
        <w:ind w:firstLineChars="200" w:firstLine="602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一、泉州</w:t>
      </w:r>
      <w:r w:rsidRPr="009033F8">
        <w:rPr>
          <w:rFonts w:ascii="仿宋" w:eastAsia="仿宋" w:hAnsi="仿宋" w:cs="Arial" w:hint="eastAsia"/>
          <w:b/>
          <w:color w:val="000000" w:themeColor="text1"/>
          <w:kern w:val="0"/>
          <w:sz w:val="30"/>
          <w:szCs w:val="30"/>
        </w:rPr>
        <w:t>市</w:t>
      </w:r>
      <w:proofErr w:type="gramStart"/>
      <w:r w:rsidRPr="009033F8">
        <w:rPr>
          <w:rFonts w:ascii="仿宋" w:eastAsia="仿宋" w:hAnsi="仿宋" w:cs="Arial" w:hint="eastAsia"/>
          <w:b/>
          <w:color w:val="000000" w:themeColor="text1"/>
          <w:kern w:val="0"/>
          <w:sz w:val="30"/>
          <w:szCs w:val="30"/>
        </w:rPr>
        <w:t>洛</w:t>
      </w:r>
      <w:proofErr w:type="gramEnd"/>
      <w:r w:rsidRPr="009033F8">
        <w:rPr>
          <w:rFonts w:ascii="仿宋" w:eastAsia="仿宋" w:hAnsi="仿宋" w:cs="Arial" w:hint="eastAsia"/>
          <w:b/>
          <w:color w:val="000000" w:themeColor="text1"/>
          <w:kern w:val="0"/>
          <w:sz w:val="30"/>
          <w:szCs w:val="30"/>
        </w:rPr>
        <w:t>江区支出预算说明</w:t>
      </w:r>
    </w:p>
    <w:p w:rsidR="005324E8" w:rsidRPr="009033F8" w:rsidRDefault="000533AB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20</w:t>
      </w:r>
      <w:r w:rsidR="00A5471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="00FD4E5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年度泉州市</w:t>
      </w:r>
      <w:proofErr w:type="gramStart"/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洛</w:t>
      </w:r>
      <w:proofErr w:type="gramEnd"/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江区一般公共预算支出数为</w:t>
      </w:r>
      <w:r w:rsidR="00FE468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150955 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万元，比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20</w:t>
      </w:r>
      <w:r w:rsidR="003F1D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20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年度预算数增加</w:t>
      </w:r>
      <w:r w:rsidR="00FE468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4351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万元，增长</w:t>
      </w:r>
      <w:r w:rsidR="00950B7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%。具体情况如下：</w:t>
      </w:r>
    </w:p>
    <w:p w:rsidR="0094502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（一） （201）一般公共服务支出</w:t>
      </w:r>
      <w:r w:rsidR="003F1D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23067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减少68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下降0.3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635C0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主要原因是压减一般性支出。</w:t>
      </w:r>
    </w:p>
    <w:p w:rsidR="00635C0E" w:rsidRDefault="00945022" w:rsidP="006A79D3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 （20101）人大事务</w:t>
      </w:r>
      <w:r w:rsidR="00950B7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738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50B7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增加43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50B7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7A14DD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6.2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503D8B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2.（20102）政协事务</w:t>
      </w:r>
      <w:r w:rsidR="007A14DD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606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万元，较上年预算数增加</w:t>
      </w:r>
      <w:r w:rsidR="00FA19C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92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万元，增长</w:t>
      </w:r>
      <w:r w:rsidR="00FA19C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17.9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F348B2" w:rsidRPr="009033F8" w:rsidRDefault="00945022" w:rsidP="00FA19C2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3.（20103）政府办公厅（室）及相关机构事务</w:t>
      </w:r>
      <w:r w:rsidR="00FA19C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5656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A19C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增加62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A19C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增长1.1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635C0E" w:rsidRDefault="00945022" w:rsidP="006A79D3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 4.（20104）发展与改革事务</w:t>
      </w:r>
      <w:r w:rsidR="0083179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552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83179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减少21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83179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下降3.7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7B0611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5.（20105）统计信息事务</w:t>
      </w:r>
      <w:r w:rsidR="000958D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482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0958D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减少105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0958D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下降17.9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%。主要原因是</w:t>
      </w:r>
      <w:r w:rsidR="004701B0"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减少第七次人口普查经费105万元</w:t>
      </w:r>
      <w:r w:rsidR="00CD6E0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010CC1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6.（20106）财政事务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983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7569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0.</w:t>
      </w:r>
      <w:r w:rsidR="0097569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94502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7.（20107）税收事务800万元，较上年预算数增加0万元，与上年持平。</w:t>
      </w:r>
    </w:p>
    <w:p w:rsidR="00F348B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8.（20108）审计事务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288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1B095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增长7.9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CD6E09" w:rsidRPr="009033F8" w:rsidRDefault="009814F7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9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.（20111）纪检监察事务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1546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万元，较上年预算数增加</w:t>
      </w:r>
      <w:r w:rsidR="001B095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55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万元，增长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29.8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CD6E0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</w:t>
      </w:r>
      <w:r w:rsidR="00E757BC"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增加市看护队伍及办案中心分担费用50万元</w:t>
      </w:r>
      <w:r w:rsidR="002E51F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及</w:t>
      </w:r>
      <w:r w:rsidR="00DC511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人员增加</w:t>
      </w:r>
      <w:r w:rsidR="002E51F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相应增加人员及办公经费</w:t>
      </w:r>
      <w:r w:rsidR="00CD6E0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2E51FE" w:rsidRDefault="00945022" w:rsidP="006A79D3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.（20113）商贸事务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751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增加35</w:t>
      </w:r>
      <w:r w:rsidR="001B095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，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增长4.9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CD6E09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.（20123）民族事务</w:t>
      </w:r>
      <w:r w:rsidR="0005582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</w:t>
      </w:r>
      <w:r w:rsidR="00CD6E0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2E51FE" w:rsidRDefault="00945022" w:rsidP="006A79D3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.（20125）港澳台侨事务</w:t>
      </w:r>
      <w:r w:rsidR="0072604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181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1B095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</w:t>
      </w:r>
      <w:r w:rsidR="0072604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</w:t>
      </w:r>
      <w:r w:rsidR="001B095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万元，下降</w:t>
      </w:r>
      <w:r w:rsidR="0072604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3944C9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.（20126）档案事务</w:t>
      </w:r>
      <w:r w:rsidR="00117EE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144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2E51FE" w:rsidRDefault="00945022" w:rsidP="006A79D3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.（20128）民主党派及工商联事务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117EE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117EE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117EEE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.（20129）群众团体事务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769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32</w:t>
      </w:r>
      <w:r w:rsidR="00117EE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3944C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2E51FE" w:rsidRDefault="00945022" w:rsidP="006A79D3">
      <w:pPr>
        <w:widowControl/>
        <w:spacing w:line="560" w:lineRule="exact"/>
        <w:ind w:firstLine="640"/>
        <w:jc w:val="left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.（20131）党委办公厅（室）及相关机构事务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655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万元，较上年预算数增加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万元，增长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8.4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945022" w:rsidRPr="009033F8" w:rsidRDefault="00945022" w:rsidP="006A79D3">
      <w:pPr>
        <w:widowControl/>
        <w:spacing w:line="560" w:lineRule="exact"/>
        <w:ind w:firstLine="64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.（20132）组织事务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700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减少86</w:t>
      </w:r>
      <w:r w:rsidR="00117EE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下降10.1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%。   </w:t>
      </w:r>
    </w:p>
    <w:p w:rsidR="00134D57" w:rsidRPr="009033F8" w:rsidRDefault="00CC1AC5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8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.（20133）宣传事务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585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减少331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下降36.1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134D5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</w:t>
      </w:r>
      <w:r w:rsidR="00E757B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减少预算场地建设和设备费</w:t>
      </w:r>
      <w:r w:rsidR="00E757BC"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155</w:t>
      </w:r>
      <w:r w:rsidR="00E757B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</w:t>
      </w:r>
      <w:r w:rsidR="00037B1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及部分宣传经费调整科目。</w:t>
      </w:r>
    </w:p>
    <w:p w:rsidR="00134D57" w:rsidRPr="009033F8" w:rsidRDefault="009814F7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19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.（20134）统战事务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342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减少14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下降3.9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1B0562" w:rsidRPr="009033F8" w:rsidRDefault="00CC1AC5" w:rsidP="006A79D3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2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0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.（20136）其他共产党事务支出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1341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931D1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79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31D1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6.3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140E96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      </w:t>
      </w:r>
    </w:p>
    <w:p w:rsidR="00945022" w:rsidRPr="009033F8" w:rsidRDefault="00945022" w:rsidP="006A79D3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.（20138）市场监督管理事务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1385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减少23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3622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下降1.7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140E96" w:rsidRPr="009033F8" w:rsidRDefault="00CC1AC5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="0098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.（20199）其他一般公共服务支出</w:t>
      </w:r>
      <w:r w:rsidR="00E1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4492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E1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减少283</w:t>
      </w:r>
      <w:r w:rsidR="007A5C8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E114F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下降5.9</w:t>
      </w:r>
      <w:r w:rsidR="0094502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E757BC" w:rsidRPr="009033F8" w:rsidRDefault="00E757BC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（二）（203）国防支出391万元，较上年预算数增加191万元，增长95.5%。主要原因是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较上年增加</w:t>
      </w: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战备训练（</w:t>
      </w:r>
      <w:proofErr w:type="gramStart"/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含专武</w:t>
      </w:r>
      <w:proofErr w:type="gramEnd"/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培训）181万元。</w:t>
      </w:r>
    </w:p>
    <w:p w:rsidR="00E757BC" w:rsidRPr="009033F8" w:rsidRDefault="00E757BC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（三）（204）公共安全支出3520万元，较上年预算数减少417万元，下降10.6%</w:t>
      </w:r>
      <w:r w:rsidR="00387C5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E757BC" w:rsidRPr="009033F8" w:rsidRDefault="00E757BC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1.（20401）武装警察部队5万元，与上年持平。</w:t>
      </w:r>
    </w:p>
    <w:p w:rsidR="00390D25" w:rsidRDefault="00E757BC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2.（20402）公安2166万元，较上年预算数减少274万元，下降11.2%。</w:t>
      </w:r>
    </w:p>
    <w:p w:rsidR="00E757BC" w:rsidRPr="009033F8" w:rsidRDefault="00E757BC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3.（20405）法院50万元，较上年预算数增加50万元，增长100%。主要原因是增加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法院</w:t>
      </w: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辅助人员经费。</w:t>
      </w:r>
    </w:p>
    <w:p w:rsidR="00390D25" w:rsidRDefault="00E757BC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4.（20406）司法691万元，较上年预算数减少148万元，下降17.6%。</w:t>
      </w:r>
    </w:p>
    <w:p w:rsidR="00390D25" w:rsidRDefault="00E757BC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5.（20499）其他公共安全支出618万元，较上年预算数减少35万元，下降5.4%。</w:t>
      </w:r>
    </w:p>
    <w:p w:rsidR="00387C52" w:rsidRPr="009033F8" w:rsidRDefault="00945022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（四）</w:t>
      </w:r>
      <w:r w:rsidR="008A4A5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（205）教育支出40496万元，较上年预算数增加1969万元，增长5.1%。</w:t>
      </w:r>
      <w:r w:rsidR="00390D2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主要原因是增加教师人员经费及学生数增加相应公用经费投入。</w:t>
      </w:r>
    </w:p>
    <w:p w:rsidR="00390D25" w:rsidRDefault="008A4A51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1.（20501）教育管理事务861万元，较上年预算数增加2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万元，增长0.2%。</w:t>
      </w:r>
    </w:p>
    <w:p w:rsidR="008A4A51" w:rsidRPr="009033F8" w:rsidRDefault="008A4A51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2.（20502）普通教育36521万元，较上年预算数增加2339万元，增长6.8%。</w:t>
      </w:r>
    </w:p>
    <w:p w:rsidR="008A4A51" w:rsidRPr="009033F8" w:rsidRDefault="008A4A51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3.（20503）职业教育102万元，与上年持平。</w:t>
      </w:r>
    </w:p>
    <w:p w:rsidR="00390D25" w:rsidRDefault="008A4A51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4.（20508）进修及培训457万元，较上年预算数减少72万元，下降13.6%。</w:t>
      </w:r>
    </w:p>
    <w:p w:rsidR="00390D25" w:rsidRDefault="008A4A51" w:rsidP="008A4A51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5.（20509）教育费附加安排的支出2600万元，较上年预算数减少255万元，下降8.9%。</w:t>
      </w:r>
    </w:p>
    <w:p w:rsidR="008F7DB2" w:rsidRPr="009033F8" w:rsidRDefault="00945022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（五） （206）科学技术支出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3176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D60000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337</w:t>
      </w:r>
      <w:r w:rsidR="008F7DB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D60000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D60000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11.9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D536A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主要原因是增加项目配套经费。</w:t>
      </w:r>
    </w:p>
    <w:p w:rsidR="008F7DB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1.（20601）科学技术管理事务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479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减少586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下降55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%。主要原因是</w:t>
      </w:r>
      <w:r w:rsidR="000B38F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知识产权专项补助资金上年度结转金额较大，本年度相应减少</w:t>
      </w:r>
      <w:r w:rsidR="00EF2ECF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8F7DB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2.（20604）技术研究与开发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2540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8F7DB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1000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435290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0770E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64.9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%。主要原因是</w:t>
      </w:r>
      <w:r w:rsidR="000B38F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C91E5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项目配套经费</w:t>
      </w:r>
      <w:r w:rsidR="00E04F6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945022" w:rsidRPr="009033F8" w:rsidRDefault="00945022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3.（20607）科学技术普及</w:t>
      </w:r>
      <w:r w:rsidR="00FC4B0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157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万元，较上年预算数</w:t>
      </w:r>
      <w:r w:rsidR="00FC4B0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减少27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FC4B0E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下降14.7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</w:p>
    <w:p w:rsidR="00340400" w:rsidRPr="009033F8" w:rsidRDefault="00945022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（六） </w:t>
      </w:r>
      <w:r w:rsidR="008A4A5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（207）文化旅游体育与传媒支出1676万元，较上年预算数增加218万元，增长15%。</w:t>
      </w:r>
      <w:r w:rsidR="00D536A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主要原因是加大文化等方面投入。</w:t>
      </w:r>
    </w:p>
    <w:p w:rsidR="008A4A51" w:rsidRPr="009033F8" w:rsidRDefault="008A4A51" w:rsidP="008A4A51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1.（20701）文化和旅游1676万元，较上年预算数增加273万元，增长19.5%。                               </w:t>
      </w:r>
    </w:p>
    <w:p w:rsidR="008F4602" w:rsidRPr="00F66745" w:rsidRDefault="00836880" w:rsidP="00F6674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（七） （208）社会保障和就业支出21148万元，较上年预算数增加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458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万元，增长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F6674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主要原因是基本养老</w:t>
      </w:r>
      <w:r w:rsidR="00F66745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及部分专项</w:t>
      </w:r>
      <w:r w:rsidR="00F6674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保障人数和标准提高</w:t>
      </w:r>
      <w:r w:rsidR="00F66745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增加专项经费</w:t>
      </w:r>
      <w:r w:rsidR="00F6674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F66745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1.（20801）人力资源和社会保障管理事务779万元，较上年预算数</w:t>
      </w:r>
      <w:r w:rsidR="0094157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94157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</w:t>
      </w:r>
      <w:r w:rsidR="0094157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2.8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</w:t>
      </w:r>
      <w:r w:rsidR="00DC511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F66745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2.（20802）民政管理事务572万元，较上年预算数减少57元，下降9.1%。</w:t>
      </w:r>
    </w:p>
    <w:p w:rsidR="00F66745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3.（20805）行政事业单位离退休8615万元，较上年预算数减少319元，下降3.6%。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4.（20808）抚恤1238万元，较上年预算数增加123万元，增长11%。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5.（20809）退役安置388万元，较上年预算数减少1万元，下降0.3%。</w:t>
      </w:r>
    </w:p>
    <w:p w:rsidR="00F66745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6.（20810）社会福利785万元，较上年预算数减少7万元，下降0.1%。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7.（20811）残疾人事业934万元，较上年预算数增加37万元，增长4.1%。</w:t>
      </w:r>
    </w:p>
    <w:p w:rsidR="00F66745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8.（20816）红十字事业44万元，较上年预算数减少11万元，下降0.2%。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9.（20819）最低生活保障1076万元，较上年预算数增加92万元，增长9.3%。主要原因是最低生活保障人数和标准提高。</w:t>
      </w:r>
    </w:p>
    <w:p w:rsidR="00604CC1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10.（20820）临时救助144万元，较上年预算数增加3万元，增长2.1%。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11.（20821）特困人员救助供养285万元，较上年预算数减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少20万元，下降6.6%。主要原因是从上年结转中安排部分资金。</w:t>
      </w:r>
    </w:p>
    <w:p w:rsidR="00836880" w:rsidRPr="009033F8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12.（20825）其他生活救助175万元，较上年预算数增加127万元，增长264.58%。主要原因是增加困难群众临时价格补贴。</w:t>
      </w:r>
    </w:p>
    <w:p w:rsidR="00836880" w:rsidRPr="009033F8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13.（20826）财政对基本养老保险基金的补助5450万元，较上年预算数增加465万元，增长9.3%。主要原因是基本养老保障人数和标准提高。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14.（20828）退伍军人管理事务267万元，较上年预算数增加75万元，增长39.1%。主要原因是增加退役军人事务项目支出。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15.（20899）其他社会保障和就业支出116万元，较上年预算数减少38万元，下降24.7%。主要原因是减少退休人员政策性住房补贴安排。</w:t>
      </w:r>
    </w:p>
    <w:p w:rsidR="00836880" w:rsidRPr="00604CC1" w:rsidRDefault="00836880" w:rsidP="00604CC1">
      <w:pPr>
        <w:spacing w:line="560" w:lineRule="exact"/>
        <w:ind w:firstLineChars="150" w:firstLine="45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（八）（210）卫生健康支出18730万元，较上年预算数增加3475万元，增长22.78%。</w:t>
      </w:r>
      <w:r w:rsidR="00604CC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主要原因是调整医疗保险</w:t>
      </w:r>
      <w:r w:rsidR="00604CC1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缴费</w:t>
      </w:r>
      <w:r w:rsidR="00604CC1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科目。</w:t>
      </w:r>
    </w:p>
    <w:p w:rsidR="00836880" w:rsidRPr="009033F8" w:rsidRDefault="00836880" w:rsidP="00836880">
      <w:pPr>
        <w:spacing w:line="560" w:lineRule="exact"/>
        <w:ind w:firstLineChars="150" w:firstLine="45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 1.（21001）卫生健康管理事务447万元，较上年预算数减少9万元，下降2%。</w:t>
      </w:r>
    </w:p>
    <w:p w:rsidR="00836880" w:rsidRPr="009033F8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2.（21002）公立医院2541万元，较上年预算数增加650万元，增长34.4%。主要原因是增加联合办医经费600万元。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3.（21003）基层医疗卫生机构1725万元，较上年预算数减少201万元，下降10.4%。 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4.（21004）公共卫生2732万元，较上年预算数增加459万元，增加20.2%。主要原因是增加上级提前下达基本公共卫生项目经费。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5.（21006）中医药10万元，较上年预算数减少10万元，下降50%。主要原因是减少中医药专项经费。</w:t>
      </w:r>
    </w:p>
    <w:p w:rsidR="00F9364A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6.（21007）计划生育事务1525万元，较上年预算数减少108万元，下降6.6%。</w:t>
      </w:r>
    </w:p>
    <w:p w:rsidR="00836880" w:rsidRPr="009033F8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7.（21011）行政事业单位医疗2236万元，较上年预算数增加2216万元，增加11080%。主要原因是调整医疗保险</w:t>
      </w:r>
      <w:r w:rsidR="00DC511E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缴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费科目。</w:t>
      </w:r>
    </w:p>
    <w:p w:rsidR="00836880" w:rsidRPr="009033F8" w:rsidRDefault="00836880" w:rsidP="0083688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8.（21012） 财政对基本医疗保险基金的补助6957万元，较上年预算数增加424万元，增长6.5%。主要原因是基本医疗保险政府补助标准提高。</w:t>
      </w:r>
    </w:p>
    <w:p w:rsidR="00F9364A" w:rsidRDefault="00836880" w:rsidP="00836880">
      <w:pPr>
        <w:widowControl/>
        <w:spacing w:line="560" w:lineRule="exact"/>
        <w:ind w:firstLine="630"/>
        <w:jc w:val="left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9.（21013） 医疗救助324万元，较上年预算数增加18万元，增长5.9%。</w:t>
      </w:r>
    </w:p>
    <w:p w:rsidR="00836880" w:rsidRPr="009033F8" w:rsidRDefault="00836880" w:rsidP="00836880">
      <w:pPr>
        <w:widowControl/>
        <w:spacing w:line="560" w:lineRule="exact"/>
        <w:ind w:firstLine="63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10.（21014）优抚对象医疗47万元，较上年预算数增加8万元，增长20.5%。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11.（21016） 老龄卫生健康事务28万元，与上年持平。</w:t>
      </w:r>
    </w:p>
    <w:p w:rsidR="00836880" w:rsidRPr="009033F8" w:rsidRDefault="00836880" w:rsidP="00836880">
      <w:pPr>
        <w:widowControl/>
        <w:spacing w:line="560" w:lineRule="exact"/>
        <w:ind w:firstLine="63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12.（21099）其他卫生健康支出157万元，较上年预算数增加27万元，增长20.8%。</w:t>
      </w:r>
    </w:p>
    <w:p w:rsidR="00836880" w:rsidRPr="00305673" w:rsidRDefault="00836880" w:rsidP="005F636A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（十） （212）城乡社区支出8160万元，较上年预算数减少172万元，下降2.1%。</w:t>
      </w:r>
      <w:r w:rsidR="0030567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主要原因是较上年减少社区营造</w:t>
      </w:r>
      <w:r w:rsidR="005F636A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、</w:t>
      </w:r>
      <w:r w:rsidR="005F636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两高一通</w:t>
      </w:r>
      <w:r w:rsidR="005F636A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道路环境整治</w:t>
      </w:r>
      <w:r w:rsidR="00305673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等</w:t>
      </w:r>
      <w:r w:rsidR="0030567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专项资金。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1.（21201）城乡社区管理事务3087万元，较上年预算数减少261万元，下降7.8%。</w:t>
      </w:r>
    </w:p>
    <w:p w:rsidR="00305673" w:rsidRDefault="00836880" w:rsidP="00836880">
      <w:pPr>
        <w:ind w:firstLineChars="150" w:firstLine="45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2.（21203）城乡社区公共设施2300万元，较上年预算数减少540万元，下降19%。</w:t>
      </w:r>
    </w:p>
    <w:p w:rsidR="00836880" w:rsidRPr="009033F8" w:rsidRDefault="00836880" w:rsidP="00836880">
      <w:pPr>
        <w:ind w:firstLineChars="150" w:firstLine="45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3.（21205）城乡社区环境卫生2236万元，较上年预算数增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加530万元，增长31.1%。主要原因是较上年中心城区保洁经费增加了450万元。</w:t>
      </w:r>
    </w:p>
    <w:p w:rsidR="00836880" w:rsidRPr="009033F8" w:rsidRDefault="00836880" w:rsidP="00836880">
      <w:pPr>
        <w:ind w:firstLineChars="150" w:firstLine="45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4.（21299）其他城乡社区支出537万元，较上年预算数增加99万元，增长22.6%。主要原因是较上年增加了村民卫生费收缴补助资金50万元等。</w:t>
      </w:r>
    </w:p>
    <w:p w:rsidR="00836880" w:rsidRPr="005F636A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（十一） （213）农林水支出7782万元，较上年预算数减少424万元，下降5.2%。</w:t>
      </w:r>
      <w:r w:rsidR="005F636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主要原因是部分职能划入</w:t>
      </w:r>
      <w:proofErr w:type="gramStart"/>
      <w:r w:rsidR="005F636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应急局</w:t>
      </w:r>
      <w:proofErr w:type="gramEnd"/>
      <w:r w:rsidR="005F636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相应减少支出</w:t>
      </w:r>
      <w:r w:rsidR="005F636A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及</w:t>
      </w:r>
      <w:r w:rsidR="005F636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减少部分省市提前下达专款项目。</w:t>
      </w:r>
    </w:p>
    <w:p w:rsidR="00ED4CC8" w:rsidRDefault="00836880" w:rsidP="00836880">
      <w:pPr>
        <w:spacing w:line="560" w:lineRule="exact"/>
        <w:ind w:firstLineChars="200" w:firstLine="600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1.（21301）农业4469万元，较上年预算数增加152万元，增长3.5%。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2.（21302）林业和草原677万元，较上年预算数减少353万元，下降34.3%。主要原因是</w:t>
      </w:r>
      <w:r w:rsidR="0015141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部分职能划入</w:t>
      </w:r>
      <w:proofErr w:type="gramStart"/>
      <w:r w:rsidR="0015141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应急局</w:t>
      </w:r>
      <w:proofErr w:type="gramEnd"/>
      <w:r w:rsidR="00151417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相应减少支出</w:t>
      </w:r>
      <w:r w:rsidR="00970E72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及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减少部分省市提前下达专款项目。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3.（21303）水利440万元，较上年预算数减少131万元，下降22.9%。主要原因是</w:t>
      </w:r>
      <w:r w:rsidR="00970E72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农村饮水工程专项改从政府性基金列支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4.（21305）扶贫500万元，较上年预算数减少35万元，下降6.5%。主要原因是减少省市提前下达专款项目。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5.（21307）农村综合改革1676万元，较上年预算数减少57万元，下降3.3%。</w:t>
      </w:r>
    </w:p>
    <w:p w:rsidR="002123F4" w:rsidRPr="009033F8" w:rsidRDefault="00632826" w:rsidP="007E1904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</w:t>
      </w:r>
      <w:r w:rsidR="007C2F4D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.（21308）普惠金融发展支出</w:t>
      </w:r>
      <w:r w:rsidR="009956C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20</w:t>
      </w:r>
      <w:r w:rsidR="007C2F4D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7E1904" w:rsidRPr="009033F8" w:rsidRDefault="00945022" w:rsidP="007E1904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（十二） （214）交通运输支出</w:t>
      </w:r>
      <w:r w:rsidR="009956C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7E1904" w:rsidRPr="009033F8" w:rsidRDefault="00945022" w:rsidP="007E1904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1.（21401） 公路水路运输</w:t>
      </w:r>
      <w:r w:rsidR="009956C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22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7E1904" w:rsidRPr="009033F8" w:rsidRDefault="00083BD4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（十三） （215）资源勘探信息等支出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4000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7E1904" w:rsidRPr="009033F8" w:rsidRDefault="00DB248B" w:rsidP="007E1904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.（21508）支持中小企业发展和管理支出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4000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7E1904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431599" w:rsidRPr="009033F8" w:rsidRDefault="00083BD4" w:rsidP="00431599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（十四） （216）商业服务业等支出</w:t>
      </w:r>
      <w:r w:rsidR="009956C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431599" w:rsidRPr="009033F8" w:rsidRDefault="00083BD4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.（21602）商业流通事务</w:t>
      </w:r>
      <w:r w:rsidR="009956C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60万元，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与上年持平。</w:t>
      </w:r>
    </w:p>
    <w:p w:rsidR="00DB248B" w:rsidRPr="00ED4CC8" w:rsidRDefault="00083BD4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（十五） （220）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自然资源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海洋气象等支出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1521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较上年预算数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减少246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下降13.9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ED4CC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</w:t>
      </w:r>
      <w:r w:rsidR="00ED4CC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机构调整</w:t>
      </w:r>
      <w:r w:rsidR="00ED4CC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减少人员经费及省市专款。</w:t>
      </w:r>
    </w:p>
    <w:p w:rsidR="00431599" w:rsidRPr="009033F8" w:rsidRDefault="00953DF5" w:rsidP="00431599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.（22001）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自然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资源事务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1521万元，较上年预算数减少246万元，下降13.9%。</w:t>
      </w:r>
    </w:p>
    <w:p w:rsidR="00431599" w:rsidRPr="00ED4CC8" w:rsidRDefault="00953DF5" w:rsidP="006A79D3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</w:t>
      </w:r>
      <w:r w:rsidR="00AC00F2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六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） （222）粮油物资储备支出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560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较上年预算数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增加357</w:t>
      </w:r>
      <w:r w:rsidR="00DA066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万元，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增长175.9</w:t>
      </w:r>
      <w:r w:rsidR="00DB248B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%。</w:t>
      </w:r>
      <w:r w:rsidR="00ED4CC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主要原因是较上年增加了粮食风险金支出。</w:t>
      </w:r>
    </w:p>
    <w:p w:rsidR="00431599" w:rsidRPr="009033F8" w:rsidRDefault="00953DF5" w:rsidP="00431599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.（22201）粮油事务</w:t>
      </w:r>
      <w:r w:rsidR="00431599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560万元，较上年预算数增加357万元，增长175.9%。</w:t>
      </w:r>
    </w:p>
    <w:p w:rsidR="00836880" w:rsidRPr="00ED4CC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（十七）（224）灾害防治及应急管理支出1723万元，较上年预算数增加475万元，增长38.1%。</w:t>
      </w:r>
      <w:r w:rsidR="00ED4CC8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主要原因是机构改革变动增加地震办、森林消防人员、及公用支出、防汛防灾专项。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1.（22401）应急管理事务829万元，较上年预算数增加225万元，增长37.3%。主要原因是机构改革变动增加地震办、森林消防人员、及公用支出、防汛防灾专项。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2.（22402）消防事务698万元，较上年预算数增加167万元，增长31.2%。主要原因是</w:t>
      </w:r>
      <w:r w:rsidR="006A148C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增加消防业务费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3.（22403）森林消防事务119万元，较上年预算数增加119万元，增长100%。主要原因是机构改革森林消防划入应急局，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相应增加人员及公用支出。</w:t>
      </w:r>
    </w:p>
    <w:p w:rsidR="00836880" w:rsidRPr="009033F8" w:rsidRDefault="00836880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4.（22405）地震事务10万元，较上年预算数减少35万元，下降77.8%。主要原因是机构改革</w:t>
      </w:r>
      <w:proofErr w:type="gramStart"/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地震办</w:t>
      </w:r>
      <w:proofErr w:type="gramEnd"/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划入应急局，相应减少支出。</w:t>
      </w:r>
    </w:p>
    <w:p w:rsidR="00836880" w:rsidRPr="009033F8" w:rsidRDefault="001E647B" w:rsidP="00836880">
      <w:pPr>
        <w:spacing w:line="560" w:lineRule="exact"/>
        <w:ind w:firstLineChars="200" w:firstLine="600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5</w:t>
      </w:r>
      <w:r w:rsidR="00836880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.(22407)自然灾害救灾及恢复重建支出67万元，较上年预算数减少1万元，增长1.2%，</w:t>
      </w:r>
      <w:r w:rsidRPr="009033F8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 xml:space="preserve"> </w:t>
      </w:r>
    </w:p>
    <w:p w:rsidR="005324E8" w:rsidRPr="009033F8" w:rsidRDefault="00ED1D33" w:rsidP="006A79D3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（十九</w:t>
      </w:r>
      <w:r w:rsidR="00953DF5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）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（227）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预备费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4385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</w:t>
      </w:r>
      <w:r w:rsidR="0005581B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较上年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预算数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增加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1599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万元，增长</w:t>
      </w:r>
      <w:r w:rsidR="00BF0ED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5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7.4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%。主要原因是</w:t>
      </w:r>
      <w:r w:rsidR="00697315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按照一般公共预算支出的3%预留专项资金</w:t>
      </w:r>
      <w:r w:rsidR="00A92E67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，</w:t>
      </w:r>
      <w:r w:rsidR="00A40012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较上年预留比例提高</w:t>
      </w:r>
      <w:r w:rsidR="00A92E67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。</w:t>
      </w:r>
    </w:p>
    <w:p w:rsidR="00ED1D33" w:rsidRPr="009033F8" w:rsidRDefault="00953DF5" w:rsidP="006B35ED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</w:t>
      </w:r>
      <w:r w:rsidR="00ED1D3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二十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）（229）其他支出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983</w:t>
      </w: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较上年</w:t>
      </w:r>
      <w:r w:rsidR="00ED1D3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预算数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减少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597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万元，下降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37.8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%。</w:t>
      </w:r>
      <w:r w:rsidR="001E647B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主要原因是减少设备购置专项资金。</w:t>
      </w:r>
    </w:p>
    <w:p w:rsidR="006B35ED" w:rsidRPr="009033F8" w:rsidRDefault="00953DF5" w:rsidP="006B35ED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.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（22999）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其他支出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983万元，较上年</w:t>
      </w:r>
      <w:r w:rsidR="006B35ED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预算数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减少597万元，下降37.8%。主要原因是</w:t>
      </w:r>
      <w:r w:rsidR="003D4A89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减少设备购置专项资金</w:t>
      </w:r>
      <w:r w:rsidR="006B35ED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。</w:t>
      </w:r>
    </w:p>
    <w:p w:rsidR="00953DF5" w:rsidRPr="001E647B" w:rsidRDefault="00953DF5" w:rsidP="006A79D3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（二十</w:t>
      </w:r>
      <w:r w:rsidR="00ED1D3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一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）（232）债务付息支出</w:t>
      </w:r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9200</w:t>
      </w: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万元，较上年</w:t>
      </w:r>
      <w:r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预算数</w:t>
      </w: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增加</w:t>
      </w:r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287</w:t>
      </w: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万元，增长</w:t>
      </w:r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3.2</w:t>
      </w: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%。</w:t>
      </w:r>
      <w:r w:rsidR="001E647B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主要原因是新增债务利息费用。</w:t>
      </w:r>
    </w:p>
    <w:p w:rsidR="00ED1D33" w:rsidRPr="009033F8" w:rsidRDefault="00953DF5" w:rsidP="006A79D3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1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.</w:t>
      </w:r>
      <w:r w:rsidR="00FB0C8A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（23203）</w:t>
      </w:r>
      <w:r w:rsidR="00FB0C8A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地方政府一般债务付息支出</w:t>
      </w:r>
      <w:bookmarkStart w:id="0" w:name="_GoBack"/>
      <w:bookmarkEnd w:id="0"/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9200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万元，较上年</w:t>
      </w:r>
      <w:r w:rsidR="00ED1D33" w:rsidRPr="009033F8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预算数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增加</w:t>
      </w:r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287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万元，增长3</w:t>
      </w:r>
      <w:r w:rsidR="00AD2F76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.2</w:t>
      </w:r>
      <w:r w:rsidR="00ED1D33"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%。</w:t>
      </w:r>
    </w:p>
    <w:p w:rsidR="005324E8" w:rsidRPr="009033F8" w:rsidRDefault="00FB0C8A" w:rsidP="009033F8">
      <w:pPr>
        <w:spacing w:line="560" w:lineRule="exact"/>
        <w:ind w:firstLineChars="200" w:firstLine="602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b/>
          <w:color w:val="000000" w:themeColor="text1"/>
          <w:sz w:val="30"/>
          <w:szCs w:val="30"/>
        </w:rPr>
        <w:t>二、财政转移支付安排情况</w:t>
      </w:r>
    </w:p>
    <w:p w:rsidR="00231802" w:rsidRPr="009033F8" w:rsidRDefault="00231802" w:rsidP="006A79D3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9033F8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本区所辖乡镇未单独编制政府预算，为此未有一般公共预算对下税收返还和转移支付预算数据。</w:t>
      </w:r>
    </w:p>
    <w:p w:rsidR="005324E8" w:rsidRPr="009033F8" w:rsidRDefault="00FB0C8A" w:rsidP="009033F8">
      <w:pPr>
        <w:spacing w:line="560" w:lineRule="exact"/>
        <w:ind w:firstLineChars="200" w:firstLine="602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b/>
          <w:color w:val="000000" w:themeColor="text1"/>
          <w:sz w:val="30"/>
          <w:szCs w:val="30"/>
        </w:rPr>
        <w:t>三、举借政府债务情况</w:t>
      </w:r>
    </w:p>
    <w:p w:rsidR="00715A73" w:rsidRPr="00715A73" w:rsidRDefault="00715A73" w:rsidP="00715A73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2020年，</w:t>
      </w:r>
      <w:proofErr w:type="gramStart"/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洛</w:t>
      </w:r>
      <w:proofErr w:type="gramEnd"/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江区新增政府债务限额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5298</w:t>
      </w:r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万元，实际发行新增债券5179万元（一般债券3279万元，专项债券1900万元），外债转贷119万元。截至2020年底，</w:t>
      </w:r>
      <w:proofErr w:type="gramStart"/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洛</w:t>
      </w:r>
      <w:proofErr w:type="gramEnd"/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t>江区政府债务余额</w:t>
      </w:r>
      <w:r w:rsidRPr="00715A7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382226.09万元（一般债务259688.09万元，专项债务122538 万元），债务余额严格控制在上级核定的限额437510 万元内。</w:t>
      </w:r>
    </w:p>
    <w:p w:rsidR="005324E8" w:rsidRPr="009033F8" w:rsidRDefault="00FB0C8A" w:rsidP="00715A73">
      <w:pPr>
        <w:spacing w:line="560" w:lineRule="exact"/>
        <w:ind w:firstLineChars="200" w:firstLine="602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四、预算绩效开展情况</w:t>
      </w:r>
    </w:p>
    <w:p w:rsidR="00C40EB7" w:rsidRPr="009033F8" w:rsidRDefault="00C40EB7" w:rsidP="006A79D3">
      <w:pPr>
        <w:spacing w:line="56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726A0C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6B35ED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年度开展预算绩效管理目标项目有</w:t>
      </w:r>
      <w:r w:rsidR="003D4A89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36</w:t>
      </w: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个单位,有</w:t>
      </w:r>
      <w:r w:rsidR="003D4A89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71</w:t>
      </w: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个项目，项目金额为</w:t>
      </w:r>
      <w:r w:rsidR="003D4A89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57299</w:t>
      </w: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万元，绩效目标覆盖率为</w:t>
      </w:r>
      <w:r w:rsidR="00726A0C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100</w:t>
      </w: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%。  </w:t>
      </w:r>
    </w:p>
    <w:p w:rsidR="006A79D3" w:rsidRPr="009033F8" w:rsidRDefault="006A79D3" w:rsidP="00635C0E">
      <w:pPr>
        <w:widowControl/>
        <w:adjustRightInd w:val="0"/>
        <w:snapToGrid w:val="0"/>
        <w:spacing w:beforeLines="50" w:afterLines="50" w:line="560" w:lineRule="exac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9033F8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 “三公”经费预算安排情况</w:t>
      </w:r>
    </w:p>
    <w:p w:rsidR="006A79D3" w:rsidRPr="009033F8" w:rsidRDefault="006A79D3" w:rsidP="006A79D3">
      <w:pPr>
        <w:widowControl/>
        <w:adjustRightInd w:val="0"/>
        <w:snapToGrid w:val="0"/>
        <w:spacing w:line="560" w:lineRule="exact"/>
        <w:ind w:firstLine="660"/>
        <w:rPr>
          <w:rFonts w:ascii="仿宋" w:eastAsia="仿宋" w:hAnsi="仿宋"/>
          <w:color w:val="000000" w:themeColor="text1"/>
          <w:sz w:val="30"/>
          <w:szCs w:val="30"/>
        </w:rPr>
      </w:pPr>
      <w:r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经汇总，</w:t>
      </w:r>
      <w:r w:rsidR="002F61BE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2021年一般公共预算拨款安排的“三公”经费预算数控制数为630.35万元，比上年预算数减少7.46万元。其中，因公出国（境）经费58.5万元，减少3万元，公务接待费203.05万元，减少30.32万元；公务用车运行费343.8万元，增加0.86万元，主要原因是</w:t>
      </w:r>
      <w:proofErr w:type="gramStart"/>
      <w:r w:rsidR="004A3635">
        <w:rPr>
          <w:rFonts w:ascii="仿宋" w:eastAsia="仿宋" w:hAnsi="仿宋" w:hint="eastAsia"/>
          <w:color w:val="000000" w:themeColor="text1"/>
          <w:sz w:val="30"/>
          <w:szCs w:val="30"/>
        </w:rPr>
        <w:t>政府办较上年</w:t>
      </w:r>
      <w:proofErr w:type="gramEnd"/>
      <w:r w:rsidR="004A3635">
        <w:rPr>
          <w:rFonts w:ascii="仿宋" w:eastAsia="仿宋" w:hAnsi="仿宋" w:hint="eastAsia"/>
          <w:color w:val="000000" w:themeColor="text1"/>
          <w:sz w:val="30"/>
          <w:szCs w:val="30"/>
        </w:rPr>
        <w:t>增加一辆公务车，相应增加用车运行费用。</w:t>
      </w:r>
      <w:r w:rsidR="002F61BE" w:rsidRPr="009033F8">
        <w:rPr>
          <w:rFonts w:ascii="仿宋" w:eastAsia="仿宋" w:hAnsi="仿宋" w:hint="eastAsia"/>
          <w:color w:val="000000" w:themeColor="text1"/>
          <w:sz w:val="30"/>
          <w:szCs w:val="30"/>
        </w:rPr>
        <w:t>公务用车购置费25万元，比上年增加25万元，主要原因是河市镇因车辆到报废年限，计划申请购买一辆公务车。</w:t>
      </w:r>
    </w:p>
    <w:p w:rsidR="005324E8" w:rsidRPr="009033F8" w:rsidRDefault="005324E8" w:rsidP="00945022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5324E8" w:rsidRPr="009033F8" w:rsidSect="0053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62" w:rsidRDefault="002F5E62" w:rsidP="00190AA3">
      <w:r>
        <w:separator/>
      </w:r>
    </w:p>
  </w:endnote>
  <w:endnote w:type="continuationSeparator" w:id="0">
    <w:p w:rsidR="002F5E62" w:rsidRDefault="002F5E62" w:rsidP="0019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62" w:rsidRDefault="002F5E62" w:rsidP="00190AA3">
      <w:r>
        <w:separator/>
      </w:r>
    </w:p>
  </w:footnote>
  <w:footnote w:type="continuationSeparator" w:id="0">
    <w:p w:rsidR="002F5E62" w:rsidRDefault="002F5E62" w:rsidP="00190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A6"/>
    <w:rsid w:val="0000208E"/>
    <w:rsid w:val="00010CC1"/>
    <w:rsid w:val="00013115"/>
    <w:rsid w:val="00021381"/>
    <w:rsid w:val="00031A1B"/>
    <w:rsid w:val="0003649F"/>
    <w:rsid w:val="00037B1B"/>
    <w:rsid w:val="000533AB"/>
    <w:rsid w:val="0005581B"/>
    <w:rsid w:val="0005582E"/>
    <w:rsid w:val="00057A3C"/>
    <w:rsid w:val="00073951"/>
    <w:rsid w:val="000770E5"/>
    <w:rsid w:val="00082587"/>
    <w:rsid w:val="00082A52"/>
    <w:rsid w:val="00083BD4"/>
    <w:rsid w:val="000958D3"/>
    <w:rsid w:val="000A1682"/>
    <w:rsid w:val="000B38F1"/>
    <w:rsid w:val="000B414C"/>
    <w:rsid w:val="000C080D"/>
    <w:rsid w:val="000C185D"/>
    <w:rsid w:val="000D412B"/>
    <w:rsid w:val="000D5AAE"/>
    <w:rsid w:val="000E131B"/>
    <w:rsid w:val="000E1608"/>
    <w:rsid w:val="000E3B04"/>
    <w:rsid w:val="000F0F27"/>
    <w:rsid w:val="000F4636"/>
    <w:rsid w:val="00102B02"/>
    <w:rsid w:val="0011327B"/>
    <w:rsid w:val="00114A23"/>
    <w:rsid w:val="00117EEE"/>
    <w:rsid w:val="0012344C"/>
    <w:rsid w:val="00124E73"/>
    <w:rsid w:val="00131018"/>
    <w:rsid w:val="00134D57"/>
    <w:rsid w:val="00135AB4"/>
    <w:rsid w:val="00140E96"/>
    <w:rsid w:val="00151417"/>
    <w:rsid w:val="00153F78"/>
    <w:rsid w:val="001665A0"/>
    <w:rsid w:val="0017186C"/>
    <w:rsid w:val="0017503B"/>
    <w:rsid w:val="00175D8D"/>
    <w:rsid w:val="00190AA3"/>
    <w:rsid w:val="001B0562"/>
    <w:rsid w:val="001B0956"/>
    <w:rsid w:val="001B50D7"/>
    <w:rsid w:val="001B6B18"/>
    <w:rsid w:val="001B7EF6"/>
    <w:rsid w:val="001C107A"/>
    <w:rsid w:val="001D363B"/>
    <w:rsid w:val="001E1C7F"/>
    <w:rsid w:val="001E4682"/>
    <w:rsid w:val="001E647B"/>
    <w:rsid w:val="001F03A4"/>
    <w:rsid w:val="002123F4"/>
    <w:rsid w:val="002262A2"/>
    <w:rsid w:val="00231802"/>
    <w:rsid w:val="002344B5"/>
    <w:rsid w:val="00235AFC"/>
    <w:rsid w:val="00240511"/>
    <w:rsid w:val="00241965"/>
    <w:rsid w:val="00247AF6"/>
    <w:rsid w:val="00255E25"/>
    <w:rsid w:val="002570AB"/>
    <w:rsid w:val="00257B73"/>
    <w:rsid w:val="00264187"/>
    <w:rsid w:val="002645EE"/>
    <w:rsid w:val="00283729"/>
    <w:rsid w:val="00283D5D"/>
    <w:rsid w:val="00283DAB"/>
    <w:rsid w:val="00297CEC"/>
    <w:rsid w:val="002A3277"/>
    <w:rsid w:val="002B344A"/>
    <w:rsid w:val="002B50F9"/>
    <w:rsid w:val="002C07F8"/>
    <w:rsid w:val="002C34E3"/>
    <w:rsid w:val="002C3710"/>
    <w:rsid w:val="002C4E12"/>
    <w:rsid w:val="002C7F3E"/>
    <w:rsid w:val="002E51FE"/>
    <w:rsid w:val="002F5E62"/>
    <w:rsid w:val="002F61BE"/>
    <w:rsid w:val="002F7A26"/>
    <w:rsid w:val="00300670"/>
    <w:rsid w:val="00305673"/>
    <w:rsid w:val="00312635"/>
    <w:rsid w:val="00313891"/>
    <w:rsid w:val="0031412D"/>
    <w:rsid w:val="003253F3"/>
    <w:rsid w:val="0032690D"/>
    <w:rsid w:val="003303AA"/>
    <w:rsid w:val="00334E4C"/>
    <w:rsid w:val="00340400"/>
    <w:rsid w:val="003423F8"/>
    <w:rsid w:val="003430C4"/>
    <w:rsid w:val="003711E3"/>
    <w:rsid w:val="00387C52"/>
    <w:rsid w:val="00390D25"/>
    <w:rsid w:val="00390D51"/>
    <w:rsid w:val="00392F79"/>
    <w:rsid w:val="003944C9"/>
    <w:rsid w:val="00394815"/>
    <w:rsid w:val="003A33BD"/>
    <w:rsid w:val="003A3A1F"/>
    <w:rsid w:val="003B442D"/>
    <w:rsid w:val="003D4A89"/>
    <w:rsid w:val="003D7E9B"/>
    <w:rsid w:val="003E0F62"/>
    <w:rsid w:val="003E1DA5"/>
    <w:rsid w:val="003E447E"/>
    <w:rsid w:val="003F1DC9"/>
    <w:rsid w:val="00404781"/>
    <w:rsid w:val="00421F5A"/>
    <w:rsid w:val="00424959"/>
    <w:rsid w:val="00425115"/>
    <w:rsid w:val="00426FA3"/>
    <w:rsid w:val="00427F13"/>
    <w:rsid w:val="0043130C"/>
    <w:rsid w:val="00431599"/>
    <w:rsid w:val="004319AC"/>
    <w:rsid w:val="00432590"/>
    <w:rsid w:val="00435290"/>
    <w:rsid w:val="004413D8"/>
    <w:rsid w:val="004429D1"/>
    <w:rsid w:val="004451DB"/>
    <w:rsid w:val="00445A12"/>
    <w:rsid w:val="0045440E"/>
    <w:rsid w:val="00466539"/>
    <w:rsid w:val="00470074"/>
    <w:rsid w:val="004701B0"/>
    <w:rsid w:val="00473815"/>
    <w:rsid w:val="0048294A"/>
    <w:rsid w:val="00483D4E"/>
    <w:rsid w:val="00492497"/>
    <w:rsid w:val="00494356"/>
    <w:rsid w:val="004A298B"/>
    <w:rsid w:val="004A3635"/>
    <w:rsid w:val="004A3F3D"/>
    <w:rsid w:val="004A4A74"/>
    <w:rsid w:val="004A6257"/>
    <w:rsid w:val="004A6CCB"/>
    <w:rsid w:val="004B6F9A"/>
    <w:rsid w:val="004C4650"/>
    <w:rsid w:val="004D084A"/>
    <w:rsid w:val="004D0E9A"/>
    <w:rsid w:val="004D1EE4"/>
    <w:rsid w:val="004D353B"/>
    <w:rsid w:val="004D7B0C"/>
    <w:rsid w:val="004E2906"/>
    <w:rsid w:val="004E308B"/>
    <w:rsid w:val="004E6A5D"/>
    <w:rsid w:val="004F3069"/>
    <w:rsid w:val="00503D8B"/>
    <w:rsid w:val="00507F5E"/>
    <w:rsid w:val="00511B06"/>
    <w:rsid w:val="0051745B"/>
    <w:rsid w:val="00520309"/>
    <w:rsid w:val="00523937"/>
    <w:rsid w:val="005261EC"/>
    <w:rsid w:val="00530A7A"/>
    <w:rsid w:val="005324E8"/>
    <w:rsid w:val="005402D7"/>
    <w:rsid w:val="005479A6"/>
    <w:rsid w:val="00553D36"/>
    <w:rsid w:val="00565610"/>
    <w:rsid w:val="005729E4"/>
    <w:rsid w:val="005775D9"/>
    <w:rsid w:val="005924DB"/>
    <w:rsid w:val="0059428A"/>
    <w:rsid w:val="005A10A9"/>
    <w:rsid w:val="005B0423"/>
    <w:rsid w:val="005B67EE"/>
    <w:rsid w:val="005B6C56"/>
    <w:rsid w:val="005B6EC8"/>
    <w:rsid w:val="005B7B11"/>
    <w:rsid w:val="005C727C"/>
    <w:rsid w:val="005C7ED4"/>
    <w:rsid w:val="005D0870"/>
    <w:rsid w:val="005D12B2"/>
    <w:rsid w:val="005E180D"/>
    <w:rsid w:val="005E66FC"/>
    <w:rsid w:val="005F3861"/>
    <w:rsid w:val="005F3E0E"/>
    <w:rsid w:val="005F5F48"/>
    <w:rsid w:val="005F636A"/>
    <w:rsid w:val="00600014"/>
    <w:rsid w:val="00604CC1"/>
    <w:rsid w:val="006078B0"/>
    <w:rsid w:val="0061075A"/>
    <w:rsid w:val="00611C21"/>
    <w:rsid w:val="00611D1F"/>
    <w:rsid w:val="00615D2A"/>
    <w:rsid w:val="00617690"/>
    <w:rsid w:val="00623D91"/>
    <w:rsid w:val="00626220"/>
    <w:rsid w:val="006303BD"/>
    <w:rsid w:val="00632826"/>
    <w:rsid w:val="00635070"/>
    <w:rsid w:val="00635C0E"/>
    <w:rsid w:val="00640484"/>
    <w:rsid w:val="006470B7"/>
    <w:rsid w:val="006504FC"/>
    <w:rsid w:val="00651375"/>
    <w:rsid w:val="0065355C"/>
    <w:rsid w:val="00665953"/>
    <w:rsid w:val="0066652F"/>
    <w:rsid w:val="006737E2"/>
    <w:rsid w:val="00684738"/>
    <w:rsid w:val="0069018A"/>
    <w:rsid w:val="006914C8"/>
    <w:rsid w:val="0069645D"/>
    <w:rsid w:val="00697315"/>
    <w:rsid w:val="00697CAC"/>
    <w:rsid w:val="006A026B"/>
    <w:rsid w:val="006A148C"/>
    <w:rsid w:val="006A5D2E"/>
    <w:rsid w:val="006A79D3"/>
    <w:rsid w:val="006B1F83"/>
    <w:rsid w:val="006B35ED"/>
    <w:rsid w:val="006D0D5D"/>
    <w:rsid w:val="006D2A5D"/>
    <w:rsid w:val="006D3BA2"/>
    <w:rsid w:val="006D3BF1"/>
    <w:rsid w:val="006D5FCB"/>
    <w:rsid w:val="006E294A"/>
    <w:rsid w:val="006E30A8"/>
    <w:rsid w:val="006E51F5"/>
    <w:rsid w:val="006F1B74"/>
    <w:rsid w:val="00703DB5"/>
    <w:rsid w:val="00715A73"/>
    <w:rsid w:val="0072604A"/>
    <w:rsid w:val="00726A0C"/>
    <w:rsid w:val="00727D85"/>
    <w:rsid w:val="00730D16"/>
    <w:rsid w:val="00734120"/>
    <w:rsid w:val="007415E8"/>
    <w:rsid w:val="007434DD"/>
    <w:rsid w:val="00755E4F"/>
    <w:rsid w:val="00770754"/>
    <w:rsid w:val="00783191"/>
    <w:rsid w:val="00793963"/>
    <w:rsid w:val="00796797"/>
    <w:rsid w:val="007A14DD"/>
    <w:rsid w:val="007A43C5"/>
    <w:rsid w:val="007A473D"/>
    <w:rsid w:val="007A5C85"/>
    <w:rsid w:val="007B0611"/>
    <w:rsid w:val="007B4B43"/>
    <w:rsid w:val="007C2F4D"/>
    <w:rsid w:val="007C530E"/>
    <w:rsid w:val="007E1904"/>
    <w:rsid w:val="007E2459"/>
    <w:rsid w:val="008029CA"/>
    <w:rsid w:val="0080326D"/>
    <w:rsid w:val="00804775"/>
    <w:rsid w:val="00807007"/>
    <w:rsid w:val="0081428A"/>
    <w:rsid w:val="00815FD7"/>
    <w:rsid w:val="00831795"/>
    <w:rsid w:val="00836880"/>
    <w:rsid w:val="00841F66"/>
    <w:rsid w:val="00844147"/>
    <w:rsid w:val="00846727"/>
    <w:rsid w:val="0085183E"/>
    <w:rsid w:val="008576D7"/>
    <w:rsid w:val="00857A7A"/>
    <w:rsid w:val="00864460"/>
    <w:rsid w:val="00870BAA"/>
    <w:rsid w:val="008A4A51"/>
    <w:rsid w:val="008B0B16"/>
    <w:rsid w:val="008B0BA0"/>
    <w:rsid w:val="008B7FD8"/>
    <w:rsid w:val="008D2963"/>
    <w:rsid w:val="008D32FA"/>
    <w:rsid w:val="008D4FB4"/>
    <w:rsid w:val="008D71B1"/>
    <w:rsid w:val="008D767F"/>
    <w:rsid w:val="008E4263"/>
    <w:rsid w:val="008F4602"/>
    <w:rsid w:val="008F7DB2"/>
    <w:rsid w:val="009033F8"/>
    <w:rsid w:val="00913066"/>
    <w:rsid w:val="009168F2"/>
    <w:rsid w:val="00923AD8"/>
    <w:rsid w:val="009274C1"/>
    <w:rsid w:val="009309D5"/>
    <w:rsid w:val="00930EC0"/>
    <w:rsid w:val="00931412"/>
    <w:rsid w:val="00931C6A"/>
    <w:rsid w:val="00931D18"/>
    <w:rsid w:val="00933F97"/>
    <w:rsid w:val="0094157C"/>
    <w:rsid w:val="00945022"/>
    <w:rsid w:val="00947834"/>
    <w:rsid w:val="00950B77"/>
    <w:rsid w:val="00953DF5"/>
    <w:rsid w:val="00970E72"/>
    <w:rsid w:val="00973766"/>
    <w:rsid w:val="00973F01"/>
    <w:rsid w:val="00975692"/>
    <w:rsid w:val="00977FA5"/>
    <w:rsid w:val="009814F7"/>
    <w:rsid w:val="00987F02"/>
    <w:rsid w:val="00990611"/>
    <w:rsid w:val="009956C3"/>
    <w:rsid w:val="009963AE"/>
    <w:rsid w:val="009C334D"/>
    <w:rsid w:val="009C557A"/>
    <w:rsid w:val="009D0884"/>
    <w:rsid w:val="009D34A6"/>
    <w:rsid w:val="009E0585"/>
    <w:rsid w:val="009E7836"/>
    <w:rsid w:val="009F34E4"/>
    <w:rsid w:val="009F421B"/>
    <w:rsid w:val="009F6B08"/>
    <w:rsid w:val="00A02F86"/>
    <w:rsid w:val="00A40012"/>
    <w:rsid w:val="00A51510"/>
    <w:rsid w:val="00A52634"/>
    <w:rsid w:val="00A5471C"/>
    <w:rsid w:val="00A561A8"/>
    <w:rsid w:val="00A840A2"/>
    <w:rsid w:val="00A854FA"/>
    <w:rsid w:val="00A90A87"/>
    <w:rsid w:val="00A92E67"/>
    <w:rsid w:val="00AA6DA8"/>
    <w:rsid w:val="00AA7FDC"/>
    <w:rsid w:val="00AB212D"/>
    <w:rsid w:val="00AB7BBA"/>
    <w:rsid w:val="00AC00F2"/>
    <w:rsid w:val="00AC41B8"/>
    <w:rsid w:val="00AD062B"/>
    <w:rsid w:val="00AD2F76"/>
    <w:rsid w:val="00AE027A"/>
    <w:rsid w:val="00AE1BD8"/>
    <w:rsid w:val="00AF188F"/>
    <w:rsid w:val="00AF6F1D"/>
    <w:rsid w:val="00B04E02"/>
    <w:rsid w:val="00B16693"/>
    <w:rsid w:val="00B47203"/>
    <w:rsid w:val="00B4774C"/>
    <w:rsid w:val="00B554ED"/>
    <w:rsid w:val="00B57177"/>
    <w:rsid w:val="00B70867"/>
    <w:rsid w:val="00B70B07"/>
    <w:rsid w:val="00B81FA5"/>
    <w:rsid w:val="00B907B8"/>
    <w:rsid w:val="00B94663"/>
    <w:rsid w:val="00B96FA0"/>
    <w:rsid w:val="00B97EA0"/>
    <w:rsid w:val="00BA4B8C"/>
    <w:rsid w:val="00BA7E37"/>
    <w:rsid w:val="00BD0BC3"/>
    <w:rsid w:val="00BF0ED3"/>
    <w:rsid w:val="00C00AA7"/>
    <w:rsid w:val="00C03FAE"/>
    <w:rsid w:val="00C06FC2"/>
    <w:rsid w:val="00C1211D"/>
    <w:rsid w:val="00C17641"/>
    <w:rsid w:val="00C22385"/>
    <w:rsid w:val="00C36EC6"/>
    <w:rsid w:val="00C40EB7"/>
    <w:rsid w:val="00C446E9"/>
    <w:rsid w:val="00C52354"/>
    <w:rsid w:val="00C6014E"/>
    <w:rsid w:val="00C60DA5"/>
    <w:rsid w:val="00C8480C"/>
    <w:rsid w:val="00C91E5C"/>
    <w:rsid w:val="00C94767"/>
    <w:rsid w:val="00CA4B70"/>
    <w:rsid w:val="00CB0956"/>
    <w:rsid w:val="00CB3058"/>
    <w:rsid w:val="00CC1AC5"/>
    <w:rsid w:val="00CC786F"/>
    <w:rsid w:val="00CD051B"/>
    <w:rsid w:val="00CD0742"/>
    <w:rsid w:val="00CD657E"/>
    <w:rsid w:val="00CD6E09"/>
    <w:rsid w:val="00CD766D"/>
    <w:rsid w:val="00D04A39"/>
    <w:rsid w:val="00D12F12"/>
    <w:rsid w:val="00D14CA0"/>
    <w:rsid w:val="00D17075"/>
    <w:rsid w:val="00D207E5"/>
    <w:rsid w:val="00D2504A"/>
    <w:rsid w:val="00D25DB4"/>
    <w:rsid w:val="00D3394E"/>
    <w:rsid w:val="00D3608E"/>
    <w:rsid w:val="00D37195"/>
    <w:rsid w:val="00D37B7F"/>
    <w:rsid w:val="00D536A2"/>
    <w:rsid w:val="00D57BBB"/>
    <w:rsid w:val="00D60000"/>
    <w:rsid w:val="00D6170B"/>
    <w:rsid w:val="00D64CA2"/>
    <w:rsid w:val="00D65B48"/>
    <w:rsid w:val="00D87D95"/>
    <w:rsid w:val="00D905AB"/>
    <w:rsid w:val="00D94F24"/>
    <w:rsid w:val="00D96EC0"/>
    <w:rsid w:val="00DA0663"/>
    <w:rsid w:val="00DB248B"/>
    <w:rsid w:val="00DC0F3F"/>
    <w:rsid w:val="00DC511E"/>
    <w:rsid w:val="00DE67E5"/>
    <w:rsid w:val="00DF3857"/>
    <w:rsid w:val="00E04A7C"/>
    <w:rsid w:val="00E04F6E"/>
    <w:rsid w:val="00E1051A"/>
    <w:rsid w:val="00E114F7"/>
    <w:rsid w:val="00E202FD"/>
    <w:rsid w:val="00E20BCD"/>
    <w:rsid w:val="00E25505"/>
    <w:rsid w:val="00E3038E"/>
    <w:rsid w:val="00E307C5"/>
    <w:rsid w:val="00E37609"/>
    <w:rsid w:val="00E469B6"/>
    <w:rsid w:val="00E53B48"/>
    <w:rsid w:val="00E56B56"/>
    <w:rsid w:val="00E57BDD"/>
    <w:rsid w:val="00E608EC"/>
    <w:rsid w:val="00E609A7"/>
    <w:rsid w:val="00E757BC"/>
    <w:rsid w:val="00E8350C"/>
    <w:rsid w:val="00E93925"/>
    <w:rsid w:val="00E959DF"/>
    <w:rsid w:val="00EA15FB"/>
    <w:rsid w:val="00EB7E71"/>
    <w:rsid w:val="00EC4C6E"/>
    <w:rsid w:val="00ED0E76"/>
    <w:rsid w:val="00ED1D33"/>
    <w:rsid w:val="00ED4CC8"/>
    <w:rsid w:val="00EE2D39"/>
    <w:rsid w:val="00EE3EA2"/>
    <w:rsid w:val="00EE575F"/>
    <w:rsid w:val="00EE6A22"/>
    <w:rsid w:val="00EF2ECF"/>
    <w:rsid w:val="00EF4231"/>
    <w:rsid w:val="00F13490"/>
    <w:rsid w:val="00F25348"/>
    <w:rsid w:val="00F348B2"/>
    <w:rsid w:val="00F3622A"/>
    <w:rsid w:val="00F42EE2"/>
    <w:rsid w:val="00F50726"/>
    <w:rsid w:val="00F60D28"/>
    <w:rsid w:val="00F63D72"/>
    <w:rsid w:val="00F66745"/>
    <w:rsid w:val="00F76A9C"/>
    <w:rsid w:val="00F9364A"/>
    <w:rsid w:val="00FA19C2"/>
    <w:rsid w:val="00FB0C8A"/>
    <w:rsid w:val="00FB3EE7"/>
    <w:rsid w:val="00FC4B0E"/>
    <w:rsid w:val="00FC6FDA"/>
    <w:rsid w:val="00FD4E5C"/>
    <w:rsid w:val="00FD668E"/>
    <w:rsid w:val="00FE3797"/>
    <w:rsid w:val="00FE4688"/>
    <w:rsid w:val="00FF1142"/>
    <w:rsid w:val="00FF15BB"/>
    <w:rsid w:val="00FF1DE5"/>
    <w:rsid w:val="47A44D15"/>
    <w:rsid w:val="7DA0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324E8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5324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324E8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533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162F7-5ADA-48B3-924B-E151A62D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Pages>11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何吾志</dc:creator>
  <cp:keywords/>
  <dc:description/>
  <cp:lastModifiedBy>wxs</cp:lastModifiedBy>
  <cp:revision>102</cp:revision>
  <cp:lastPrinted>2021-01-19T01:23:00Z</cp:lastPrinted>
  <dcterms:created xsi:type="dcterms:W3CDTF">2020-01-10T01:06:00Z</dcterms:created>
  <dcterms:modified xsi:type="dcterms:W3CDTF">2021-01-19T01:28:00Z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