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黑体" w:hAnsi="黑体" w:eastAsia="黑体" w:cs="黑体"/>
          <w:color w:val="000000" w:themeColor="text1"/>
          <w:sz w:val="32"/>
          <w:szCs w:val="24"/>
          <w:lang w:val="en-US" w:eastAsia="zh-CN"/>
          <w14:textFill>
            <w14:solidFill>
              <w14:schemeClr w14:val="tx1"/>
            </w14:solidFill>
          </w14:textFill>
        </w:rPr>
      </w:pPr>
      <w:r>
        <w:rPr>
          <w:rFonts w:hint="eastAsia" w:ascii="黑体" w:hAnsi="黑体" w:eastAsia="黑体" w:cs="黑体"/>
          <w:color w:val="000000" w:themeColor="text1"/>
          <w:sz w:val="32"/>
          <w:szCs w:val="24"/>
          <w:lang w:eastAsia="zh-CN"/>
          <w14:textFill>
            <w14:solidFill>
              <w14:schemeClr w14:val="tx1"/>
            </w14:solidFill>
          </w14:textFill>
        </w:rPr>
        <w:t>附件</w:t>
      </w:r>
      <w:r>
        <w:rPr>
          <w:rFonts w:hint="eastAsia" w:ascii="黑体" w:hAnsi="黑体" w:eastAsia="黑体" w:cs="黑体"/>
          <w:color w:val="000000" w:themeColor="text1"/>
          <w:sz w:val="32"/>
          <w:szCs w:val="24"/>
          <w:lang w:val="en-US" w:eastAsia="zh-CN"/>
          <w14:textFill>
            <w14:solidFill>
              <w14:schemeClr w14:val="tx1"/>
            </w14:solidFill>
          </w14:textFill>
        </w:rPr>
        <w:t>5</w:t>
      </w:r>
    </w:p>
    <w:p>
      <w:pPr>
        <w:spacing w:line="560" w:lineRule="exact"/>
        <w:jc w:val="center"/>
        <w:rPr>
          <w:rFonts w:hint="eastAsia" w:ascii="方正小标宋简体" w:hAnsi="方正小标宋简体" w:eastAsia="方正小标宋简体" w:cs="方正小标宋简体"/>
          <w:b w:val="0"/>
          <w:bCs w:val="0"/>
          <w:color w:val="000000" w:themeColor="text1"/>
          <w:sz w:val="36"/>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28"/>
          <w14:textFill>
            <w14:solidFill>
              <w14:schemeClr w14:val="tx1"/>
            </w14:solidFill>
          </w14:textFill>
        </w:rPr>
        <w:t>材料考核量化标准</w:t>
      </w:r>
    </w:p>
    <w:p>
      <w:pPr>
        <w:pStyle w:val="2"/>
        <w:rPr>
          <w:rFonts w:hint="eastAsia"/>
        </w:rPr>
      </w:pPr>
    </w:p>
    <w:p>
      <w:pPr>
        <w:spacing w:line="420" w:lineRule="exact"/>
        <w:ind w:firstLine="640" w:firstLineChars="200"/>
        <w:rPr>
          <w:rFonts w:ascii="黑体" w:hAnsi="黑体" w:eastAsia="黑体"/>
          <w:b/>
          <w:sz w:val="32"/>
          <w:szCs w:val="32"/>
        </w:rPr>
      </w:pPr>
      <w:r>
        <w:rPr>
          <w:rFonts w:hint="eastAsia" w:ascii="黑体" w:hAnsi="黑体" w:eastAsia="黑体"/>
          <w:sz w:val="32"/>
          <w:szCs w:val="32"/>
        </w:rPr>
        <w:t>一、岗位条件（</w:t>
      </w:r>
      <w:r>
        <w:rPr>
          <w:rFonts w:ascii="黑体" w:hAnsi="黑体" w:eastAsia="黑体"/>
          <w:sz w:val="32"/>
          <w:szCs w:val="32"/>
        </w:rPr>
        <w:t>18</w:t>
      </w:r>
      <w:r>
        <w:rPr>
          <w:rFonts w:hint="eastAsia" w:ascii="黑体" w:hAnsi="黑体" w:eastAsia="黑体"/>
          <w:sz w:val="32"/>
          <w:szCs w:val="32"/>
        </w:rPr>
        <w:t>分）</w:t>
      </w:r>
    </w:p>
    <w:p>
      <w:pPr>
        <w:spacing w:line="4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1.教研课题（6分）：主持区级或参与省市级教育教学课题研究核心成员1项得4分，2项及以上或主持市级课题1项得6分。</w:t>
      </w:r>
    </w:p>
    <w:p>
      <w:pPr>
        <w:spacing w:line="4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2.发表论文（6分）：发表1篇得4分，2篇得6分。</w:t>
      </w:r>
    </w:p>
    <w:p>
      <w:pPr>
        <w:spacing w:line="4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3.业务竞赛（6分）：现场竞赛获得区级二等奖及以上或非现场竞赛获得市级二等奖及以上1次得4分，2次及以上得6分；现场竞赛获得市级二等奖及以上或非现场竞赛获得省级二等奖及以上1次得6分。</w:t>
      </w:r>
    </w:p>
    <w:p>
      <w:pPr>
        <w:spacing w:line="420" w:lineRule="exact"/>
        <w:ind w:firstLine="640" w:firstLineChars="200"/>
        <w:rPr>
          <w:rFonts w:ascii="黑体" w:hAnsi="黑体" w:eastAsia="黑体"/>
          <w:b/>
          <w:sz w:val="32"/>
          <w:szCs w:val="32"/>
        </w:rPr>
      </w:pPr>
      <w:r>
        <w:rPr>
          <w:rFonts w:hint="eastAsia" w:ascii="黑体" w:hAnsi="黑体" w:eastAsia="黑体"/>
          <w:sz w:val="32"/>
          <w:szCs w:val="32"/>
        </w:rPr>
        <w:t>二、选备条件（</w:t>
      </w:r>
      <w:r>
        <w:rPr>
          <w:rFonts w:ascii="黑体" w:hAnsi="黑体" w:eastAsia="黑体"/>
          <w:sz w:val="32"/>
          <w:szCs w:val="32"/>
        </w:rPr>
        <w:t>22</w:t>
      </w:r>
      <w:r>
        <w:rPr>
          <w:rFonts w:hint="eastAsia" w:ascii="黑体" w:hAnsi="黑体" w:eastAsia="黑体"/>
          <w:sz w:val="32"/>
          <w:szCs w:val="32"/>
        </w:rPr>
        <w:t>分）</w:t>
      </w:r>
    </w:p>
    <w:p>
      <w:pPr>
        <w:spacing w:line="42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1.管理经历（3分）：担任过初中校教研组长、年段长的职务得2分；担任过完中校教研组长、年段长以上的职务，或初中校中层以上的干部，或区聘的兼职教研员，或片区教研组正副组长，得3分。</w:t>
      </w:r>
    </w:p>
    <w:p>
      <w:pPr>
        <w:spacing w:line="4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2.学术称号（3分）：区级教学名师、学科带头人、骨干教师等称号（取一项）得2分，市级教学名师、学科带头人、骨干教师等称号（取一项）得3分。</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教坛新秀（2分）：区级教坛新秀得1分，市级教坛新秀得2分。 </w:t>
      </w:r>
    </w:p>
    <w:p>
      <w:pPr>
        <w:spacing w:line="4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4. 名师工作室（2分）：区级名师工作室领衔名师或省市名师工作室团队骨干成员得2分。</w:t>
      </w:r>
      <w:r>
        <w:rPr>
          <w:rFonts w:hint="eastAsia" w:ascii="仿宋_GB2312" w:hAnsi="仿宋_GB2312" w:eastAsia="仿宋_GB2312" w:cs="仿宋_GB2312"/>
          <w:b/>
          <w:bCs/>
          <w:sz w:val="32"/>
          <w:szCs w:val="32"/>
        </w:rPr>
        <w:t xml:space="preserve"> </w:t>
      </w:r>
    </w:p>
    <w:p>
      <w:pPr>
        <w:spacing w:line="4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公开课或专题讲座（2分）：区级以上的公开课（专题讲座）达3次，得1分；区级以上公开课（专题讲座）达5次，或市级以上公开课（专题讲座）达3次，得2分。</w:t>
      </w:r>
    </w:p>
    <w:p>
      <w:pPr>
        <w:spacing w:line="42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6. 综合表彰（3分）：区级综合表彰1次得2分，2次及以上或市级及以上表彰1次得3分。</w:t>
      </w:r>
      <w:r>
        <w:rPr>
          <w:rFonts w:hint="eastAsia" w:ascii="仿宋_GB2312" w:hAnsi="仿宋_GB2312" w:eastAsia="仿宋_GB2312" w:cs="仿宋_GB2312"/>
          <w:b/>
          <w:sz w:val="32"/>
          <w:szCs w:val="32"/>
        </w:rPr>
        <w:t xml:space="preserve"> </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研究生学历（7分）：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zA0YjMzMWFkOThjNjZjYWExZDYwODFjMmMyMWIifQ=="/>
  </w:docVars>
  <w:rsids>
    <w:rsidRoot w:val="3E8C0DBC"/>
    <w:rsid w:val="3E8C0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2022-06-09T09:52:00Z</dcterms:created>
  <dc:creator>Administrator</dc:creator>
  <cp:lastModifiedBy>Administrator</cp:lastModifiedBy>
  <dcterms:modified xsi:type="dcterms:W3CDTF">2022-06-09T09:52:32Z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075DEBAFF7D4470D84880F97149BAAAF</vt:lpwstr>
  </property>
</Properties>
</file>