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spacing w:line="440" w:lineRule="exact"/>
        <w:jc w:val="center"/>
        <w:rPr>
          <w:rFonts w:ascii="仿宋" w:hAnsi="仿宋" w:eastAsia="仿宋"/>
          <w:sz w:val="32"/>
          <w:szCs w:val="32"/>
        </w:rPr>
      </w:pPr>
    </w:p>
    <w:p>
      <w:pPr>
        <w:spacing w:line="440" w:lineRule="exact"/>
        <w:jc w:val="center"/>
        <w:rPr>
          <w:rFonts w:hint="eastAsia" w:ascii="方正小标宋简体" w:hAnsi="方正小标宋简体" w:eastAsia="方正小标宋简体" w:cs="方正小标宋简体"/>
          <w:color w:val="000000" w:themeColor="text1"/>
          <w:sz w:val="36"/>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28"/>
          <w14:textFill>
            <w14:solidFill>
              <w14:schemeClr w14:val="tx1"/>
            </w14:solidFill>
          </w14:textFill>
        </w:rPr>
        <w:t>遴选条件和申报材料的有关说明</w:t>
      </w:r>
    </w:p>
    <w:p>
      <w:pPr>
        <w:pStyle w:val="2"/>
        <w:rPr>
          <w:rFonts w:hint="eastAsia"/>
        </w:rPr>
      </w:pPr>
    </w:p>
    <w:p>
      <w:pPr>
        <w:spacing w:line="440" w:lineRule="exact"/>
        <w:ind w:firstLine="640" w:firstLineChars="200"/>
        <w:rPr>
          <w:rFonts w:ascii="黑体" w:eastAsia="黑体"/>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一、关于课题</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育教学研究课题必须是各级教育行政部门及所属教育教学研究机构（含教科所、普教室、进修院校、研究院、电教馆等）所立项的主课题，不含各类子课题，需是申报学科相关课题或德育、教育管理类课题。参加省教育厅名师、名校长培养工程开设的课题、教育部福建师范大学基础教育课程研究中心下达的开放课题，可视同省级课题；参加省教育厅学科带头人培训等开设的课题，可视同市级课题。课题的证明材料，包括立项书或批复件、结题证书等原件。</w:t>
      </w:r>
    </w:p>
    <w:p>
      <w:pPr>
        <w:spacing w:line="440" w:lineRule="exact"/>
        <w:ind w:firstLine="640" w:firstLineChars="200"/>
        <w:rPr>
          <w:rFonts w:ascii="黑体" w:eastAsia="黑体"/>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二、关于论文</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公开发表的论文指在具有CN刊号的教育类、学科类学术刊物上（以《中国图书馆分类法》为准）发表的文章，限独立撰写或第一作者，不含增刊、专刊、专辑、副刊、特刊、一号多刊、报纸等，每篇不少于2000字。</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发表在CN刊物的文章，必须提供网上检索材料。</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⑴学术刊物检索：登陆国家新闻出版署网站（http://www.nppa.gov.cn/），依次点击“从业机构和产品查询”“期刊/期刊社查询”，并在“媒体名称”栏输入刊名，验证码输入右边的字母，确认刊物是否为新闻出版主管部门批准发行，并截图打印。</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⑵学术论文检索：登陆中国知网或维普资讯这两个大型文献检索数据库检索，确认论文是否正式发表在相应期刊上，并截图打印。</w:t>
      </w:r>
    </w:p>
    <w:p>
      <w:pPr>
        <w:spacing w:line="440" w:lineRule="exact"/>
        <w:ind w:firstLine="640" w:firstLineChars="200"/>
        <w:rPr>
          <w:rFonts w:ascii="黑体" w:eastAsia="黑体"/>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三、关于业务竞赛</w:t>
      </w:r>
    </w:p>
    <w:p>
      <w:pPr>
        <w:spacing w:line="440" w:lineRule="exact"/>
        <w:ind w:firstLine="640" w:firstLineChars="200"/>
        <w:rPr>
          <w:rFonts w:ascii="仿宋" w:hAnsi="仿宋" w:eastAsia="仿宋"/>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业务竞赛必须是各级教育行政部门及所属教育教学研究机构（含教科所、普教室、电教馆等）举办或协办的、与学科教学相关的技能竞赛活动。</w:t>
      </w:r>
    </w:p>
    <w:p>
      <w:pPr>
        <w:spacing w:line="440" w:lineRule="exact"/>
        <w:ind w:firstLine="640" w:firstLineChars="200"/>
        <w:rPr>
          <w:rFonts w:ascii="黑体" w:eastAsia="黑体"/>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四、关于学术称号</w:t>
      </w:r>
    </w:p>
    <w:p>
      <w:pPr>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教学名师、学科带头人必须是经各级教育行政部门正式确认称号的，不含培养对象。骨干教师指参加“跨世纪园丁工程”国家级、省级或市级培训并取得经各级教育行政部门验证的合格证书的教师；以及经泉州市教育局所确定的泉州市骨干教师培养对象，且经培训取得合格证书的教师。</w:t>
      </w:r>
    </w:p>
    <w:p>
      <w:pPr>
        <w:adjustRightInd w:val="0"/>
        <w:snapToGrid w:val="0"/>
        <w:spacing w:line="440" w:lineRule="exact"/>
        <w:ind w:firstLine="640" w:firstLineChars="200"/>
        <w:rPr>
          <w:rFonts w:ascii="黑体" w:eastAsia="黑体"/>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五、关于指导青年教师</w:t>
      </w:r>
    </w:p>
    <w:p>
      <w:pPr>
        <w:adjustRightInd w:val="0"/>
        <w:snapToGrid w:val="0"/>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指导青年教师的证明材料，以文件或学校证明能体现指导教师的。</w:t>
      </w:r>
    </w:p>
    <w:p>
      <w:pPr>
        <w:adjustRightInd w:val="0"/>
        <w:snapToGrid w:val="0"/>
        <w:spacing w:line="44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六、关于公开课或专题讲座</w:t>
      </w:r>
    </w:p>
    <w:p>
      <w:pPr>
        <w:adjustRightInd w:val="0"/>
        <w:snapToGrid w:val="0"/>
        <w:spacing w:line="44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开课或专题讲座必须有各级教育行政部门及所属教育教学研究机构（含教科所、普教室、电教馆、教师进修院校等）印发的文件（或出具的证明）。在省、市、县教育行政部门委托举办的教育教学培训班上授课（非培训班学员），可相应视同省、市、县级教学示范课、观摩研讨课或学科讲座。在教育部门开展的“一师一优课、一课一名师”评比中，国家级获奖视同1次省级教学示范课、观摩研讨课，省级获奖视同1次市级教学示范课、观摩研讨课，市级获奖视同1次县级教学示范课、观摩研讨课。</w:t>
      </w:r>
    </w:p>
    <w:p>
      <w:pPr>
        <w:adjustRightInd w:val="0"/>
        <w:snapToGrid w:val="0"/>
        <w:spacing w:line="440" w:lineRule="exact"/>
        <w:ind w:firstLine="640" w:firstLineChars="200"/>
        <w:rPr>
          <w:rFonts w:ascii="黑体" w:hAnsi="黑体" w:eastAsia="黑体"/>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w:t>
      </w:r>
      <w:r>
        <w:rPr>
          <w:rFonts w:ascii="黑体" w:hAnsi="黑体" w:eastAsia="黑体"/>
          <w:color w:val="000000" w:themeColor="text1"/>
          <w:sz w:val="32"/>
          <w:szCs w:val="32"/>
          <w14:textFill>
            <w14:solidFill>
              <w14:schemeClr w14:val="tx1"/>
            </w14:solidFill>
          </w14:textFill>
        </w:rPr>
        <w:t>、关于综合表彰</w:t>
      </w:r>
    </w:p>
    <w:p>
      <w:pPr>
        <w:spacing w:line="440" w:lineRule="exact"/>
        <w:ind w:firstLine="6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综合表彰指劳动模范（先进工作者）、“五一劳动奖章”获得者、优秀共产党员、特级教师、杰出人民教师、模范教师、教育系统先进工作者、优秀教师、优秀教育工作者、优秀农村教师、实事杰出人民教师、师德标兵、“三八”红旗手、巾帼建功标兵等。</w:t>
      </w:r>
    </w:p>
    <w:p>
      <w:pPr>
        <w:adjustRightInd w:val="0"/>
        <w:snapToGrid w:val="0"/>
        <w:spacing w:line="4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专项表彰指中小学优秀校长、优秀少先队辅导员、优秀班主任、德育先进工作者、基础教育课程改革先进个人等。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zA0YjMzMWFkOThjNjZjYWExZDYwODFjMmMyMWIifQ=="/>
  </w:docVars>
  <w:rsids>
    <w:rsidRoot w:val="56847224"/>
    <w:rsid w:val="5684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2022-06-09T09:52:00Z</dcterms:created>
  <dc:creator>Administrator</dc:creator>
  <cp:lastModifiedBy>Administrator</cp:lastModifiedBy>
  <dcterms:modified xsi:type="dcterms:W3CDTF">2022-06-09T09:52:50Z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FC1D3BC6E254475BA15208C83F12988F</vt:lpwstr>
  </property>
</Properties>
</file>