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ind w:left="0" w:leftChars="0"/>
        <w:jc w:val="center"/>
        <w:textAlignment w:val="auto"/>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val="en-US" w:eastAsia="zh-CN"/>
        </w:rPr>
        <w:t>关于拟拨付</w:t>
      </w:r>
      <w:r>
        <w:rPr>
          <w:rFonts w:hint="eastAsia" w:ascii="方正小标宋简体" w:hAnsi="新宋体" w:eastAsia="方正小标宋简体"/>
          <w:sz w:val="44"/>
          <w:szCs w:val="44"/>
        </w:rPr>
        <w:t>提高申报辅导奖励额度</w:t>
      </w:r>
      <w:r>
        <w:rPr>
          <w:rFonts w:hint="eastAsia" w:ascii="方正小标宋简体" w:hAnsi="新宋体" w:eastAsia="方正小标宋简体"/>
          <w:sz w:val="44"/>
          <w:szCs w:val="44"/>
          <w:lang w:val="en-US" w:eastAsia="zh-CN"/>
        </w:rPr>
        <w:t>及</w:t>
      </w:r>
      <w:r>
        <w:rPr>
          <w:rFonts w:hint="eastAsia" w:ascii="方正小标宋简体" w:hAnsi="新宋体" w:eastAsia="方正小标宋简体"/>
          <w:sz w:val="44"/>
          <w:szCs w:val="44"/>
        </w:rPr>
        <w:t>提高首次认定奖励</w:t>
      </w:r>
      <w:r>
        <w:rPr>
          <w:rFonts w:hint="eastAsia" w:ascii="方正小标宋简体" w:hAnsi="新宋体" w:eastAsia="方正小标宋简体"/>
          <w:sz w:val="44"/>
          <w:szCs w:val="44"/>
          <w:lang w:eastAsia="zh-CN"/>
        </w:rPr>
        <w:t>额</w:t>
      </w:r>
      <w:r>
        <w:rPr>
          <w:rFonts w:hint="eastAsia" w:ascii="方正小标宋简体" w:hAnsi="新宋体" w:eastAsia="方正小标宋简体"/>
          <w:sz w:val="44"/>
          <w:szCs w:val="44"/>
        </w:rPr>
        <w:t>度</w:t>
      </w:r>
      <w:r>
        <w:rPr>
          <w:rFonts w:hint="eastAsia" w:ascii="方正小标宋简体" w:hAnsi="新宋体" w:eastAsia="方正小标宋简体"/>
          <w:sz w:val="44"/>
          <w:szCs w:val="44"/>
          <w:lang w:val="en-US" w:eastAsia="zh-CN"/>
        </w:rPr>
        <w:t>两项</w:t>
      </w:r>
      <w:r>
        <w:rPr>
          <w:rFonts w:hint="eastAsia" w:ascii="方正小标宋简体" w:hAnsi="新宋体" w:eastAsia="方正小标宋简体"/>
          <w:sz w:val="44"/>
          <w:szCs w:val="44"/>
        </w:rPr>
        <w:t>区级配套奖励资金</w:t>
      </w:r>
      <w:r>
        <w:rPr>
          <w:rFonts w:hint="eastAsia" w:ascii="方正小标宋简体" w:hAnsi="黑体" w:eastAsia="方正小标宋简体" w:cs="黑体"/>
          <w:sz w:val="44"/>
          <w:szCs w:val="44"/>
          <w:lang w:val="en-US" w:eastAsia="zh-CN"/>
        </w:rPr>
        <w:t>公示</w:t>
      </w:r>
    </w:p>
    <w:p>
      <w:pPr>
        <w:spacing w:line="600" w:lineRule="exact"/>
        <w:jc w:val="center"/>
        <w:rPr>
          <w:rFonts w:ascii="方正小标宋简体" w:hAnsi="黑体" w:eastAsia="方正小标宋简体" w:cs="黑体"/>
          <w:sz w:val="44"/>
          <w:szCs w:val="44"/>
        </w:rPr>
      </w:pPr>
    </w:p>
    <w:p>
      <w:pPr>
        <w:rPr>
          <w:rFonts w:ascii="仿宋_GB2312" w:hAnsi="仿宋_GB2312" w:eastAsia="仿宋_GB2312" w:cs="仿宋_GB2312"/>
          <w:sz w:val="32"/>
          <w:szCs w:val="32"/>
        </w:rPr>
      </w:pP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根据《泉州市洛江人民政府办公室关于印发洛江区促进专精特新企业加快发展若干措施的通知》</w:t>
      </w:r>
      <w:bookmarkStart w:id="0" w:name="OLE_LINK11"/>
      <w:bookmarkStart w:id="1" w:name="OLE_LINK12"/>
      <w:r>
        <w:rPr>
          <w:rFonts w:hint="eastAsia" w:ascii="仿宋_GB2312" w:hAnsi="仿宋_GB2312" w:eastAsia="仿宋_GB2312" w:cs="仿宋_GB2312"/>
          <w:color w:val="000000"/>
          <w:sz w:val="32"/>
          <w:szCs w:val="32"/>
        </w:rPr>
        <w:t>（泉洛政办规〔2024〕2号）</w:t>
      </w:r>
      <w:bookmarkEnd w:id="0"/>
      <w:bookmarkEnd w:id="1"/>
      <w:r>
        <w:rPr>
          <w:rFonts w:hint="eastAsia" w:ascii="仿宋_GB2312" w:hAnsi="仿宋_GB2312" w:eastAsia="仿宋_GB2312" w:cs="仿宋_GB2312"/>
          <w:color w:val="000000"/>
          <w:sz w:val="32"/>
          <w:szCs w:val="32"/>
        </w:rPr>
        <w:t>、</w:t>
      </w:r>
      <w:r>
        <w:rPr>
          <w:rFonts w:hint="eastAsia" w:ascii="仿宋_GB2312" w:eastAsia="仿宋_GB2312"/>
          <w:sz w:val="32"/>
          <w:szCs w:val="32"/>
        </w:rPr>
        <w:t>拟</w:t>
      </w:r>
      <w:bookmarkStart w:id="2" w:name="OLE_LINK20"/>
      <w:r>
        <w:rPr>
          <w:rFonts w:hint="eastAsia" w:ascii="仿宋_GB2312" w:eastAsia="仿宋_GB2312"/>
          <w:sz w:val="32"/>
          <w:szCs w:val="32"/>
          <w:lang w:val="en-US" w:eastAsia="zh-CN"/>
        </w:rPr>
        <w:t>拨付</w:t>
      </w:r>
      <w:r>
        <w:rPr>
          <w:rFonts w:hint="eastAsia" w:ascii="仿宋_GB2312" w:hAnsi="仿宋_GB2312" w:eastAsia="仿宋_GB2312" w:cs="仿宋_GB2312"/>
          <w:color w:val="000000"/>
          <w:sz w:val="32"/>
          <w:szCs w:val="32"/>
        </w:rPr>
        <w:t>提高申报辅导奖励额度</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提高首次认定奖励</w:t>
      </w:r>
      <w:r>
        <w:rPr>
          <w:rFonts w:hint="eastAsia" w:ascii="仿宋_GB2312" w:hAnsi="仿宋_GB2312" w:eastAsia="仿宋_GB2312" w:cs="仿宋_GB2312"/>
          <w:color w:val="000000"/>
          <w:sz w:val="32"/>
          <w:szCs w:val="32"/>
          <w:lang w:eastAsia="zh-CN"/>
        </w:rPr>
        <w:t>额</w:t>
      </w:r>
      <w:r>
        <w:rPr>
          <w:rFonts w:hint="eastAsia" w:ascii="仿宋_GB2312" w:hAnsi="仿宋_GB2312" w:eastAsia="仿宋_GB2312" w:cs="仿宋_GB2312"/>
          <w:color w:val="000000"/>
          <w:sz w:val="32"/>
          <w:szCs w:val="32"/>
        </w:rPr>
        <w:t>度</w:t>
      </w:r>
      <w:r>
        <w:rPr>
          <w:rFonts w:hint="eastAsia" w:ascii="仿宋_GB2312" w:hAnsi="仿宋_GB2312" w:eastAsia="仿宋_GB2312" w:cs="仿宋_GB2312"/>
          <w:color w:val="000000"/>
          <w:sz w:val="32"/>
          <w:szCs w:val="32"/>
          <w:lang w:val="en-US" w:eastAsia="zh-CN"/>
        </w:rPr>
        <w:t>两</w:t>
      </w:r>
      <w:r>
        <w:rPr>
          <w:rFonts w:hint="eastAsia" w:ascii="仿宋_GB2312" w:hAnsi="仿宋_GB2312" w:eastAsia="仿宋_GB2312" w:cs="仿宋_GB2312"/>
          <w:color w:val="000000"/>
          <w:sz w:val="32"/>
          <w:szCs w:val="32"/>
        </w:rPr>
        <w:t>项区级配套奖励资金</w:t>
      </w:r>
      <w:bookmarkEnd w:id="2"/>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共32家企业</w:t>
      </w:r>
      <w:r>
        <w:rPr>
          <w:rFonts w:hint="eastAsia" w:ascii="仿宋_GB2312" w:eastAsia="仿宋_GB2312"/>
          <w:sz w:val="32"/>
          <w:szCs w:val="32"/>
          <w:lang w:eastAsia="zh-CN"/>
        </w:rPr>
        <w:t>（</w:t>
      </w:r>
      <w:r>
        <w:rPr>
          <w:rFonts w:hint="eastAsia" w:ascii="仿宋_GB2312" w:eastAsia="仿宋_GB2312"/>
          <w:sz w:val="32"/>
          <w:szCs w:val="32"/>
        </w:rPr>
        <w:t>具体名单详见附件</w:t>
      </w:r>
      <w:r>
        <w:rPr>
          <w:rFonts w:hint="eastAsia" w:ascii="仿宋_GB2312" w:eastAsia="仿宋_GB2312"/>
          <w:sz w:val="32"/>
          <w:szCs w:val="32"/>
          <w:lang w:eastAsia="zh-CN"/>
        </w:rPr>
        <w:t>）。</w:t>
      </w:r>
      <w:r>
        <w:rPr>
          <w:rFonts w:hint="eastAsia" w:ascii="仿宋_GB2312" w:hAnsi="仿宋_GB2312" w:eastAsia="仿宋_GB2312" w:cs="仿宋_GB2312"/>
          <w:kern w:val="0"/>
          <w:sz w:val="32"/>
          <w:szCs w:val="32"/>
        </w:rPr>
        <w:t>现将拟拨付企业名单进行公示，接受社会监督。公示时间为：202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日，公示期为7天。</w:t>
      </w:r>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公示期内若有异议，请与以下单位联系：</w:t>
      </w:r>
      <w:bookmarkStart w:id="3" w:name="_GoBack"/>
      <w:bookmarkEnd w:id="3"/>
    </w:p>
    <w:p>
      <w:pPr>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洛江区工信局      联系电话：22630086</w:t>
      </w:r>
    </w:p>
    <w:p>
      <w:pPr>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派驻纪检监察组    联系电话：22638757</w:t>
      </w:r>
    </w:p>
    <w:p>
      <w:pPr>
        <w:pStyle w:val="2"/>
        <w:ind w:firstLine="320" w:firstLineChars="100"/>
        <w:rPr>
          <w:rFonts w:hint="eastAsia" w:ascii="仿宋_GB2312" w:hAnsi="仿宋_GB2312" w:eastAsia="仿宋_GB2312" w:cs="仿宋_GB2312"/>
          <w:sz w:val="32"/>
          <w:szCs w:val="32"/>
        </w:rPr>
      </w:pPr>
    </w:p>
    <w:p>
      <w:pPr>
        <w:pStyle w:val="2"/>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rPr>
        <w:t>区级财政配套</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企业名单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32家</w:t>
      </w:r>
      <w:r>
        <w:rPr>
          <w:rFonts w:hint="eastAsia" w:ascii="仿宋_GB2312" w:hAnsi="仿宋_GB2312" w:eastAsia="仿宋_GB2312" w:cs="仿宋_GB2312"/>
          <w:sz w:val="32"/>
          <w:szCs w:val="32"/>
          <w:lang w:eastAsia="zh-CN"/>
        </w:rPr>
        <w:t>）</w:t>
      </w:r>
    </w:p>
    <w:p>
      <w:pPr>
        <w:spacing w:line="500" w:lineRule="exact"/>
        <w:ind w:firstLine="640" w:firstLineChars="200"/>
        <w:rPr>
          <w:rFonts w:hint="eastAsia" w:ascii="仿宋_GB2312" w:hAnsi="仿宋_GB2312" w:eastAsia="仿宋_GB2312" w:cs="仿宋_GB2312"/>
          <w:kern w:val="0"/>
          <w:sz w:val="32"/>
          <w:szCs w:val="32"/>
        </w:rPr>
      </w:pPr>
    </w:p>
    <w:p>
      <w:pPr>
        <w:rPr>
          <w:rFonts w:ascii="仿宋_GB2312" w:hAnsi="仿宋_GB2312" w:eastAsia="仿宋_GB2312" w:cs="仿宋_GB2312"/>
          <w:kern w:val="0"/>
          <w:sz w:val="32"/>
          <w:szCs w:val="32"/>
        </w:rPr>
      </w:pPr>
    </w:p>
    <w:p>
      <w:pPr>
        <w:ind w:firstLine="4800" w:firstLineChars="1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泉州市洛江区工业和信息化局</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kern w:val="0"/>
          <w:sz w:val="32"/>
          <w:szCs w:val="32"/>
        </w:rPr>
      </w:pPr>
    </w:p>
    <w:p>
      <w:pPr>
        <w:pStyle w:val="2"/>
      </w:pPr>
      <w:r>
        <w:rPr>
          <w:rFonts w:hint="eastAsia" w:ascii="黑体" w:hAnsi="黑体" w:eastAsia="黑体" w:cs="黑体"/>
        </w:rPr>
        <w:t>附件：</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690"/>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881" w:type="pct"/>
            <w:gridSpan w:val="2"/>
            <w:tcBorders>
              <w:top w:val="nil"/>
              <w:left w:val="nil"/>
              <w:bottom w:val="single" w:color="auto" w:sz="4" w:space="0"/>
              <w:right w:val="nil"/>
            </w:tcBorders>
            <w:shd w:val="clear" w:color="auto" w:fill="auto"/>
            <w:noWrap/>
            <w:vAlign w:val="center"/>
          </w:tcPr>
          <w:p>
            <w:pPr>
              <w:pStyle w:val="2"/>
              <w:ind w:firstLine="320" w:firstLineChars="100"/>
              <w:jc w:val="center"/>
              <w:rPr>
                <w:rFonts w:ascii="宋体" w:hAnsi="宋体" w:cs="宋体"/>
                <w:b/>
                <w:bCs/>
                <w:kern w:val="0"/>
                <w:sz w:val="48"/>
                <w:szCs w:val="48"/>
              </w:rPr>
            </w:pPr>
            <w:r>
              <w:rPr>
                <w:rFonts w:hint="eastAsia" w:ascii="仿宋_GB2312" w:hAnsi="仿宋_GB2312" w:eastAsia="仿宋_GB2312" w:cs="仿宋_GB2312"/>
                <w:color w:val="000000"/>
                <w:sz w:val="32"/>
                <w:szCs w:val="32"/>
              </w:rPr>
              <w:t>区级财政配套</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rPr>
              <w:t>企业名单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32家</w:t>
            </w:r>
            <w:r>
              <w:rPr>
                <w:rFonts w:hint="eastAsia" w:ascii="仿宋_GB2312" w:hAnsi="仿宋_GB2312" w:eastAsia="仿宋_GB2312" w:cs="仿宋_GB2312"/>
                <w:sz w:val="32"/>
                <w:szCs w:val="32"/>
                <w:lang w:eastAsia="zh-CN"/>
              </w:rPr>
              <w:t>）</w:t>
            </w:r>
          </w:p>
        </w:tc>
        <w:tc>
          <w:tcPr>
            <w:tcW w:w="1118" w:type="pct"/>
            <w:tcBorders>
              <w:top w:val="nil"/>
              <w:left w:val="nil"/>
              <w:bottom w:val="single" w:color="auto" w:sz="4" w:space="0"/>
              <w:right w:val="nil"/>
            </w:tcBorders>
            <w:shd w:val="clear" w:color="auto" w:fill="auto"/>
            <w:noWrap/>
            <w:vAlign w:val="center"/>
          </w:tcPr>
          <w:p>
            <w:pPr>
              <w:widowControl/>
              <w:jc w:val="center"/>
              <w:rPr>
                <w:rFonts w:ascii="方正小标宋简体" w:hAnsi="方正小标宋简体" w:eastAsia="方正小标宋简体" w:cs="方正小标宋简体"/>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tcBorders>
              <w:top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序号</w:t>
            </w:r>
          </w:p>
        </w:tc>
        <w:tc>
          <w:tcPr>
            <w:tcW w:w="3515" w:type="pct"/>
            <w:tcBorders>
              <w:top w:val="single" w:color="auto" w:sz="4" w:space="0"/>
            </w:tcBorders>
            <w:shd w:val="clear" w:color="auto" w:fill="auto"/>
            <w:noWrap/>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企业名称</w:t>
            </w:r>
          </w:p>
        </w:tc>
        <w:tc>
          <w:tcPr>
            <w:tcW w:w="1118" w:type="pct"/>
            <w:tcBorders>
              <w:top w:val="single" w:color="auto" w:sz="4" w:space="0"/>
            </w:tcBorders>
            <w:shd w:val="clear" w:color="auto" w:fill="auto"/>
            <w:noWrap/>
            <w:vAlign w:val="center"/>
          </w:tcPr>
          <w:p>
            <w:pPr>
              <w:widowControl/>
              <w:tabs>
                <w:tab w:val="left" w:pos="778"/>
              </w:tabs>
              <w:jc w:val="center"/>
              <w:rPr>
                <w:rFonts w:hint="eastAsia" w:cs="宋体" w:asciiTheme="minorEastAsia" w:hAnsiTheme="minorEastAsia" w:eastAsiaTheme="minorEastAsia"/>
                <w:b/>
                <w:bCs/>
                <w:kern w:val="0"/>
                <w:sz w:val="24"/>
                <w:lang w:eastAsia="zh-CN"/>
              </w:rPr>
            </w:pPr>
            <w:r>
              <w:rPr>
                <w:rFonts w:hint="eastAsia" w:cs="宋体" w:asciiTheme="minorEastAsia" w:hAnsiTheme="minorEastAsia"/>
                <w:b/>
                <w:bCs/>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福建石全石美新型材料有限公司</w:t>
            </w:r>
          </w:p>
        </w:tc>
        <w:tc>
          <w:tcPr>
            <w:tcW w:w="1118" w:type="pct"/>
            <w:vMerge w:val="restart"/>
            <w:shd w:val="clear" w:color="auto" w:fill="auto"/>
            <w:noWrap/>
            <w:vAlign w:val="center"/>
          </w:tcPr>
          <w:p>
            <w:pPr>
              <w:widowControl/>
              <w:tabs>
                <w:tab w:val="left" w:pos="537"/>
              </w:tabs>
              <w:jc w:val="left"/>
              <w:textAlignment w:val="center"/>
              <w:rPr>
                <w:rFonts w:ascii="仿宋_GB2312" w:hAnsi="宋体" w:eastAsia="仿宋_GB2312" w:cs="仿宋_GB2312"/>
                <w:color w:val="000000"/>
                <w:kern w:val="0"/>
                <w:sz w:val="24"/>
              </w:rPr>
            </w:pPr>
            <w:r>
              <w:rPr>
                <w:rFonts w:hint="eastAsia" w:ascii="仿宋_GB2312" w:hAnsi="仿宋_GB2312" w:eastAsia="仿宋_GB2312" w:cs="仿宋_GB2312"/>
                <w:color w:val="000000"/>
                <w:sz w:val="32"/>
                <w:szCs w:val="32"/>
              </w:rPr>
              <w:t>提高申报辅导奖励额度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福建蓝蜻蜓护理用品股份公司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3</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泉州七曜鞋业有限公司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4</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福建金山人防设备制造有限公司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5</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泉州定飞反光材料有限责任公司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6</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泉州勇胜机械有限公司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7</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泉州市杰利塑胶有限公司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8</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泉州文学士信息科技有限公司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9</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泉州兴跃机械有限公司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10</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泉州佰特箱包有限公司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11</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泉州新强食品有限公司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12</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福建新源重工有限公司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13</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泉州宸光塑胶有限公司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14</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泉州市利德电子科技有限公司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15</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泉州市金同信息科技有限公司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16</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泉州市旺达五金制品有限公司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17</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泉州福舜机械有限公司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18</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泉州市振威电器设备有限公司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19</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福建中禾食品科技有限责任公司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20</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泉州云箭测控信息科技有限公司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21</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中科汇聚（福建）检测科技有限公司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22</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泉州市法尔机械科技有限公司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23</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泉州市洛江宏硕机械有限公司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24</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福建省嘉泰智能装备有限公司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25</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泉州市鸿高工艺品有限公司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26</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泉州市有成精密机械有限公司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27</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福建省美典家具装饰有限公司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28</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泉州尚嘉模具有限公司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cs="宋体" w:asciiTheme="minorEastAsia" w:hAnsiTheme="minorEastAsia" w:eastAsiaTheme="minorEastAsia"/>
                <w:kern w:val="0"/>
                <w:sz w:val="24"/>
              </w:rPr>
            </w:pPr>
            <w:r>
              <w:rPr>
                <w:rFonts w:hint="eastAsia" w:ascii="仿宋_GB2312" w:hAnsi="宋体" w:eastAsia="仿宋_GB2312" w:cs="仿宋_GB2312"/>
                <w:color w:val="000000"/>
                <w:kern w:val="0"/>
                <w:sz w:val="24"/>
              </w:rPr>
              <w:t>29</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泉州宇诺机械有限公司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30</w:t>
            </w:r>
          </w:p>
        </w:tc>
        <w:tc>
          <w:tcPr>
            <w:tcW w:w="3515" w:type="pct"/>
            <w:shd w:val="clear" w:color="auto" w:fill="auto"/>
            <w:noWrap/>
            <w:vAlign w:val="bottom"/>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福建北峰通信科技股份有限公司</w:t>
            </w:r>
          </w:p>
        </w:tc>
        <w:tc>
          <w:tcPr>
            <w:tcW w:w="1118" w:type="pct"/>
            <w:vMerge w:val="restart"/>
            <w:shd w:val="clear" w:color="auto" w:fill="auto"/>
            <w:noWrap/>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仿宋_GB2312" w:eastAsia="仿宋_GB2312" w:cs="仿宋_GB2312"/>
                <w:color w:val="000000"/>
                <w:sz w:val="32"/>
                <w:szCs w:val="32"/>
              </w:rPr>
              <w:t>提高首次认定奖励</w:t>
            </w:r>
            <w:r>
              <w:rPr>
                <w:rFonts w:hint="eastAsia" w:ascii="仿宋_GB2312" w:hAnsi="仿宋_GB2312" w:eastAsia="仿宋_GB2312" w:cs="仿宋_GB2312"/>
                <w:color w:val="000000"/>
                <w:sz w:val="32"/>
                <w:szCs w:val="32"/>
                <w:lang w:eastAsia="zh-CN"/>
              </w:rPr>
              <w:t>额</w:t>
            </w:r>
            <w:r>
              <w:rPr>
                <w:rFonts w:hint="eastAsia" w:ascii="仿宋_GB2312" w:hAnsi="仿宋_GB2312" w:eastAsia="仿宋_GB2312" w:cs="仿宋_GB2312"/>
                <w:color w:val="000000"/>
                <w:sz w:val="32"/>
                <w:szCs w:val="32"/>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31</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福建弘力电气有限公司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5" w:type="pct"/>
            <w:shd w:val="clear" w:color="auto" w:fill="auto"/>
            <w:noWrap/>
            <w:vAlign w:val="center"/>
          </w:tcPr>
          <w:p>
            <w:pPr>
              <w:widowControl/>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32</w:t>
            </w:r>
          </w:p>
        </w:tc>
        <w:tc>
          <w:tcPr>
            <w:tcW w:w="3515" w:type="pct"/>
            <w:shd w:val="clear" w:color="auto" w:fill="auto"/>
            <w:noWrap/>
            <w:vAlign w:val="center"/>
          </w:tcPr>
          <w:p>
            <w:pPr>
              <w:widowControl/>
              <w:tabs>
                <w:tab w:val="left" w:pos="537"/>
              </w:tabs>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福建新源重工有限公司</w:t>
            </w:r>
          </w:p>
        </w:tc>
        <w:tc>
          <w:tcPr>
            <w:tcW w:w="1118" w:type="pct"/>
            <w:vMerge w:val="continue"/>
            <w:shd w:val="clear" w:color="auto" w:fill="auto"/>
            <w:noWrap/>
            <w:vAlign w:val="center"/>
          </w:tcPr>
          <w:p>
            <w:pPr>
              <w:widowControl/>
              <w:jc w:val="center"/>
              <w:textAlignment w:val="center"/>
              <w:rPr>
                <w:rFonts w:ascii="仿宋_GB2312" w:hAnsi="宋体" w:eastAsia="仿宋_GB2312" w:cs="仿宋_GB2312"/>
                <w:color w:val="000000"/>
                <w:kern w:val="0"/>
                <w:sz w:val="24"/>
              </w:rPr>
            </w:pPr>
          </w:p>
        </w:tc>
      </w:tr>
    </w:tbl>
    <w:p>
      <w:pPr>
        <w:pStyle w:val="2"/>
      </w:pPr>
    </w:p>
    <w:p>
      <w:pPr>
        <w:pStyle w:val="2"/>
        <w:rPr>
          <w:rFonts w:hint="eastAsia" w:ascii="仿宋_GB2312" w:hAnsi="仿宋_GB2312" w:eastAsia="仿宋_GB2312" w:cs="仿宋_GB2312"/>
          <w:kern w:val="0"/>
          <w:sz w:val="32"/>
          <w:szCs w:val="32"/>
        </w:rPr>
      </w:pPr>
    </w:p>
    <w:sectPr>
      <w:pgSz w:w="11906" w:h="16838"/>
      <w:pgMar w:top="1871" w:right="1304" w:bottom="1531" w:left="130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ZTI3ZjQ5MTU2ZTI0NzM0NTQwYWE5MzZiNzE4NjgifQ=="/>
    <w:docVar w:name="KSO_WPS_MARK_KEY" w:val="61d6df56-4554-404a-9e7c-78cc3eb2e164"/>
  </w:docVars>
  <w:rsids>
    <w:rsidRoot w:val="561774DE"/>
    <w:rsid w:val="00055A94"/>
    <w:rsid w:val="003B4F62"/>
    <w:rsid w:val="129218C1"/>
    <w:rsid w:val="12EB4AAD"/>
    <w:rsid w:val="14196E0E"/>
    <w:rsid w:val="152431DB"/>
    <w:rsid w:val="16B743DC"/>
    <w:rsid w:val="191800F4"/>
    <w:rsid w:val="20517CA9"/>
    <w:rsid w:val="2FEF4A93"/>
    <w:rsid w:val="312C0DA1"/>
    <w:rsid w:val="31AE2615"/>
    <w:rsid w:val="34421281"/>
    <w:rsid w:val="36AF4E20"/>
    <w:rsid w:val="3B374306"/>
    <w:rsid w:val="40B92D9B"/>
    <w:rsid w:val="44531F48"/>
    <w:rsid w:val="4AD972BA"/>
    <w:rsid w:val="4B405D64"/>
    <w:rsid w:val="4CF304B6"/>
    <w:rsid w:val="561774DE"/>
    <w:rsid w:val="569622FC"/>
    <w:rsid w:val="56B528E4"/>
    <w:rsid w:val="5FCD3B8B"/>
    <w:rsid w:val="6F91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sz w:val="3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735</Words>
  <Characters>789</Characters>
  <Lines>2</Lines>
  <Paragraphs>1</Paragraphs>
  <TotalTime>0</TotalTime>
  <ScaleCrop>false</ScaleCrop>
  <LinksUpToDate>false</LinksUpToDate>
  <CharactersWithSpaces>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2019-03-22T03:33:00Z</dcterms:created>
  <dc:creator>Administrator</dc:creator>
  <cp:lastModifiedBy>黄好耶</cp:lastModifiedBy>
  <cp:lastPrinted>2025-11-04T02:42:00Z</cp:lastPrinted>
  <dcterms:modified xsi:type="dcterms:W3CDTF">2025-11-04T02:50:08Z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BA87ADA33A4D4D50BB823946D6C211E9</vt:lpwstr>
  </property>
</Properties>
</file>