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方正黑体简体" w:eastAsia="方正黑体简体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Cs w:val="32"/>
        </w:rPr>
        <w:t>附件4</w:t>
      </w:r>
    </w:p>
    <w:p>
      <w:pPr>
        <w:pStyle w:val="3"/>
        <w:ind w:left="0" w:leftChars="0"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儿童化妆品专项检查统计表</w:t>
      </w:r>
    </w:p>
    <w:tbl>
      <w:tblPr>
        <w:tblStyle w:val="5"/>
        <w:tblW w:w="91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665"/>
        <w:gridCol w:w="2005"/>
        <w:gridCol w:w="1595"/>
        <w:gridCol w:w="2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填报单位：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right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填报日期：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项 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基本情况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儿童化妆品注册人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儿童化妆品备案人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儿童化妆品生产企业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已备案儿童化妆品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生产经营者法规宣贯情况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举办培训（场）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培训人数（人次）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举办宣传活动（场）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宣传活动受众人数（人次）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发放告知书（份）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签署承诺书（家次）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监督检查及监督抽检情况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监督检查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备案后监督检查化妆品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检查化妆品生产企业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检查母婴用品专卖店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检查商场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检查其他化妆品经营者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发现问题产品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监督抽检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2021年1月1日以后生产的驻留类儿童化妆品品种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生产环节抽检化妆品（件）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生产环节抽检不合格产品（件）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经营环节抽检化妆品（件）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经营环节抽检不合格产品（件）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案件查处情况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处罚单位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吊销化妆品行政许可证件案件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责令停产停业案件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罚没款总金额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处罚到人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处罚到人案件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对责任人罚款总金额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对责任人从业禁止案件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6"/>
                <w:kern w:val="0"/>
                <w:sz w:val="24"/>
                <w:lang w:bidi="ar"/>
              </w:rPr>
              <w:t>移送公安案件情况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移送案件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4"/>
                <w:lang w:bidi="ar"/>
              </w:rPr>
              <w:t>刑事立案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869D6"/>
    <w:rsid w:val="14A869D6"/>
    <w:rsid w:val="636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line="240" w:lineRule="atLeast"/>
      <w:ind w:firstLine="420" w:firstLineChars="200"/>
    </w:pPr>
    <w:rPr>
      <w:rFonts w:ascii="Calibri" w:hAnsi="Calibri" w:eastAsia="仿宋_GB2312" w:cs="Times New Roman"/>
      <w:spacing w:val="-6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2021-05-20T08:49:00Z</dcterms:created>
  <dc:creator>荷包蛋</dc:creator>
  <cp:lastModifiedBy>颜晓艳</cp:lastModifiedBy>
  <dcterms:modified xsi:type="dcterms:W3CDTF">2021-06-09T08:06:12Z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F5B8882DD3A04BDD9D7A8ECF8620EEA8</vt:lpwstr>
  </property>
</Properties>
</file>