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AC42">
      <w:pPr>
        <w:rPr>
          <w:rFonts w:hint="eastAsia" w:ascii="楷体" w:hAnsi="楷体" w:eastAsia="楷体"/>
          <w:sz w:val="32"/>
          <w:szCs w:val="32"/>
        </w:rPr>
      </w:pPr>
      <w:r>
        <w:rPr>
          <w:rFonts w:hint="eastAsia" w:ascii="楷体" w:hAnsi="楷体" w:eastAsia="楷体"/>
          <w:sz w:val="32"/>
          <w:szCs w:val="32"/>
        </w:rPr>
        <w:t>附件1</w:t>
      </w:r>
    </w:p>
    <w:p w14:paraId="078F0FB8">
      <w:pPr>
        <w:widowControl/>
        <w:suppressAutoHyphens/>
        <w:spacing w:line="600" w:lineRule="exact"/>
        <w:jc w:val="center"/>
        <w:rPr>
          <w:rFonts w:hint="eastAsia" w:ascii="宋体" w:hAnsi="宋体"/>
          <w:b/>
          <w:sz w:val="36"/>
          <w:szCs w:val="36"/>
        </w:rPr>
      </w:pPr>
      <w:r>
        <w:rPr>
          <w:rFonts w:hint="eastAsia" w:ascii="宋体" w:hAnsi="宋体" w:cs="Arial"/>
          <w:b/>
          <w:color w:val="000000"/>
          <w:kern w:val="0"/>
          <w:sz w:val="36"/>
          <w:szCs w:val="36"/>
        </w:rPr>
        <w:t>试点单位准入条件</w:t>
      </w:r>
    </w:p>
    <w:p w14:paraId="31DD8DBA">
      <w:pPr>
        <w:widowControl/>
        <w:suppressAutoHyphens/>
        <w:spacing w:line="600" w:lineRule="exact"/>
        <w:ind w:firstLine="640" w:firstLineChars="200"/>
        <w:rPr>
          <w:rFonts w:hint="eastAsia" w:ascii="仿宋_GB2312" w:eastAsia="仿宋_GB2312"/>
          <w:sz w:val="32"/>
          <w:szCs w:val="32"/>
        </w:rPr>
      </w:pPr>
    </w:p>
    <w:p w14:paraId="48E75801">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1.试点单位应为独立法人单位，收集贮存设施选址原则上应位于合规设立并已完成规划环评的工业园区内，或者为二类以上工业用地或危险品仓储用地、并符合国土空间规划和“三线一单”要求。</w:t>
      </w:r>
    </w:p>
    <w:p w14:paraId="3FA825C4">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试点单位应配有至少1名环境科学与工程、化学等相关专业背景中级及以上技术职称，并有3年以上固体废物污染防治经历的全职技术人员,所有从事收集工作的人员应与试点单位签订劳动合同并向所在地生态环境局备案。</w:t>
      </w:r>
    </w:p>
    <w:p w14:paraId="79947A40">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试点单位应根据申请收集规模、收集贮存量及中转周期合理设计贮存面积，其集中收集点的面积原则上不小于1000平方米。应采取技术和管理措施防止无关人员进入贮存设施；不同类别的危险废物应根据其特性分区贮存，性质不相容的危险废物禁止混合贮存。</w:t>
      </w:r>
    </w:p>
    <w:p w14:paraId="69DB53C6">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试点单位应配有符合国家和地方环境保护标准要求的包装工具、贮存场所和配套的污染防治设施；配备有效防雨、防渗的专用运输工具，运输车辆应安装卫星定位系统，所有从事收集工作的运输车辆应与试点单位签订合同并向所在地生态环境局备案；具有防范危险废物污染环境的管理制度和环境应急预案。贮存场所应采用负压，并配置相应的毒气及易燃气体监控、防火防爆报警装置。申请收集的危险废物，在贮存中易产生粉尘、VOCs、酸雾、有毒有害大气污染物和刺激性气味气体的，要设置气体收集装置和气体净化设施并处理达标。</w:t>
      </w:r>
    </w:p>
    <w:p w14:paraId="47CD8013">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5.试点单位应具有与所收集的危险废物相适应的分析检测能力；不具备相关分析检测能力的，应委托具备相关资质和能力单位开展分析检测工作，与受委托单位共同对检测结果负责。</w:t>
      </w:r>
    </w:p>
    <w:p w14:paraId="2F75FE16">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试点单位申请收集种类包含废铅蓄电池的，其收集网点及集中转运点建设要求、转运管理、信息化监督管理、试点单位责任等还需满足《福建省废铅蓄电池集中收集和跨区域转运制度试点工作实施方案》（闽环保固体〔2019〕4号）和《关于进一步推进落实废铅蓄电池集中收集和跨区域转运制度试点工作的通知》（闽环保固体〔2019〕5号）等文件要求。</w:t>
      </w:r>
    </w:p>
    <w:p w14:paraId="7B1318C0">
      <w:pPr>
        <w:widowControl/>
        <w:suppressAutoHyphen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7.鼓励和支持国有企事业单位参与开展危险废物收集试点工作。</w:t>
      </w:r>
    </w:p>
    <w:p w14:paraId="2FD3C22E">
      <w:pPr>
        <w:rPr>
          <w:rFonts w:hint="eastAsia" w:ascii="楷体" w:hAnsi="楷体" w:eastAsia="楷体"/>
          <w:sz w:val="32"/>
          <w:szCs w:val="32"/>
        </w:rPr>
      </w:pPr>
    </w:p>
    <w:p w14:paraId="5906A5EF">
      <w:pPr>
        <w:rPr>
          <w:rFonts w:hint="eastAsia" w:ascii="楷体" w:hAnsi="楷体" w:eastAsia="楷体"/>
          <w:sz w:val="32"/>
          <w:szCs w:val="32"/>
        </w:rPr>
      </w:pPr>
    </w:p>
    <w:p w14:paraId="68036B78">
      <w:pPr>
        <w:rPr>
          <w:rFonts w:hint="eastAsia" w:ascii="楷体" w:hAnsi="楷体" w:eastAsia="楷体"/>
          <w:sz w:val="32"/>
          <w:szCs w:val="32"/>
        </w:rPr>
      </w:pPr>
    </w:p>
    <w:p w14:paraId="2B8A93B8">
      <w:pPr>
        <w:rPr>
          <w:rFonts w:hint="eastAsia" w:ascii="楷体" w:hAnsi="楷体" w:eastAsia="楷体"/>
          <w:sz w:val="32"/>
          <w:szCs w:val="32"/>
        </w:rPr>
      </w:pPr>
    </w:p>
    <w:p w14:paraId="6939C2C6">
      <w:pPr>
        <w:rPr>
          <w:rFonts w:hint="eastAsia" w:ascii="楷体" w:hAnsi="楷体" w:eastAsia="楷体"/>
          <w:sz w:val="32"/>
          <w:szCs w:val="32"/>
        </w:rPr>
      </w:pPr>
    </w:p>
    <w:p w14:paraId="6516B0D7">
      <w:pPr>
        <w:rPr>
          <w:rFonts w:hint="eastAsia" w:ascii="楷体" w:hAnsi="楷体" w:eastAsia="楷体"/>
          <w:sz w:val="32"/>
          <w:szCs w:val="32"/>
        </w:rPr>
      </w:pPr>
    </w:p>
    <w:p w14:paraId="2CEBB248">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NWI4ZjdjYTJhZDNhZGE0MDg5NjEyMDA3MWUyZDEifQ=="/>
  </w:docVars>
  <w:rsids>
    <w:rsidRoot w:val="5EDC3A1A"/>
    <w:rsid w:val="5EDC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ind w:left="420" w:leftChars="200" w:firstLine="420" w:firstLineChars="200"/>
      <w:jc w:val="both"/>
    </w:pPr>
    <w:rPr>
      <w:rFonts w:ascii="Times New Roman" w:hAnsi="Times New Roman" w:eastAsia="宋体" w:cs="Times New Roman"/>
      <w:kern w:val="2"/>
      <w:sz w:val="32"/>
      <w:szCs w:val="22"/>
      <w:lang w:val="en-US" w:eastAsia="zh-CN" w:bidi="ar-SA"/>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2024-11-19T07:37:00Z</dcterms:created>
  <dc:creator>李ying</dc:creator>
  <cp:lastModifiedBy>李ying</cp:lastModifiedBy>
  <dcterms:modified xsi:type="dcterms:W3CDTF">2024-11-19T07:38:17Z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FEB0287A45364479BFDBE82547C3BD6B_11</vt:lpwstr>
  </property>
</Properties>
</file>