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0C680">
      <w:pPr>
        <w:rPr>
          <w:rFonts w:hint="eastAsia" w:ascii="楷体" w:hAnsi="楷体" w:eastAsia="楷体"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sz w:val="32"/>
          <w:szCs w:val="32"/>
        </w:rPr>
        <w:t>附件4</w:t>
      </w:r>
    </w:p>
    <w:p w14:paraId="60FA4F09">
      <w:pPr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XX公司小微企业危险废物收集试点建设方案</w:t>
      </w:r>
    </w:p>
    <w:bookmarkEnd w:id="0"/>
    <w:p w14:paraId="36EEE5A7">
      <w:pPr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（模板）</w:t>
      </w:r>
    </w:p>
    <w:p w14:paraId="4A094432"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一、申请单位基本情况</w:t>
      </w:r>
    </w:p>
    <w:p w14:paraId="336F49A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申请单位名称，危险废物贮存点位置、场所面积、车间布局，周边环境敏感点分布情况，开展危废集中收集处置工作的优势，收集运输设施、贮存设施、污染防治设施基本情况，人员配备及培训等。</w:t>
      </w:r>
    </w:p>
    <w:p w14:paraId="240A6E63"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二、污染防治措施</w:t>
      </w:r>
    </w:p>
    <w:p w14:paraId="1EA862DA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转移车辆及包装工具的污染防治情况，贮存设施污染防治情况（地面防渗、防腐、防雨措施和应急收集池建设等），“三废”污染防治情况等。</w:t>
      </w:r>
    </w:p>
    <w:p w14:paraId="74A47703"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三、环境管理制度</w:t>
      </w:r>
    </w:p>
    <w:p w14:paraId="0B71295B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相关环保法律法规规章及技术规范符合情况、应急预案及演练、公司内部管理制度等。</w:t>
      </w:r>
    </w:p>
    <w:p w14:paraId="2812631E"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四、试点工作内容</w:t>
      </w:r>
    </w:p>
    <w:p w14:paraId="3C2AC55B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服务范围、服务内容，收集危险废物类别、估算收集量，危险废物收集、装卸和贮存方案，危险废物运输方案及路线，危险废物处置利用去向等。</w:t>
      </w:r>
    </w:p>
    <w:p w14:paraId="7C169DC8">
      <w:pPr>
        <w:ind w:firstLine="643" w:firstLineChars="2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五、附件</w:t>
      </w:r>
    </w:p>
    <w:p w14:paraId="332C11F1">
      <w:pPr>
        <w:ind w:firstLine="640" w:firstLineChars="200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eastAsia="仿宋_GB2312"/>
          <w:sz w:val="32"/>
          <w:szCs w:val="32"/>
        </w:rPr>
        <w:t>企业营业执照与法人身份证复印件、相关合同等证明材料。</w:t>
      </w:r>
    </w:p>
    <w:p w14:paraId="213E2E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WI4ZjdjYTJhZDNhZGE0MDg5NjEyMDA3MWUyZDEifQ=="/>
  </w:docVars>
  <w:rsids>
    <w:rsidRoot w:val="249A29B5"/>
    <w:rsid w:val="249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2024-11-19T07:39:00Z</dcterms:created>
  <dc:creator>李ying</dc:creator>
  <cp:lastModifiedBy>李ying</cp:lastModifiedBy>
  <dcterms:modified xsi:type="dcterms:W3CDTF">2024-11-19T07:41:00Z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30E623F54DC64166B31F8A336F076F3E_11</vt:lpwstr>
  </property>
</Properties>
</file>