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2F78C">
      <w:pPr>
        <w:rPr>
          <w:rFonts w:hint="eastAsia" w:ascii="楷体" w:hAnsi="楷体" w:eastAsia="楷体"/>
          <w:sz w:val="32"/>
          <w:szCs w:val="32"/>
        </w:rPr>
      </w:pPr>
      <w:bookmarkStart w:id="0" w:name="_GoBack"/>
      <w:r>
        <w:rPr>
          <w:rFonts w:hint="eastAsia" w:ascii="楷体" w:hAnsi="楷体" w:eastAsia="楷体"/>
          <w:sz w:val="32"/>
          <w:szCs w:val="32"/>
        </w:rPr>
        <w:t>附件5</w:t>
      </w:r>
    </w:p>
    <w:p w14:paraId="47DB792C">
      <w:pPr>
        <w:jc w:val="center"/>
        <w:rPr>
          <w:rFonts w:hint="eastAsia" w:eastAsia="仿宋_GB2312"/>
          <w:b/>
          <w:spacing w:val="-2"/>
          <w:sz w:val="36"/>
          <w:szCs w:val="36"/>
        </w:rPr>
      </w:pPr>
      <w:r>
        <w:rPr>
          <w:rFonts w:hint="eastAsia" w:eastAsia="仿宋_GB2312"/>
          <w:b/>
          <w:spacing w:val="-2"/>
          <w:sz w:val="36"/>
          <w:szCs w:val="36"/>
        </w:rPr>
        <w:t>洛江区小微企业危险废物收集试点单位筛选评分标准</w:t>
      </w:r>
    </w:p>
    <w:bookmarkEnd w:id="0"/>
    <w:tbl>
      <w:tblPr>
        <w:tblStyle w:val="5"/>
        <w:tblW w:w="1419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36"/>
        <w:gridCol w:w="1224"/>
        <w:gridCol w:w="11160"/>
      </w:tblGrid>
      <w:tr w14:paraId="0396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0C028A47">
            <w:pPr>
              <w:jc w:val="center"/>
              <w:rPr>
                <w:rFonts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5CB141B">
            <w:pPr>
              <w:jc w:val="center"/>
              <w:rPr>
                <w:rFonts w:ascii="黑体" w:hAnsi="黑体" w:eastAsia="黑体"/>
                <w:color w:val="000000"/>
                <w:sz w:val="24"/>
              </w:rPr>
            </w:pPr>
            <w:r>
              <w:rPr>
                <w:rFonts w:hint="eastAsia" w:ascii="黑体" w:hAnsi="黑体" w:eastAsia="黑体"/>
                <w:color w:val="000000"/>
                <w:sz w:val="24"/>
              </w:rPr>
              <w:t>序号</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F72038">
            <w:pPr>
              <w:jc w:val="center"/>
              <w:rPr>
                <w:rFonts w:ascii="黑体" w:hAnsi="黑体" w:eastAsia="黑体"/>
                <w:color w:val="000000"/>
                <w:sz w:val="24"/>
              </w:rPr>
            </w:pPr>
            <w:r>
              <w:rPr>
                <w:rFonts w:hint="eastAsia" w:ascii="黑体" w:hAnsi="黑体" w:eastAsia="黑体"/>
                <w:color w:val="000000"/>
                <w:sz w:val="24"/>
              </w:rPr>
              <w:t>评审内容</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5B819E7D">
            <w:pPr>
              <w:jc w:val="center"/>
              <w:rPr>
                <w:rFonts w:ascii="黑体" w:hAnsi="黑体" w:eastAsia="黑体"/>
                <w:color w:val="000000"/>
                <w:sz w:val="24"/>
              </w:rPr>
            </w:pPr>
            <w:r>
              <w:rPr>
                <w:rFonts w:hint="eastAsia" w:ascii="黑体" w:hAnsi="黑体" w:eastAsia="黑体"/>
                <w:color w:val="000000"/>
                <w:sz w:val="24"/>
              </w:rPr>
              <w:t>具体要求</w:t>
            </w:r>
          </w:p>
        </w:tc>
      </w:tr>
      <w:tr w14:paraId="54A9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3" w:type="dxa"/>
            <w:vMerge w:val="restart"/>
            <w:tcBorders>
              <w:top w:val="nil"/>
              <w:left w:val="single" w:color="auto" w:sz="4" w:space="0"/>
              <w:bottom w:val="single" w:color="auto" w:sz="4" w:space="0"/>
              <w:right w:val="single" w:color="auto" w:sz="4" w:space="0"/>
            </w:tcBorders>
            <w:noWrap w:val="0"/>
            <w:vAlign w:val="center"/>
          </w:tcPr>
          <w:p w14:paraId="6E78D3C8">
            <w:pPr>
              <w:ind w:right="-115" w:rightChars="-55"/>
              <w:jc w:val="center"/>
              <w:rPr>
                <w:rFonts w:ascii="仿宋_GB2312" w:hAnsi="Calibri" w:eastAsia="仿宋_GB2312"/>
                <w:color w:val="000000"/>
                <w:szCs w:val="21"/>
              </w:rPr>
            </w:pPr>
            <w:r>
              <w:rPr>
                <w:rFonts w:hint="eastAsia" w:ascii="仿宋_GB2312" w:eastAsia="仿宋_GB2312"/>
                <w:color w:val="000000"/>
                <w:szCs w:val="21"/>
              </w:rPr>
              <w:t>必备基本条件（80分）</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7E6C066">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2FED01">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规划选址</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542ACE6E">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申请单位为独立法人单位，收集贮存设施选址原则上应位于合规设立并已完成规划环评的工业园区内，或者为二类以上工业用地或危险品仓储用地、并符合国土空间规划和“三线一单”要求。</w:t>
            </w:r>
          </w:p>
        </w:tc>
      </w:tr>
      <w:tr w14:paraId="5706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395E6685">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16A5710">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35B605">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人员配置</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36D5737D">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申请单位配有至少1名环境科学与工程、化学等相关专业背景中级及以上技术职称，并有3年以上固体废物污染防治经历的全职技术人员。</w:t>
            </w:r>
          </w:p>
        </w:tc>
      </w:tr>
      <w:tr w14:paraId="4D2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5F1A4E47">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81CBF94">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D2E841">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贮存场所</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2177F3D5">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根据申请收集规模、收集贮存量及中转周期合理设计贮存面积，其集中收集点的面积原则上不小于1000平方米。应采取技术和管理措施防止无关人员进入贮存设施；不同类别的危险废物应根据其特性分区贮存，性质不相容的危险废物禁止混合贮存。</w:t>
            </w:r>
          </w:p>
          <w:p w14:paraId="6B9B6BC6">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应配有符合国家和地方环境保护标准要求的包装工具、贮存场所和配套的污染防治设施贮存场所应采用负压，并配置相应的毒气及易燃气体监控、防火防爆报警装置。申请收集的危险废物，在贮存中易产生粉尘、VOCs、酸雾、有毒有害大气污染物和刺激性气味气体的，要设置气体收集装置和气体净化设施并处理达标。</w:t>
            </w:r>
          </w:p>
        </w:tc>
      </w:tr>
      <w:tr w14:paraId="2CB2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6AA12112">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9C27239">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7C51CF">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运输能力</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5E18EF65">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申请单位至少配备有效防雨、防渗且具有危化品运输资质的工具1辆，申请单位委托第三方运输的，受托方应具有危险货物运输资质。</w:t>
            </w:r>
          </w:p>
        </w:tc>
      </w:tr>
      <w:tr w14:paraId="1696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3018C960">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2C186A4">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CBEA10">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处置能力</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299E8F18">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申请单位与危险废物处置和利用单位签订合同，确保收集的各类危险废物均有明确处置去向，且合同期限不小于试点期限。</w:t>
            </w:r>
          </w:p>
        </w:tc>
      </w:tr>
      <w:tr w14:paraId="31F1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626ED447">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CEE2CFF">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88859D">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分析能力</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458DC95C">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申请单位具有与所收集的危险废物相适应的分析检测能力，不具备相关分析检测能力的，委托具备相关资质和能力单位开展分析检测工作，与受委托单位共同对检测结果负责。</w:t>
            </w:r>
          </w:p>
        </w:tc>
      </w:tr>
      <w:tr w14:paraId="0370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3" w:type="dxa"/>
            <w:vMerge w:val="continue"/>
            <w:tcBorders>
              <w:top w:val="nil"/>
              <w:left w:val="single" w:color="auto" w:sz="4" w:space="0"/>
              <w:bottom w:val="single" w:color="auto" w:sz="4" w:space="0"/>
              <w:right w:val="single" w:color="auto" w:sz="4" w:space="0"/>
            </w:tcBorders>
            <w:noWrap w:val="0"/>
            <w:vAlign w:val="center"/>
          </w:tcPr>
          <w:p w14:paraId="3FF5E8B3">
            <w:pPr>
              <w:widowControl/>
              <w:jc w:val="left"/>
              <w:rPr>
                <w:rFonts w:ascii="仿宋_GB2312" w:hAnsi="Calibri" w:eastAsia="仿宋_GB2312"/>
                <w:color w:val="000000"/>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B154590">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D6D3E66">
            <w:pPr>
              <w:pStyle w:val="2"/>
              <w:spacing w:after="0"/>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其他</w:t>
            </w:r>
          </w:p>
        </w:tc>
        <w:tc>
          <w:tcPr>
            <w:tcW w:w="11160" w:type="dxa"/>
            <w:tcBorders>
              <w:top w:val="single" w:color="auto" w:sz="4" w:space="0"/>
              <w:left w:val="single" w:color="auto" w:sz="4" w:space="0"/>
              <w:bottom w:val="single" w:color="auto" w:sz="4" w:space="0"/>
              <w:right w:val="single" w:color="auto" w:sz="4" w:space="0"/>
            </w:tcBorders>
            <w:noWrap w:val="0"/>
            <w:vAlign w:val="center"/>
          </w:tcPr>
          <w:p w14:paraId="11E66E62">
            <w:pPr>
              <w:pStyle w:val="2"/>
              <w:spacing w:after="40"/>
              <w:ind w:left="0" w:leftChars="0"/>
              <w:rPr>
                <w:rFonts w:ascii="仿宋_GB2312" w:eastAsia="仿宋_GB2312"/>
                <w:color w:val="000000"/>
                <w:sz w:val="21"/>
                <w:szCs w:val="21"/>
              </w:rPr>
            </w:pPr>
            <w:r>
              <w:rPr>
                <w:rFonts w:hint="eastAsia" w:ascii="仿宋_GB2312" w:eastAsia="仿宋_GB2312"/>
                <w:color w:val="000000"/>
                <w:sz w:val="21"/>
                <w:szCs w:val="21"/>
              </w:rPr>
              <w:t>申请单位申请收集种类包含废铅蓄电池的，其收集网点及集中转运点建设要求、转运管理、信息化监督管理、试点单位责任等需满足《福建省废铅蓄电池集中收集和跨区域转运制度试点工作实施方案》（闽环保固体〔2019〕4号）和《关于进一步推进落实废铅蓄电池集中收集和跨区域转运制度试点工作的通知》（闽环保固体〔2019〕5号）等文件要求。</w:t>
            </w:r>
          </w:p>
        </w:tc>
      </w:tr>
      <w:tr w14:paraId="5DE3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4902E8F0">
            <w:pPr>
              <w:ind w:right="-115" w:rightChars="-55"/>
              <w:jc w:val="center"/>
              <w:rPr>
                <w:rFonts w:ascii="仿宋_GB2312" w:hAnsi="Calibri" w:eastAsia="仿宋_GB2312"/>
                <w:color w:val="000000"/>
                <w:szCs w:val="21"/>
              </w:rPr>
            </w:pPr>
            <w:r>
              <w:rPr>
                <w:rFonts w:hint="eastAsia" w:ascii="仿宋_GB2312" w:eastAsia="仿宋_GB2312"/>
                <w:color w:val="000000"/>
                <w:szCs w:val="21"/>
              </w:rPr>
              <w:t>鼓励项（20分）</w:t>
            </w:r>
          </w:p>
        </w:tc>
        <w:tc>
          <w:tcPr>
            <w:tcW w:w="13320" w:type="dxa"/>
            <w:gridSpan w:val="3"/>
            <w:tcBorders>
              <w:top w:val="single" w:color="auto" w:sz="4" w:space="0"/>
              <w:left w:val="single" w:color="auto" w:sz="4" w:space="0"/>
              <w:bottom w:val="single" w:color="auto" w:sz="4" w:space="0"/>
              <w:right w:val="single" w:color="auto" w:sz="4" w:space="0"/>
            </w:tcBorders>
            <w:noWrap w:val="0"/>
            <w:vAlign w:val="center"/>
          </w:tcPr>
          <w:p w14:paraId="494861B3">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1.申请单位厂房已建成的加2分；集中收集点面积每增加100平方米加0.5分，最高加1分（共3分）。</w:t>
            </w:r>
          </w:p>
          <w:p w14:paraId="1A2F674A">
            <w:pPr>
              <w:pStyle w:val="2"/>
              <w:ind w:left="0" w:leftChars="0" w:firstLine="403" w:firstLineChars="192"/>
              <w:rPr>
                <w:rFonts w:hint="eastAsia" w:ascii="仿宋_GB2312" w:eastAsia="仿宋_GB2312"/>
                <w:b/>
                <w:bCs/>
                <w:color w:val="000000"/>
                <w:sz w:val="21"/>
                <w:szCs w:val="21"/>
              </w:rPr>
            </w:pPr>
            <w:r>
              <w:rPr>
                <w:rFonts w:hint="eastAsia" w:ascii="仿宋_GB2312" w:eastAsia="仿宋_GB2312"/>
                <w:color w:val="000000"/>
                <w:sz w:val="21"/>
                <w:szCs w:val="21"/>
              </w:rPr>
              <w:t>2.申请单位银行对公账户近一个月月均存款每100万元加0.5分，最高加2.5分。</w:t>
            </w:r>
          </w:p>
          <w:p w14:paraId="53745B25">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3.申请单位每增加1辆符合要求的车辆加1分，最高加1分；增加1名符合要求的技术人员加1分，最高加1分（共2分）。</w:t>
            </w:r>
          </w:p>
          <w:p w14:paraId="285652F6">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4.申请单位自身具有经认证的与所收集的危险废物相适应的分析检测能力的，加1分。</w:t>
            </w:r>
          </w:p>
          <w:p w14:paraId="59F1D8CD">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5.申请单位采用电子地磅、电子标签、电子管理台账等技术手段加强危险废物信息化环境管理，能够清晰反映申请项目配备危废收集、贮存、转运等全过程可跟踪、可追溯功能的信息化管理系统，确保数据完整、真实、准确的，根据材料提供情况具有一定可操作性的加0.5分，可操作性较好的加1分，可操作性强的加1.5分。</w:t>
            </w:r>
          </w:p>
          <w:p w14:paraId="7AB321AD">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6.申请单位为小微企业提供危险废物管理计划和管理台账制定、危险废物申报、危险废物标签二维码生成等危险废物环境管理方面的延伸服务并帮助企业完善收储体系的，根据材料提供情况审核，服务方案较周全的加1分，服务方案周全的加2分。</w:t>
            </w:r>
          </w:p>
          <w:p w14:paraId="7F942883">
            <w:pPr>
              <w:pStyle w:val="2"/>
              <w:ind w:left="0" w:leftChars="0" w:firstLine="403" w:firstLineChars="192"/>
              <w:rPr>
                <w:rFonts w:hint="eastAsia" w:ascii="仿宋_GB2312" w:eastAsia="仿宋_GB2312"/>
                <w:color w:val="000000"/>
                <w:sz w:val="21"/>
                <w:szCs w:val="21"/>
              </w:rPr>
            </w:pPr>
            <w:r>
              <w:rPr>
                <w:rFonts w:hint="eastAsia" w:ascii="仿宋_GB2312" w:eastAsia="仿宋_GB2312"/>
                <w:color w:val="000000"/>
                <w:sz w:val="21"/>
                <w:szCs w:val="21"/>
              </w:rPr>
              <w:t>7.申请单位有防范危险废物污染环境的管理制度、污染防治措施和保证危险废物收集安全的规章制度的，根据材料提供情况审核，内容较全的加0.5分，制度健全、流程规范的加1分。</w:t>
            </w:r>
          </w:p>
          <w:p w14:paraId="77B4A08F">
            <w:pPr>
              <w:pStyle w:val="2"/>
              <w:ind w:left="0" w:leftChars="0" w:firstLine="403" w:firstLineChars="192"/>
              <w:rPr>
                <w:rFonts w:ascii="仿宋_GB2312" w:eastAsia="仿宋_GB2312"/>
                <w:color w:val="000000"/>
                <w:sz w:val="21"/>
                <w:szCs w:val="21"/>
              </w:rPr>
            </w:pPr>
            <w:r>
              <w:rPr>
                <w:rFonts w:hint="eastAsia" w:ascii="仿宋_GB2312" w:eastAsia="仿宋_GB2312"/>
                <w:color w:val="000000"/>
                <w:sz w:val="21"/>
                <w:szCs w:val="21"/>
              </w:rPr>
              <w:t>8.评审小组根据现场核查、建设方案完善程度、专家咨询答辩等情况进行评分，最高加7分。</w:t>
            </w:r>
          </w:p>
        </w:tc>
      </w:tr>
      <w:tr w14:paraId="4450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778DFAFC">
            <w:pPr>
              <w:jc w:val="center"/>
              <w:rPr>
                <w:rFonts w:ascii="仿宋_GB2312" w:hAnsi="Calibri" w:eastAsia="仿宋_GB2312"/>
                <w:color w:val="000000"/>
                <w:szCs w:val="21"/>
              </w:rPr>
            </w:pPr>
            <w:r>
              <w:rPr>
                <w:rFonts w:hint="eastAsia" w:ascii="仿宋_GB2312" w:eastAsia="仿宋_GB2312"/>
                <w:color w:val="000000"/>
                <w:szCs w:val="21"/>
              </w:rPr>
              <w:t>备注</w:t>
            </w:r>
          </w:p>
        </w:tc>
        <w:tc>
          <w:tcPr>
            <w:tcW w:w="13320" w:type="dxa"/>
            <w:gridSpan w:val="3"/>
            <w:tcBorders>
              <w:top w:val="single" w:color="auto" w:sz="4" w:space="0"/>
              <w:left w:val="single" w:color="auto" w:sz="4" w:space="0"/>
              <w:bottom w:val="single" w:color="auto" w:sz="4" w:space="0"/>
              <w:right w:val="single" w:color="auto" w:sz="4" w:space="0"/>
            </w:tcBorders>
            <w:noWrap w:val="0"/>
            <w:vAlign w:val="center"/>
          </w:tcPr>
          <w:p w14:paraId="4100F94B">
            <w:pPr>
              <w:pStyle w:val="2"/>
              <w:rPr>
                <w:rFonts w:ascii="仿宋_GB2312" w:eastAsia="仿宋_GB2312"/>
                <w:color w:val="000000"/>
                <w:sz w:val="21"/>
                <w:szCs w:val="21"/>
              </w:rPr>
            </w:pPr>
            <w:r>
              <w:rPr>
                <w:rFonts w:hint="eastAsia" w:ascii="仿宋_GB2312" w:eastAsia="仿宋_GB2312"/>
                <w:color w:val="000000"/>
                <w:sz w:val="21"/>
                <w:szCs w:val="21"/>
              </w:rPr>
              <w:t>各申请单位应签订承诺书，若存在隐瞒或提交虚假资料、未达到《筛选方案》、《建设方案》要求等行为，取消其试点资格，并按照评审结果依次递补。</w:t>
            </w:r>
          </w:p>
        </w:tc>
      </w:tr>
    </w:tbl>
    <w:p w14:paraId="6CBD1677">
      <w:pPr>
        <w:pStyle w:val="4"/>
        <w:rPr>
          <w:rFonts w:hint="eastAsia" w:ascii="仿宋_GB2312" w:hAnsi="仿宋_GB2312" w:eastAsia="仿宋_GB2312" w:cs="仿宋_GB2312"/>
          <w:sz w:val="21"/>
          <w:szCs w:val="21"/>
        </w:rPr>
      </w:pPr>
    </w:p>
    <w:p w14:paraId="6C64182F"/>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NWI4ZjdjYTJhZDNhZGE0MDg5NjEyMDA3MWUyZDEifQ=="/>
  </w:docVars>
  <w:rsids>
    <w:rsidRoot w:val="52A5486E"/>
    <w:rsid w:val="52A5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ind w:left="420" w:leftChars="200" w:firstLine="420" w:firstLineChars="200"/>
      <w:jc w:val="both"/>
    </w:pPr>
    <w:rPr>
      <w:rFonts w:ascii="Times New Roman" w:hAnsi="Times New Roman" w:eastAsia="宋体" w:cs="Times New Roman"/>
      <w:kern w:val="2"/>
      <w:sz w:val="32"/>
      <w:szCs w:val="22"/>
      <w:lang w:val="en-US" w:eastAsia="zh-CN" w:bidi="ar-SA"/>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szCs w:val="22"/>
    </w:rPr>
  </w:style>
  <w:style w:type="paragraph" w:styleId="4">
    <w:name w:val="Body Text First Indent"/>
    <w:qFormat/>
    <w:uiPriority w:val="0"/>
    <w:pPr>
      <w:widowControl w:val="0"/>
      <w:spacing w:after="120"/>
      <w:ind w:firstLine="420"/>
      <w:jc w:val="both"/>
    </w:pPr>
    <w:rPr>
      <w:rFonts w:ascii="Calibri" w:hAnsi="Calibri" w:eastAsia="宋体" w:cs="Arial"/>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2024-11-19T07:41:00Z</dcterms:created>
  <dc:creator>李ying</dc:creator>
  <cp:lastModifiedBy>李ying</cp:lastModifiedBy>
  <dcterms:modified xsi:type="dcterms:W3CDTF">2024-11-19T07:41:38Z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5DB3AABCAD614389A62D3CFB86048918_11</vt:lpwstr>
  </property>
</Properties>
</file>