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黑体" w:hAnsi="黑体" w:eastAsia="黑体"/>
          <w:sz w:val="32"/>
        </w:rPr>
      </w:pPr>
      <w:r>
        <w:rPr>
          <w:rFonts w:hint="eastAsia" w:ascii="黑体" w:hAnsi="黑体" w:eastAsia="黑体"/>
          <w:sz w:val="32"/>
        </w:rPr>
        <w:t>附件</w:t>
      </w:r>
    </w:p>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2021年洛江区营商环境优化提升年十八个指标攻坚任务清单表</w:t>
      </w:r>
    </w:p>
    <w:tbl>
      <w:tblPr>
        <w:tblStyle w:val="4"/>
        <w:tblW w:w="15026" w:type="dxa"/>
        <w:tblInd w:w="-34" w:type="dxa"/>
        <w:tblLayout w:type="autofit"/>
        <w:tblCellMar>
          <w:top w:w="0" w:type="dxa"/>
          <w:left w:w="108" w:type="dxa"/>
          <w:bottom w:w="0" w:type="dxa"/>
          <w:right w:w="108" w:type="dxa"/>
        </w:tblCellMar>
      </w:tblPr>
      <w:tblGrid>
        <w:gridCol w:w="672"/>
        <w:gridCol w:w="1171"/>
        <w:gridCol w:w="142"/>
        <w:gridCol w:w="233"/>
        <w:gridCol w:w="2602"/>
        <w:gridCol w:w="709"/>
        <w:gridCol w:w="567"/>
        <w:gridCol w:w="142"/>
        <w:gridCol w:w="141"/>
        <w:gridCol w:w="142"/>
        <w:gridCol w:w="284"/>
        <w:gridCol w:w="283"/>
        <w:gridCol w:w="142"/>
        <w:gridCol w:w="57"/>
        <w:gridCol w:w="85"/>
        <w:gridCol w:w="141"/>
        <w:gridCol w:w="142"/>
        <w:gridCol w:w="284"/>
        <w:gridCol w:w="425"/>
        <w:gridCol w:w="142"/>
        <w:gridCol w:w="141"/>
        <w:gridCol w:w="142"/>
        <w:gridCol w:w="142"/>
        <w:gridCol w:w="142"/>
        <w:gridCol w:w="141"/>
        <w:gridCol w:w="142"/>
        <w:gridCol w:w="284"/>
        <w:gridCol w:w="283"/>
        <w:gridCol w:w="3386"/>
        <w:gridCol w:w="1717"/>
      </w:tblGrid>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序号</w:t>
            </w:r>
          </w:p>
        </w:tc>
        <w:tc>
          <w:tcPr>
            <w:tcW w:w="1546" w:type="dxa"/>
            <w:gridSpan w:val="3"/>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事项名称</w:t>
            </w:r>
          </w:p>
        </w:tc>
        <w:tc>
          <w:tcPr>
            <w:tcW w:w="4020" w:type="dxa"/>
            <w:gridSpan w:val="4"/>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市级目标任务</w:t>
            </w:r>
          </w:p>
        </w:tc>
        <w:tc>
          <w:tcPr>
            <w:tcW w:w="1049" w:type="dxa"/>
            <w:gridSpan w:val="6"/>
            <w:tcBorders>
              <w:top w:val="single" w:color="auto" w:sz="12" w:space="0"/>
              <w:left w:val="single" w:color="auto" w:sz="8" w:space="0"/>
              <w:bottom w:val="single" w:color="auto" w:sz="8" w:space="0"/>
              <w:right w:val="single" w:color="auto" w:sz="8" w:space="0"/>
            </w:tcBorders>
            <w:shd w:val="clear" w:color="auto" w:fill="auto"/>
            <w:noWrap/>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完成</w:t>
            </w:r>
          </w:p>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时限</w:t>
            </w:r>
          </w:p>
        </w:tc>
        <w:tc>
          <w:tcPr>
            <w:tcW w:w="1644" w:type="dxa"/>
            <w:gridSpan w:val="9"/>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区牵头部门/责任部门</w:t>
            </w:r>
          </w:p>
        </w:tc>
        <w:tc>
          <w:tcPr>
            <w:tcW w:w="4378" w:type="dxa"/>
            <w:gridSpan w:val="6"/>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落实措施、倒排计划</w:t>
            </w:r>
          </w:p>
        </w:tc>
        <w:tc>
          <w:tcPr>
            <w:tcW w:w="1717"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spacing w:line="260" w:lineRule="exact"/>
              <w:jc w:val="center"/>
              <w:rPr>
                <w:rFonts w:ascii="仿宋_GB2312" w:hAnsi="宋体" w:eastAsia="仿宋_GB2312" w:cs="宋体"/>
                <w:b/>
                <w:bCs/>
                <w:color w:val="000000"/>
                <w:kern w:val="0"/>
                <w:sz w:val="24"/>
              </w:rPr>
            </w:pPr>
            <w:r>
              <w:rPr>
                <w:rFonts w:hint="eastAsia" w:ascii="仿宋_GB2312" w:hAnsi="宋体" w:eastAsia="仿宋_GB2312" w:cs="宋体"/>
                <w:b/>
                <w:bCs/>
                <w:color w:val="000000"/>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8" w:space="0"/>
              <w:left w:val="single" w:color="auto" w:sz="12" w:space="0"/>
              <w:bottom w:val="single" w:color="auto" w:sz="8" w:space="0"/>
              <w:right w:val="single" w:color="auto" w:sz="8"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w:t>
            </w:r>
          </w:p>
        </w:tc>
        <w:tc>
          <w:tcPr>
            <w:tcW w:w="1546" w:type="dxa"/>
            <w:gridSpan w:val="3"/>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一、开办企业</w:t>
            </w:r>
          </w:p>
        </w:tc>
        <w:tc>
          <w:tcPr>
            <w:tcW w:w="402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压缩开办时间至</w:t>
            </w:r>
            <w:r>
              <w:rPr>
                <w:rFonts w:hint="eastAsia" w:ascii="仿宋_GB2312" w:eastAsia="仿宋_GB2312"/>
                <w:color w:val="000000"/>
                <w:kern w:val="0"/>
                <w:sz w:val="24"/>
              </w:rPr>
              <w:t>1</w:t>
            </w:r>
            <w:r>
              <w:rPr>
                <w:rFonts w:hint="eastAsia" w:ascii="仿宋_GB2312" w:hAnsi="宋体" w:eastAsia="仿宋_GB2312" w:cs="宋体"/>
                <w:color w:val="000000"/>
                <w:kern w:val="0"/>
                <w:sz w:val="24"/>
              </w:rPr>
              <w:t>个工作日以内。其中设立登记和公章刻制从</w:t>
            </w:r>
            <w:r>
              <w:rPr>
                <w:rFonts w:hint="eastAsia" w:ascii="仿宋_GB2312" w:eastAsia="仿宋_GB2312"/>
                <w:color w:val="000000"/>
                <w:kern w:val="0"/>
                <w:sz w:val="24"/>
              </w:rPr>
              <w:t>1.5</w:t>
            </w:r>
            <w:r>
              <w:rPr>
                <w:rFonts w:hint="eastAsia" w:ascii="仿宋_GB2312" w:hAnsi="宋体" w:eastAsia="仿宋_GB2312" w:cs="宋体"/>
                <w:color w:val="000000"/>
                <w:kern w:val="0"/>
                <w:sz w:val="24"/>
              </w:rPr>
              <w:t>个工作日压缩至</w:t>
            </w:r>
            <w:r>
              <w:rPr>
                <w:rFonts w:hint="eastAsia" w:ascii="仿宋_GB2312" w:eastAsia="仿宋_GB2312"/>
                <w:color w:val="000000"/>
                <w:kern w:val="0"/>
                <w:sz w:val="24"/>
              </w:rPr>
              <w:t>6</w:t>
            </w:r>
            <w:r>
              <w:rPr>
                <w:rFonts w:hint="eastAsia" w:ascii="仿宋_GB2312" w:hAnsi="宋体" w:eastAsia="仿宋_GB2312" w:cs="宋体"/>
                <w:color w:val="000000"/>
                <w:kern w:val="0"/>
                <w:sz w:val="24"/>
              </w:rPr>
              <w:t>个工作时（其中公章刻制</w:t>
            </w:r>
            <w:r>
              <w:rPr>
                <w:rFonts w:hint="eastAsia" w:ascii="仿宋_GB2312" w:eastAsia="仿宋_GB2312"/>
                <w:color w:val="000000"/>
                <w:kern w:val="0"/>
                <w:sz w:val="24"/>
              </w:rPr>
              <w:t>2</w:t>
            </w:r>
            <w:r>
              <w:rPr>
                <w:rFonts w:hint="eastAsia" w:ascii="仿宋_GB2312" w:hAnsi="宋体" w:eastAsia="仿宋_GB2312" w:cs="宋体"/>
                <w:color w:val="000000"/>
                <w:kern w:val="0"/>
                <w:sz w:val="24"/>
              </w:rPr>
              <w:t>个工作时），税务首次申领发票时限压缩由</w:t>
            </w:r>
            <w:r>
              <w:rPr>
                <w:rFonts w:hint="eastAsia" w:ascii="仿宋_GB2312" w:eastAsia="仿宋_GB2312"/>
                <w:color w:val="000000"/>
                <w:kern w:val="0"/>
                <w:sz w:val="24"/>
              </w:rPr>
              <w:t>0.5</w:t>
            </w:r>
            <w:r>
              <w:rPr>
                <w:rFonts w:hint="eastAsia" w:ascii="仿宋_GB2312" w:hAnsi="宋体" w:eastAsia="仿宋_GB2312" w:cs="宋体"/>
                <w:color w:val="000000"/>
                <w:kern w:val="0"/>
                <w:sz w:val="24"/>
              </w:rPr>
              <w:t>个工作日压缩至</w:t>
            </w:r>
            <w:r>
              <w:rPr>
                <w:rFonts w:hint="eastAsia" w:ascii="仿宋_GB2312" w:eastAsia="仿宋_GB2312"/>
                <w:color w:val="000000"/>
                <w:kern w:val="0"/>
                <w:sz w:val="24"/>
              </w:rPr>
              <w:t>2</w:t>
            </w:r>
            <w:r>
              <w:rPr>
                <w:rFonts w:hint="eastAsia" w:ascii="仿宋_GB2312" w:hAnsi="宋体" w:eastAsia="仿宋_GB2312" w:cs="宋体"/>
                <w:color w:val="000000"/>
                <w:kern w:val="0"/>
                <w:sz w:val="24"/>
              </w:rPr>
              <w:t>个工作时。</w:t>
            </w:r>
          </w:p>
        </w:tc>
        <w:tc>
          <w:tcPr>
            <w:tcW w:w="1049"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644" w:type="dxa"/>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区公安分局、税务局等</w:t>
            </w:r>
          </w:p>
        </w:tc>
        <w:tc>
          <w:tcPr>
            <w:tcW w:w="4378"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1.企业开办“一窗通办”受理后，申请件转交后台录入，办理时限压缩至4个工作时；</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2.企业设立登记结束后，将数据通过行政服务中心“一窗受理”平台同时发送到公安与税务部门，公章刻制2个工作时。</w:t>
            </w:r>
          </w:p>
        </w:tc>
        <w:tc>
          <w:tcPr>
            <w:tcW w:w="1717" w:type="dxa"/>
            <w:tcBorders>
              <w:top w:val="single" w:color="auto" w:sz="8" w:space="0"/>
              <w:left w:val="single" w:color="auto" w:sz="8" w:space="0"/>
              <w:bottom w:val="single" w:color="auto" w:sz="8"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  涛 13600788477</w:t>
            </w:r>
          </w:p>
        </w:tc>
      </w:tr>
      <w:tr>
        <w:tblPrEx>
          <w:tblCellMar>
            <w:top w:w="0" w:type="dxa"/>
            <w:left w:w="108" w:type="dxa"/>
            <w:bottom w:w="0" w:type="dxa"/>
            <w:right w:w="108" w:type="dxa"/>
          </w:tblCellMar>
        </w:tblPrEx>
        <w:trPr>
          <w:trHeight w:val="70" w:hRule="atLeast"/>
        </w:trPr>
        <w:tc>
          <w:tcPr>
            <w:tcW w:w="672" w:type="dxa"/>
            <w:tcBorders>
              <w:top w:val="single" w:color="auto" w:sz="8" w:space="0"/>
              <w:left w:val="single" w:color="auto" w:sz="12" w:space="0"/>
              <w:bottom w:val="single" w:color="auto" w:sz="8" w:space="0"/>
              <w:right w:val="single" w:color="auto" w:sz="8"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2</w:t>
            </w:r>
          </w:p>
        </w:tc>
        <w:tc>
          <w:tcPr>
            <w:tcW w:w="1546" w:type="dxa"/>
            <w:gridSpan w:val="3"/>
            <w:vMerge w:val="continue"/>
            <w:tcBorders>
              <w:top w:val="single" w:color="auto" w:sz="8" w:space="0"/>
              <w:left w:val="single" w:color="auto" w:sz="8" w:space="0"/>
              <w:bottom w:val="single" w:color="auto" w:sz="8" w:space="0"/>
              <w:right w:val="single" w:color="auto" w:sz="8" w:space="0"/>
            </w:tcBorders>
            <w:vAlign w:val="center"/>
          </w:tcPr>
          <w:p>
            <w:pPr>
              <w:widowControl/>
              <w:spacing w:line="260" w:lineRule="exact"/>
              <w:jc w:val="left"/>
              <w:rPr>
                <w:rFonts w:ascii="仿宋_GB2312" w:hAnsi="宋体" w:eastAsia="仿宋_GB2312" w:cs="宋体"/>
                <w:color w:val="000000"/>
                <w:kern w:val="0"/>
                <w:sz w:val="24"/>
              </w:rPr>
            </w:pPr>
          </w:p>
        </w:tc>
        <w:tc>
          <w:tcPr>
            <w:tcW w:w="4020"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提高企业设立登记便利化。全面使用经营范围规范目录，优化经营范围登记方式；持续推行住所（经营场所）申报承诺制，简化住所登记手续。加大对全程电子化登记系统的宣传与推广力度，积极引导申请人通过网上办理，实现设立登记全程无纸化办理。</w:t>
            </w:r>
          </w:p>
        </w:tc>
        <w:tc>
          <w:tcPr>
            <w:tcW w:w="1049"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644" w:type="dxa"/>
            <w:gridSpan w:val="9"/>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p>
        </w:tc>
        <w:tc>
          <w:tcPr>
            <w:tcW w:w="4378"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对于申请设立登记或办理经营范围变更的企业，指导企业按照市场监管总局统一制定的经营范围规范表述目录使用对应的经营范围表述条目通过勾选方式办理经营范围登记，办理经营范围变更的企业原登记经营范围也应按照经营范围规范表述目录进行规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2.市场主体登记执行住所（经营场所）申报承诺制；</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3.按照市局工作部署，积极引导申请人使用全程电子化登记系统进行网上办理。</w:t>
            </w:r>
          </w:p>
        </w:tc>
        <w:tc>
          <w:tcPr>
            <w:tcW w:w="1717" w:type="dxa"/>
            <w:tcBorders>
              <w:top w:val="single" w:color="auto" w:sz="8" w:space="0"/>
              <w:left w:val="single" w:color="auto" w:sz="8" w:space="0"/>
              <w:bottom w:val="single" w:color="auto" w:sz="8"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  涛 13600788477</w:t>
            </w:r>
          </w:p>
        </w:tc>
      </w:tr>
      <w:tr>
        <w:tblPrEx>
          <w:tblCellMar>
            <w:top w:w="0" w:type="dxa"/>
            <w:left w:w="108" w:type="dxa"/>
            <w:bottom w:w="0" w:type="dxa"/>
            <w:right w:w="108" w:type="dxa"/>
          </w:tblCellMar>
        </w:tblPrEx>
        <w:trPr>
          <w:trHeight w:val="70" w:hRule="atLeast"/>
        </w:trPr>
        <w:tc>
          <w:tcPr>
            <w:tcW w:w="672" w:type="dxa"/>
            <w:tcBorders>
              <w:top w:val="single" w:color="auto" w:sz="8" w:space="0"/>
              <w:left w:val="single" w:color="auto" w:sz="12" w:space="0"/>
              <w:bottom w:val="single" w:color="auto" w:sz="12" w:space="0"/>
              <w:right w:val="single" w:color="auto" w:sz="8"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w:t>
            </w:r>
          </w:p>
        </w:tc>
        <w:tc>
          <w:tcPr>
            <w:tcW w:w="1546" w:type="dxa"/>
            <w:gridSpan w:val="3"/>
            <w:vMerge w:val="continue"/>
            <w:tcBorders>
              <w:top w:val="single" w:color="auto" w:sz="8" w:space="0"/>
              <w:left w:val="single" w:color="auto" w:sz="8" w:space="0"/>
              <w:bottom w:val="single" w:color="auto" w:sz="12" w:space="0"/>
              <w:right w:val="single" w:color="auto" w:sz="8" w:space="0"/>
            </w:tcBorders>
            <w:vAlign w:val="center"/>
          </w:tcPr>
          <w:p>
            <w:pPr>
              <w:widowControl/>
              <w:spacing w:line="260" w:lineRule="exact"/>
              <w:jc w:val="left"/>
              <w:rPr>
                <w:rFonts w:ascii="仿宋_GB2312" w:hAnsi="宋体" w:eastAsia="仿宋_GB2312" w:cs="宋体"/>
                <w:color w:val="000000"/>
                <w:kern w:val="0"/>
                <w:sz w:val="24"/>
              </w:rPr>
            </w:pPr>
          </w:p>
        </w:tc>
        <w:tc>
          <w:tcPr>
            <w:tcW w:w="4020" w:type="dxa"/>
            <w:gridSpan w:val="4"/>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进一步拓展企业开办预约服务事项的范围。在全市范围内将预约用电、用水、用气、广电网络接入、互联网服务接入等纳入企业开办的套餐服务事项，各服务单位主动对接企业，提供靠前服务。</w:t>
            </w:r>
          </w:p>
        </w:tc>
        <w:tc>
          <w:tcPr>
            <w:tcW w:w="1049" w:type="dxa"/>
            <w:gridSpan w:val="6"/>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644" w:type="dxa"/>
            <w:gridSpan w:val="9"/>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区行政服务中心管委会、洛江供电服务中心、市自来水洛江分公司、广电网络洛江分公司、洛江电信公司、洛江移动通信公司、洛江联通公司</w:t>
            </w:r>
          </w:p>
        </w:tc>
        <w:tc>
          <w:tcPr>
            <w:tcW w:w="4378" w:type="dxa"/>
            <w:gridSpan w:val="6"/>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3月底前收集用电、用水、用气、广电网络接入、互联网服务接入相关材料；</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5月底前初步完成“一体化平台”上用水、用电、用气、互联网服务接入、广电网络接入等预约服务的功能配置。</w:t>
            </w:r>
          </w:p>
        </w:tc>
        <w:tc>
          <w:tcPr>
            <w:tcW w:w="1717"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8" w:space="0"/>
              <w:right w:val="single" w:color="auto" w:sz="8" w:space="0"/>
            </w:tcBorders>
            <w:shd w:val="clear" w:color="auto" w:fill="auto"/>
            <w:noWrap/>
            <w:vAlign w:val="center"/>
          </w:tcPr>
          <w:p>
            <w:pPr>
              <w:widowControl/>
              <w:spacing w:line="250" w:lineRule="exact"/>
              <w:jc w:val="center"/>
              <w:rPr>
                <w:rFonts w:ascii="仿宋_GB2312" w:eastAsia="仿宋_GB2312"/>
                <w:color w:val="000000"/>
                <w:kern w:val="0"/>
                <w:sz w:val="24"/>
              </w:rPr>
            </w:pPr>
            <w:r>
              <w:br w:type="page"/>
            </w:r>
            <w:r>
              <w:br w:type="page"/>
            </w:r>
            <w:r>
              <w:rPr>
                <w:rFonts w:hint="eastAsia" w:ascii="仿宋_GB2312" w:eastAsia="仿宋_GB2312"/>
                <w:color w:val="000000"/>
                <w:kern w:val="0"/>
                <w:sz w:val="24"/>
              </w:rPr>
              <w:t>序号</w:t>
            </w:r>
          </w:p>
        </w:tc>
        <w:tc>
          <w:tcPr>
            <w:tcW w:w="1313" w:type="dxa"/>
            <w:gridSpan w:val="2"/>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111" w:type="dxa"/>
            <w:gridSpan w:val="4"/>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2" w:type="dxa"/>
            <w:gridSpan w:val="5"/>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843" w:type="dxa"/>
            <w:gridSpan w:val="11"/>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378" w:type="dxa"/>
            <w:gridSpan w:val="6"/>
            <w:tcBorders>
              <w:top w:val="single" w:color="auto" w:sz="12"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single" w:color="auto" w:sz="8" w:space="0"/>
              <w:bottom w:val="single" w:color="auto" w:sz="8"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51" w:hRule="atLeast"/>
        </w:trPr>
        <w:tc>
          <w:tcPr>
            <w:tcW w:w="672" w:type="dxa"/>
            <w:tcBorders>
              <w:top w:val="single" w:color="auto" w:sz="8" w:space="0"/>
              <w:left w:val="single" w:color="auto" w:sz="12" w:space="0"/>
              <w:bottom w:val="single" w:color="auto" w:sz="8" w:space="0"/>
              <w:right w:val="single" w:color="auto" w:sz="8"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4</w:t>
            </w:r>
          </w:p>
        </w:tc>
        <w:tc>
          <w:tcPr>
            <w:tcW w:w="1313" w:type="dxa"/>
            <w:gridSpan w:val="2"/>
            <w:tcBorders>
              <w:top w:val="single" w:color="auto" w:sz="8" w:space="0"/>
              <w:left w:val="single" w:color="auto" w:sz="8" w:space="0"/>
              <w:bottom w:val="single" w:color="auto" w:sz="8" w:space="0"/>
              <w:right w:val="single" w:color="auto" w:sz="8" w:space="0"/>
            </w:tcBorders>
            <w:vAlign w:val="center"/>
          </w:tcPr>
          <w:p>
            <w:pPr>
              <w:widowControl/>
              <w:spacing w:line="25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一、开办企业</w:t>
            </w:r>
          </w:p>
        </w:tc>
        <w:tc>
          <w:tcPr>
            <w:tcW w:w="411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依托省里建成的企业开办全流程</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一网通办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平台，打通信息共享通道，全面实现全市企业开办设立登记、刻制印章、申领发票、申领税控设备、社保登记、住房公积金开户等事项</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一网通办、一次采集、一套材料、一口领取</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p>
        </w:tc>
        <w:tc>
          <w:tcPr>
            <w:tcW w:w="992"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区公安分局、税务局、医保分局、人社局、公积金洛江管理部</w:t>
            </w:r>
          </w:p>
        </w:tc>
        <w:tc>
          <w:tcPr>
            <w:tcW w:w="4378"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根据省里企业开办全流程“一网通办”平台建设进度，严格落实上级各阶段工作措施。</w:t>
            </w:r>
          </w:p>
        </w:tc>
        <w:tc>
          <w:tcPr>
            <w:tcW w:w="1717" w:type="dxa"/>
            <w:tcBorders>
              <w:top w:val="single" w:color="auto" w:sz="8" w:space="0"/>
              <w:left w:val="single" w:color="auto" w:sz="8" w:space="0"/>
              <w:bottom w:val="single" w:color="auto" w:sz="8"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  涛 13600788477</w:t>
            </w:r>
          </w:p>
        </w:tc>
      </w:tr>
      <w:tr>
        <w:tblPrEx>
          <w:tblCellMar>
            <w:top w:w="0" w:type="dxa"/>
            <w:left w:w="108" w:type="dxa"/>
            <w:bottom w:w="0" w:type="dxa"/>
            <w:right w:w="108" w:type="dxa"/>
          </w:tblCellMar>
        </w:tblPrEx>
        <w:trPr>
          <w:trHeight w:val="60" w:hRule="atLeast"/>
        </w:trPr>
        <w:tc>
          <w:tcPr>
            <w:tcW w:w="672" w:type="dxa"/>
            <w:tcBorders>
              <w:top w:val="single" w:color="auto" w:sz="8" w:space="0"/>
              <w:left w:val="single" w:color="auto" w:sz="12" w:space="0"/>
              <w:bottom w:val="single" w:color="auto" w:sz="8" w:space="0"/>
              <w:right w:val="single" w:color="auto" w:sz="8"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5</w:t>
            </w:r>
          </w:p>
        </w:tc>
        <w:tc>
          <w:tcPr>
            <w:tcW w:w="1313" w:type="dxa"/>
            <w:gridSpan w:val="2"/>
            <w:vMerge w:val="restart"/>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二、获得建筑许可</w:t>
            </w:r>
          </w:p>
        </w:tc>
        <w:tc>
          <w:tcPr>
            <w:tcW w:w="411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推行工建审批服务事项</w:t>
            </w:r>
            <w:r>
              <w:rPr>
                <w:rFonts w:hint="eastAsia" w:ascii="仿宋_GB2312" w:eastAsia="仿宋_GB2312"/>
                <w:color w:val="000000"/>
                <w:kern w:val="0"/>
                <w:sz w:val="24"/>
              </w:rPr>
              <w:t>“</w:t>
            </w:r>
            <w:r>
              <w:rPr>
                <w:rFonts w:hint="eastAsia" w:ascii="仿宋_GB2312" w:hAnsi="宋体" w:eastAsia="仿宋_GB2312" w:cs="宋体"/>
                <w:color w:val="000000"/>
                <w:kern w:val="0"/>
                <w:sz w:val="24"/>
              </w:rPr>
              <w:t>五级十五同</w:t>
            </w:r>
            <w:r>
              <w:rPr>
                <w:rFonts w:hint="eastAsia" w:ascii="仿宋_GB2312" w:eastAsia="仿宋_GB2312"/>
                <w:color w:val="000000"/>
                <w:kern w:val="0"/>
                <w:sz w:val="24"/>
              </w:rPr>
              <w:t>”</w:t>
            </w:r>
            <w:r>
              <w:rPr>
                <w:rFonts w:hint="eastAsia" w:ascii="仿宋_GB2312" w:hAnsi="宋体" w:eastAsia="仿宋_GB2312" w:cs="宋体"/>
                <w:color w:val="000000"/>
                <w:kern w:val="0"/>
                <w:sz w:val="24"/>
              </w:rPr>
              <w:t>，推动市、县、乡、村各级工建审批服务事项的事项名称、颗粒度、审查要点、办理条件等方面全市范围规范统一，形成事项标准化清单。</w:t>
            </w:r>
          </w:p>
        </w:tc>
        <w:tc>
          <w:tcPr>
            <w:tcW w:w="992"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3"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各工改成员单位</w:t>
            </w:r>
          </w:p>
        </w:tc>
        <w:tc>
          <w:tcPr>
            <w:tcW w:w="4378"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配合市级推进工建审批服务事项“五级十五同”，推动区、乡、村各级工建审批服务事项的事项名称、颗粒度、审查要点、办理条件等方面全区范围规范统一，形成事项标准化清单。</w:t>
            </w:r>
          </w:p>
        </w:tc>
        <w:tc>
          <w:tcPr>
            <w:tcW w:w="1717" w:type="dxa"/>
            <w:tcBorders>
              <w:top w:val="single" w:color="auto" w:sz="8" w:space="0"/>
              <w:left w:val="single" w:color="auto" w:sz="8" w:space="0"/>
              <w:bottom w:val="single" w:color="auto" w:sz="8" w:space="0"/>
              <w:right w:val="single" w:color="auto" w:sz="12" w:space="0"/>
            </w:tcBorders>
            <w:shd w:val="clear" w:color="auto" w:fill="auto"/>
            <w:vAlign w:val="center"/>
          </w:tcPr>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p>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page"/>
            </w:r>
          </w:p>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庄芯煌</w:t>
            </w:r>
          </w:p>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郑进桂28105520</w:t>
            </w:r>
          </w:p>
        </w:tc>
      </w:tr>
      <w:tr>
        <w:tblPrEx>
          <w:tblCellMar>
            <w:top w:w="0" w:type="dxa"/>
            <w:left w:w="108" w:type="dxa"/>
            <w:bottom w:w="0" w:type="dxa"/>
            <w:right w:w="108" w:type="dxa"/>
          </w:tblCellMar>
        </w:tblPrEx>
        <w:trPr>
          <w:trHeight w:val="554" w:hRule="atLeast"/>
        </w:trPr>
        <w:tc>
          <w:tcPr>
            <w:tcW w:w="672" w:type="dxa"/>
            <w:tcBorders>
              <w:top w:val="single" w:color="auto" w:sz="8" w:space="0"/>
              <w:left w:val="single" w:color="auto" w:sz="12" w:space="0"/>
              <w:bottom w:val="single" w:color="auto" w:sz="8" w:space="0"/>
              <w:right w:val="single" w:color="auto" w:sz="8"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6</w:t>
            </w:r>
          </w:p>
        </w:tc>
        <w:tc>
          <w:tcPr>
            <w:tcW w:w="1313" w:type="dxa"/>
            <w:gridSpan w:val="2"/>
            <w:vMerge w:val="continue"/>
            <w:tcBorders>
              <w:top w:val="single" w:color="auto" w:sz="8" w:space="0"/>
              <w:left w:val="single" w:color="auto" w:sz="8" w:space="0"/>
              <w:bottom w:val="single" w:color="auto" w:sz="8" w:space="0"/>
              <w:right w:val="single" w:color="auto" w:sz="8" w:space="0"/>
            </w:tcBorders>
            <w:vAlign w:val="center"/>
          </w:tcPr>
          <w:p>
            <w:pPr>
              <w:widowControl/>
              <w:spacing w:line="250" w:lineRule="exact"/>
              <w:jc w:val="left"/>
              <w:rPr>
                <w:rFonts w:ascii="仿宋_GB2312" w:hAnsi="宋体" w:eastAsia="仿宋_GB2312" w:cs="宋体"/>
                <w:color w:val="000000"/>
                <w:kern w:val="0"/>
                <w:sz w:val="24"/>
              </w:rPr>
            </w:pPr>
          </w:p>
        </w:tc>
        <w:tc>
          <w:tcPr>
            <w:tcW w:w="411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围绕涉及面广、办件量大的重点领域和高频事项，如</w:t>
            </w:r>
            <w:r>
              <w:rPr>
                <w:rFonts w:hint="eastAsia" w:ascii="仿宋_GB2312" w:eastAsia="仿宋_GB2312"/>
                <w:color w:val="000000"/>
                <w:kern w:val="0"/>
                <w:sz w:val="24"/>
              </w:rPr>
              <w:t>“</w:t>
            </w:r>
            <w:r>
              <w:rPr>
                <w:rFonts w:hint="eastAsia" w:ascii="仿宋_GB2312" w:hAnsi="宋体" w:eastAsia="仿宋_GB2312" w:cs="宋体"/>
                <w:color w:val="000000"/>
                <w:kern w:val="0"/>
                <w:sz w:val="24"/>
              </w:rPr>
              <w:t>办理房建（市政）工程施工许可</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r>
              <w:rPr>
                <w:rFonts w:hint="eastAsia" w:ascii="仿宋_GB2312" w:eastAsia="仿宋_GB2312"/>
                <w:color w:val="000000"/>
                <w:kern w:val="0"/>
                <w:sz w:val="24"/>
              </w:rPr>
              <w:t>“</w:t>
            </w:r>
            <w:r>
              <w:rPr>
                <w:rFonts w:hint="eastAsia" w:ascii="仿宋_GB2312" w:hAnsi="宋体" w:eastAsia="仿宋_GB2312" w:cs="宋体"/>
                <w:color w:val="000000"/>
                <w:kern w:val="0"/>
                <w:sz w:val="24"/>
              </w:rPr>
              <w:t>办理房建（市政）工程竣工验收</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r>
              <w:rPr>
                <w:rFonts w:hint="eastAsia" w:ascii="仿宋_GB2312" w:eastAsia="仿宋_GB2312"/>
                <w:color w:val="000000"/>
                <w:kern w:val="0"/>
                <w:sz w:val="24"/>
              </w:rPr>
              <w:t>“</w:t>
            </w:r>
            <w:r>
              <w:rPr>
                <w:rFonts w:hint="eastAsia" w:ascii="仿宋_GB2312" w:hAnsi="宋体" w:eastAsia="仿宋_GB2312" w:cs="宋体"/>
                <w:color w:val="000000"/>
                <w:kern w:val="0"/>
                <w:sz w:val="24"/>
              </w:rPr>
              <w:t>建设工程设计方案审查</w:t>
            </w:r>
            <w:r>
              <w:rPr>
                <w:rFonts w:hint="eastAsia" w:ascii="仿宋_GB2312" w:eastAsia="仿宋_GB2312"/>
                <w:color w:val="000000"/>
                <w:kern w:val="0"/>
                <w:sz w:val="24"/>
              </w:rPr>
              <w:t>”</w:t>
            </w:r>
            <w:r>
              <w:rPr>
                <w:rFonts w:hint="eastAsia" w:ascii="仿宋_GB2312" w:hAnsi="宋体" w:eastAsia="仿宋_GB2312" w:cs="宋体"/>
                <w:color w:val="000000"/>
                <w:kern w:val="0"/>
                <w:sz w:val="24"/>
              </w:rPr>
              <w:t>等全面梳理</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一件事</w:t>
            </w:r>
            <w:r>
              <w:rPr>
                <w:rFonts w:hint="eastAsia" w:ascii="仿宋_GB2312" w:eastAsia="仿宋_GB2312"/>
                <w:color w:val="000000"/>
                <w:kern w:val="0"/>
                <w:sz w:val="24"/>
              </w:rPr>
              <w:t>”</w:t>
            </w:r>
            <w:r>
              <w:rPr>
                <w:rFonts w:hint="eastAsia" w:ascii="仿宋_GB2312" w:hAnsi="宋体" w:eastAsia="仿宋_GB2312" w:cs="宋体"/>
                <w:color w:val="000000"/>
                <w:kern w:val="0"/>
                <w:sz w:val="24"/>
              </w:rPr>
              <w:t>办理路线图，变碎片式服务为集成套餐服务。加大审批信息数据共享，让企业减少纸质材料提供频次。</w:t>
            </w:r>
          </w:p>
        </w:tc>
        <w:tc>
          <w:tcPr>
            <w:tcW w:w="992"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3"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各工改成员单位</w:t>
            </w:r>
          </w:p>
        </w:tc>
        <w:tc>
          <w:tcPr>
            <w:tcW w:w="4378"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1.3月底梳理一批涉及面广、办件量大的重点领域和高频事项的工程建设项目“一件事”集成套餐服务；</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2.6月底对照市级梳理的工程建设项目“一件事”集成套餐服务，完善我区的工程建设项目“一件事”集成套餐服务。</w:t>
            </w:r>
          </w:p>
        </w:tc>
        <w:tc>
          <w:tcPr>
            <w:tcW w:w="1717" w:type="dxa"/>
            <w:tcBorders>
              <w:top w:val="single" w:color="auto" w:sz="8" w:space="0"/>
              <w:left w:val="single" w:color="auto" w:sz="8" w:space="0"/>
              <w:bottom w:val="single" w:color="auto" w:sz="8"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庄芯煌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郑进桂28105520</w:t>
            </w:r>
          </w:p>
        </w:tc>
      </w:tr>
      <w:tr>
        <w:tblPrEx>
          <w:tblCellMar>
            <w:top w:w="0" w:type="dxa"/>
            <w:left w:w="108" w:type="dxa"/>
            <w:bottom w:w="0" w:type="dxa"/>
            <w:right w:w="108" w:type="dxa"/>
          </w:tblCellMar>
        </w:tblPrEx>
        <w:trPr>
          <w:trHeight w:val="70" w:hRule="atLeast"/>
        </w:trPr>
        <w:tc>
          <w:tcPr>
            <w:tcW w:w="672" w:type="dxa"/>
            <w:tcBorders>
              <w:top w:val="single" w:color="auto" w:sz="8" w:space="0"/>
              <w:left w:val="single" w:color="auto" w:sz="12" w:space="0"/>
              <w:bottom w:val="single" w:color="auto" w:sz="8" w:space="0"/>
              <w:right w:val="single" w:color="auto" w:sz="8"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7</w:t>
            </w:r>
          </w:p>
        </w:tc>
        <w:tc>
          <w:tcPr>
            <w:tcW w:w="1313" w:type="dxa"/>
            <w:gridSpan w:val="2"/>
            <w:vMerge w:val="continue"/>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p>
        </w:tc>
        <w:tc>
          <w:tcPr>
            <w:tcW w:w="4111"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全面实施</w:t>
            </w:r>
            <w:r>
              <w:rPr>
                <w:rFonts w:hint="eastAsia" w:ascii="仿宋_GB2312" w:eastAsia="仿宋_GB2312"/>
                <w:color w:val="000000"/>
                <w:kern w:val="0"/>
                <w:sz w:val="24"/>
              </w:rPr>
              <w:t>“</w:t>
            </w:r>
            <w:r>
              <w:rPr>
                <w:rFonts w:hint="eastAsia" w:ascii="仿宋_GB2312" w:hAnsi="宋体" w:eastAsia="仿宋_GB2312" w:cs="宋体"/>
                <w:color w:val="000000"/>
                <w:kern w:val="0"/>
                <w:sz w:val="24"/>
              </w:rPr>
              <w:t>告知承诺制</w:t>
            </w:r>
            <w:r>
              <w:rPr>
                <w:rFonts w:hint="eastAsia" w:ascii="仿宋_GB2312" w:eastAsia="仿宋_GB2312"/>
                <w:color w:val="000000"/>
                <w:kern w:val="0"/>
                <w:sz w:val="24"/>
              </w:rPr>
              <w:t>”</w:t>
            </w:r>
            <w:r>
              <w:rPr>
                <w:rFonts w:hint="eastAsia" w:ascii="仿宋_GB2312" w:hAnsi="宋体" w:eastAsia="仿宋_GB2312" w:cs="宋体"/>
                <w:color w:val="000000"/>
                <w:kern w:val="0"/>
                <w:sz w:val="24"/>
              </w:rPr>
              <w:t>。除涉及国家安全、环保生态等重领域事项外，以告知承诺方式简化准入门槛，营造企业经营宽松环境，同时将承诺履约情况记入市场主体信用记录。</w:t>
            </w:r>
          </w:p>
        </w:tc>
        <w:tc>
          <w:tcPr>
            <w:tcW w:w="992"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3" w:type="dxa"/>
            <w:gridSpan w:val="11"/>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各工改成员单位</w:t>
            </w:r>
          </w:p>
        </w:tc>
        <w:tc>
          <w:tcPr>
            <w:tcW w:w="4378"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参照市级制定区级除涉及国家安全、环保生态等重领域事项外的“告知承诺制”，以告知承诺方式简化准入门槛，营造企业经营宽松环境，同时配合市级将承诺履约情况记入市场主体信用记录。</w:t>
            </w:r>
          </w:p>
        </w:tc>
        <w:tc>
          <w:tcPr>
            <w:tcW w:w="1717" w:type="dxa"/>
            <w:tcBorders>
              <w:top w:val="single" w:color="auto" w:sz="8" w:space="0"/>
              <w:left w:val="single" w:color="auto" w:sz="8" w:space="0"/>
              <w:bottom w:val="single" w:color="auto" w:sz="8"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庄芯煌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郑进桂28105520</w:t>
            </w:r>
          </w:p>
        </w:tc>
      </w:tr>
      <w:tr>
        <w:tblPrEx>
          <w:tblCellMar>
            <w:top w:w="0" w:type="dxa"/>
            <w:left w:w="108" w:type="dxa"/>
            <w:bottom w:w="0" w:type="dxa"/>
            <w:right w:w="108" w:type="dxa"/>
          </w:tblCellMar>
        </w:tblPrEx>
        <w:trPr>
          <w:trHeight w:val="70" w:hRule="atLeast"/>
        </w:trPr>
        <w:tc>
          <w:tcPr>
            <w:tcW w:w="672" w:type="dxa"/>
            <w:tcBorders>
              <w:top w:val="single" w:color="auto" w:sz="8" w:space="0"/>
              <w:left w:val="single" w:color="auto" w:sz="12" w:space="0"/>
              <w:bottom w:val="single" w:color="auto" w:sz="12" w:space="0"/>
              <w:right w:val="single" w:color="auto" w:sz="8"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8</w:t>
            </w:r>
          </w:p>
        </w:tc>
        <w:tc>
          <w:tcPr>
            <w:tcW w:w="1313" w:type="dxa"/>
            <w:gridSpan w:val="2"/>
            <w:vMerge w:val="continue"/>
            <w:tcBorders>
              <w:top w:val="single" w:color="auto" w:sz="8" w:space="0"/>
              <w:left w:val="single" w:color="auto" w:sz="8" w:space="0"/>
              <w:bottom w:val="single" w:color="auto" w:sz="12" w:space="0"/>
              <w:right w:val="single" w:color="auto" w:sz="8" w:space="0"/>
            </w:tcBorders>
            <w:vAlign w:val="center"/>
          </w:tcPr>
          <w:p>
            <w:pPr>
              <w:widowControl/>
              <w:spacing w:line="250" w:lineRule="exact"/>
              <w:jc w:val="left"/>
              <w:rPr>
                <w:rFonts w:ascii="仿宋_GB2312" w:hAnsi="宋体" w:eastAsia="仿宋_GB2312" w:cs="宋体"/>
                <w:color w:val="000000"/>
                <w:kern w:val="0"/>
                <w:sz w:val="24"/>
              </w:rPr>
            </w:pPr>
          </w:p>
        </w:tc>
        <w:tc>
          <w:tcPr>
            <w:tcW w:w="4111" w:type="dxa"/>
            <w:gridSpan w:val="4"/>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实施工建项目审批五张清单管理。实施</w:t>
            </w:r>
            <w:r>
              <w:rPr>
                <w:rFonts w:hint="eastAsia" w:ascii="仿宋_GB2312" w:eastAsia="仿宋_GB2312"/>
                <w:color w:val="000000"/>
                <w:kern w:val="0"/>
                <w:sz w:val="24"/>
              </w:rPr>
              <w:t>“</w:t>
            </w:r>
            <w:r>
              <w:rPr>
                <w:rFonts w:hint="eastAsia" w:ascii="仿宋_GB2312" w:hAnsi="宋体" w:eastAsia="仿宋_GB2312" w:cs="宋体"/>
                <w:color w:val="000000"/>
                <w:kern w:val="0"/>
                <w:sz w:val="24"/>
              </w:rPr>
              <w:t>取消审批事项清单</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r>
              <w:rPr>
                <w:rFonts w:hint="eastAsia" w:ascii="仿宋_GB2312" w:eastAsia="仿宋_GB2312"/>
                <w:color w:val="000000"/>
                <w:kern w:val="0"/>
                <w:sz w:val="24"/>
              </w:rPr>
              <w:t>“</w:t>
            </w:r>
            <w:r>
              <w:rPr>
                <w:rFonts w:hint="eastAsia" w:ascii="仿宋_GB2312" w:hAnsi="宋体" w:eastAsia="仿宋_GB2312" w:cs="宋体"/>
                <w:color w:val="000000"/>
                <w:kern w:val="0"/>
                <w:sz w:val="24"/>
              </w:rPr>
              <w:t>豁免办理事项清单</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r>
              <w:rPr>
                <w:rFonts w:hint="eastAsia" w:ascii="仿宋_GB2312" w:eastAsia="仿宋_GB2312"/>
                <w:color w:val="000000"/>
                <w:kern w:val="0"/>
                <w:sz w:val="24"/>
              </w:rPr>
              <w:t>“</w:t>
            </w:r>
            <w:r>
              <w:rPr>
                <w:rFonts w:hint="eastAsia" w:ascii="仿宋_GB2312" w:hAnsi="宋体" w:eastAsia="仿宋_GB2312" w:cs="宋体"/>
                <w:color w:val="000000"/>
                <w:kern w:val="0"/>
                <w:sz w:val="24"/>
              </w:rPr>
              <w:t>合并办理事项清单</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r>
              <w:rPr>
                <w:rFonts w:hint="eastAsia" w:ascii="仿宋_GB2312" w:eastAsia="仿宋_GB2312"/>
                <w:color w:val="000000"/>
                <w:kern w:val="0"/>
                <w:sz w:val="24"/>
              </w:rPr>
              <w:t>“</w:t>
            </w:r>
            <w:r>
              <w:rPr>
                <w:rFonts w:hint="eastAsia" w:ascii="仿宋_GB2312" w:hAnsi="宋体" w:eastAsia="仿宋_GB2312" w:cs="宋体"/>
                <w:color w:val="000000"/>
                <w:kern w:val="0"/>
                <w:sz w:val="24"/>
              </w:rPr>
              <w:t>保留审批事项清单</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r>
              <w:rPr>
                <w:rFonts w:hint="eastAsia" w:ascii="仿宋_GB2312" w:eastAsia="仿宋_GB2312"/>
                <w:color w:val="000000"/>
                <w:kern w:val="0"/>
                <w:sz w:val="24"/>
              </w:rPr>
              <w:t>“</w:t>
            </w:r>
            <w:r>
              <w:rPr>
                <w:rFonts w:hint="eastAsia" w:ascii="仿宋_GB2312" w:hAnsi="宋体" w:eastAsia="仿宋_GB2312" w:cs="宋体"/>
                <w:color w:val="000000"/>
                <w:kern w:val="0"/>
                <w:sz w:val="24"/>
              </w:rPr>
              <w:t>告知承诺事项清单</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p>
        </w:tc>
        <w:tc>
          <w:tcPr>
            <w:tcW w:w="992" w:type="dxa"/>
            <w:gridSpan w:val="5"/>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3" w:type="dxa"/>
            <w:gridSpan w:val="11"/>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各工改成员单位</w:t>
            </w:r>
          </w:p>
        </w:tc>
        <w:tc>
          <w:tcPr>
            <w:tcW w:w="4378" w:type="dxa"/>
            <w:gridSpan w:val="6"/>
            <w:tcBorders>
              <w:top w:val="single" w:color="auto" w:sz="8" w:space="0"/>
              <w:left w:val="single" w:color="auto" w:sz="8" w:space="0"/>
              <w:bottom w:val="single" w:color="auto" w:sz="12" w:space="0"/>
              <w:right w:val="single" w:color="auto" w:sz="8"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3月底前梳理出10大类工程建设项目的“取消审批事项清单”“豁免办理事项清单”“合并办理事项清单”“保留审批事项清单”“告知承诺事项清单”；</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4月底前完善工程建设审批系统功能；</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spacing w:val="-6"/>
                <w:kern w:val="0"/>
                <w:sz w:val="24"/>
              </w:rPr>
              <w:t>6月底前对照市级梳理发布工建项目审批五张清单，完善我区的工建项目审批五张清单。</w:t>
            </w:r>
          </w:p>
        </w:tc>
        <w:tc>
          <w:tcPr>
            <w:tcW w:w="1717" w:type="dxa"/>
            <w:tcBorders>
              <w:top w:val="single" w:color="auto" w:sz="8" w:space="0"/>
              <w:left w:val="single" w:color="auto" w:sz="8" w:space="0"/>
              <w:bottom w:val="single" w:color="auto" w:sz="12"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庄芯煌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郑进桂28105520</w:t>
            </w:r>
          </w:p>
        </w:tc>
      </w:tr>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313"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2"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843" w:type="dxa"/>
            <w:gridSpan w:val="11"/>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236"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9</w:t>
            </w:r>
          </w:p>
        </w:tc>
        <w:tc>
          <w:tcPr>
            <w:tcW w:w="1313"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二、获得建筑许可</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推进水、电、气等一窗联审。全面实现规划许可、绿化许可、掘路许可、占路许可等通过网上并联审批、限时办结，提高办事效率。将市级</w:t>
            </w:r>
            <w:r>
              <w:rPr>
                <w:rFonts w:hint="eastAsia" w:ascii="仿宋_GB2312" w:eastAsia="仿宋_GB2312"/>
                <w:color w:val="000000"/>
                <w:kern w:val="0"/>
                <w:sz w:val="24"/>
              </w:rPr>
              <w:t>“</w:t>
            </w:r>
            <w:r>
              <w:rPr>
                <w:rFonts w:hint="eastAsia" w:ascii="仿宋_GB2312" w:hAnsi="宋体" w:eastAsia="仿宋_GB2312" w:cs="宋体"/>
                <w:color w:val="000000"/>
                <w:kern w:val="0"/>
                <w:sz w:val="24"/>
              </w:rPr>
              <w:t>占用挖掘道路一件事</w:t>
            </w:r>
            <w:r>
              <w:rPr>
                <w:rFonts w:hint="eastAsia" w:ascii="仿宋_GB2312" w:eastAsia="仿宋_GB2312"/>
                <w:color w:val="000000"/>
                <w:kern w:val="0"/>
                <w:sz w:val="24"/>
              </w:rPr>
              <w:t>”</w:t>
            </w:r>
            <w:r>
              <w:rPr>
                <w:rFonts w:hint="eastAsia" w:ascii="仿宋_GB2312" w:hAnsi="宋体" w:eastAsia="仿宋_GB2312" w:cs="宋体"/>
                <w:color w:val="000000"/>
                <w:kern w:val="0"/>
                <w:sz w:val="24"/>
              </w:rPr>
              <w:t>等</w:t>
            </w:r>
            <w:r>
              <w:rPr>
                <w:rFonts w:hint="eastAsia" w:ascii="仿宋_GB2312" w:eastAsia="仿宋_GB2312"/>
                <w:color w:val="000000"/>
                <w:kern w:val="0"/>
                <w:sz w:val="24"/>
              </w:rPr>
              <w:t>“</w:t>
            </w:r>
            <w:r>
              <w:rPr>
                <w:rFonts w:hint="eastAsia" w:ascii="仿宋_GB2312" w:hAnsi="宋体" w:eastAsia="仿宋_GB2312" w:cs="宋体"/>
                <w:color w:val="000000"/>
                <w:kern w:val="0"/>
                <w:sz w:val="24"/>
              </w:rPr>
              <w:t>无差别一窗受理</w:t>
            </w:r>
            <w:r>
              <w:rPr>
                <w:rFonts w:hint="eastAsia" w:ascii="仿宋_GB2312" w:eastAsia="仿宋_GB2312"/>
                <w:color w:val="000000"/>
                <w:kern w:val="0"/>
                <w:sz w:val="24"/>
              </w:rPr>
              <w:t>”</w:t>
            </w:r>
            <w:r>
              <w:rPr>
                <w:rFonts w:hint="eastAsia" w:ascii="仿宋_GB2312" w:hAnsi="宋体" w:eastAsia="仿宋_GB2312" w:cs="宋体"/>
                <w:color w:val="000000"/>
                <w:kern w:val="0"/>
                <w:sz w:val="24"/>
              </w:rPr>
              <w:t>服务模式延伸应用到县（市、区）。</w:t>
            </w:r>
          </w:p>
        </w:tc>
        <w:tc>
          <w:tcPr>
            <w:tcW w:w="992"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3"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区城管局、洛江供电服务中心、市自来水洛江分公司、交警大队</w:t>
            </w:r>
          </w:p>
        </w:tc>
        <w:tc>
          <w:tcPr>
            <w:tcW w:w="423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协调供电部门入驻区行政服务中心，推进水、电、气等一窗联审；按市级要求推进规划许可、绿化许可、掘路许可、占路许可等通过网上并联审批、限时办结；对接市级“占用挖掘道路一件事”等“无差别一窗受理”服务模式。</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庄芯煌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郑进桂28105520</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10</w:t>
            </w:r>
          </w:p>
        </w:tc>
        <w:tc>
          <w:tcPr>
            <w:tcW w:w="13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强化审批服务中介超市管理。按照</w:t>
            </w:r>
            <w:r>
              <w:rPr>
                <w:rFonts w:hint="eastAsia" w:ascii="仿宋_GB2312" w:eastAsia="仿宋_GB2312"/>
                <w:color w:val="000000"/>
                <w:kern w:val="0"/>
                <w:sz w:val="24"/>
              </w:rPr>
              <w:t>“</w:t>
            </w:r>
            <w:r>
              <w:rPr>
                <w:rFonts w:hint="eastAsia" w:ascii="仿宋_GB2312" w:hAnsi="宋体" w:eastAsia="仿宋_GB2312" w:cs="宋体"/>
                <w:color w:val="000000"/>
                <w:kern w:val="0"/>
                <w:sz w:val="24"/>
              </w:rPr>
              <w:t>谁主管、谁负责</w:t>
            </w:r>
            <w:r>
              <w:rPr>
                <w:rFonts w:hint="eastAsia" w:ascii="仿宋_GB2312" w:eastAsia="仿宋_GB2312"/>
                <w:color w:val="000000"/>
                <w:kern w:val="0"/>
                <w:sz w:val="24"/>
              </w:rPr>
              <w:t>”</w:t>
            </w:r>
            <w:r>
              <w:rPr>
                <w:rFonts w:hint="eastAsia" w:ascii="仿宋_GB2312" w:hAnsi="宋体" w:eastAsia="仿宋_GB2312" w:cs="宋体"/>
                <w:color w:val="000000"/>
                <w:kern w:val="0"/>
                <w:sz w:val="24"/>
              </w:rPr>
              <w:t>原则，督促各行业主管部门进一步制定本行业中介服务示范文件、中介服务惩戒机制，同时运用信用评价结果联合推行</w:t>
            </w:r>
            <w:r>
              <w:rPr>
                <w:rFonts w:hint="eastAsia" w:ascii="仿宋_GB2312" w:eastAsia="仿宋_GB2312"/>
                <w:color w:val="000000"/>
                <w:kern w:val="0"/>
                <w:sz w:val="24"/>
              </w:rPr>
              <w:t>“</w:t>
            </w:r>
            <w:r>
              <w:rPr>
                <w:rFonts w:hint="eastAsia" w:ascii="仿宋_GB2312" w:hAnsi="宋体" w:eastAsia="仿宋_GB2312" w:cs="宋体"/>
                <w:color w:val="000000"/>
                <w:kern w:val="0"/>
                <w:sz w:val="24"/>
              </w:rPr>
              <w:t>红黑榜</w:t>
            </w:r>
            <w:r>
              <w:rPr>
                <w:rFonts w:hint="eastAsia" w:ascii="仿宋_GB2312" w:eastAsia="仿宋_GB2312"/>
                <w:color w:val="000000"/>
                <w:kern w:val="0"/>
                <w:sz w:val="24"/>
              </w:rPr>
              <w:t>”</w:t>
            </w:r>
            <w:r>
              <w:rPr>
                <w:rFonts w:hint="eastAsia" w:ascii="仿宋_GB2312" w:hAnsi="宋体" w:eastAsia="仿宋_GB2312" w:cs="宋体"/>
                <w:color w:val="000000"/>
                <w:kern w:val="0"/>
                <w:sz w:val="24"/>
              </w:rPr>
              <w:t>制度。</w:t>
            </w:r>
          </w:p>
        </w:tc>
        <w:tc>
          <w:tcPr>
            <w:tcW w:w="992"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3"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区发改局（审改办）、各行业主管部门</w:t>
            </w:r>
          </w:p>
        </w:tc>
        <w:tc>
          <w:tcPr>
            <w:tcW w:w="423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3月底前配合市级做好中介超市“红黑榜”制度信用评价对接需求；</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6月底前督促各行业主管部门进一步制定本行业中介服务示范文件、中介服务惩戒机制，强化审批服务中介超市管理。</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172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w:t>
            </w:r>
          </w:p>
        </w:tc>
        <w:tc>
          <w:tcPr>
            <w:tcW w:w="1313"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进一步强化</w:t>
            </w:r>
            <w:r>
              <w:rPr>
                <w:rFonts w:hint="eastAsia" w:ascii="仿宋_GB2312" w:eastAsia="仿宋_GB2312"/>
                <w:color w:val="000000"/>
                <w:kern w:val="0"/>
                <w:sz w:val="24"/>
              </w:rPr>
              <w:t>“</w:t>
            </w:r>
            <w:r>
              <w:rPr>
                <w:rFonts w:hint="eastAsia" w:ascii="仿宋_GB2312" w:hAnsi="宋体" w:eastAsia="仿宋_GB2312" w:cs="宋体"/>
                <w:color w:val="000000"/>
                <w:kern w:val="0"/>
                <w:sz w:val="24"/>
              </w:rPr>
              <w:t>多规合一</w:t>
            </w:r>
            <w:r>
              <w:rPr>
                <w:rFonts w:hint="eastAsia" w:ascii="仿宋_GB2312" w:eastAsia="仿宋_GB2312"/>
                <w:color w:val="000000"/>
                <w:kern w:val="0"/>
                <w:sz w:val="24"/>
              </w:rPr>
              <w:t>”</w:t>
            </w:r>
            <w:r>
              <w:rPr>
                <w:rFonts w:hint="eastAsia" w:ascii="仿宋_GB2312" w:hAnsi="宋体" w:eastAsia="仿宋_GB2312" w:cs="宋体"/>
                <w:color w:val="000000"/>
                <w:kern w:val="0"/>
                <w:sz w:val="24"/>
              </w:rPr>
              <w:t>平台项目前期论证机制。运用</w:t>
            </w:r>
            <w:r>
              <w:rPr>
                <w:rFonts w:hint="eastAsia" w:ascii="仿宋_GB2312" w:eastAsia="仿宋_GB2312"/>
                <w:color w:val="000000"/>
                <w:kern w:val="0"/>
                <w:sz w:val="24"/>
              </w:rPr>
              <w:t>“</w:t>
            </w:r>
            <w:r>
              <w:rPr>
                <w:rFonts w:hint="eastAsia" w:ascii="仿宋_GB2312" w:hAnsi="宋体" w:eastAsia="仿宋_GB2312" w:cs="宋体"/>
                <w:color w:val="000000"/>
                <w:kern w:val="0"/>
                <w:sz w:val="24"/>
              </w:rPr>
              <w:t>多规合一</w:t>
            </w:r>
            <w:r>
              <w:rPr>
                <w:rFonts w:hint="eastAsia" w:ascii="仿宋_GB2312" w:eastAsia="仿宋_GB2312"/>
                <w:color w:val="000000"/>
                <w:kern w:val="0"/>
                <w:sz w:val="24"/>
              </w:rPr>
              <w:t>”</w:t>
            </w:r>
            <w:r>
              <w:rPr>
                <w:rFonts w:hint="eastAsia" w:ascii="仿宋_GB2312" w:hAnsi="宋体" w:eastAsia="仿宋_GB2312" w:cs="宋体"/>
                <w:color w:val="000000"/>
                <w:kern w:val="0"/>
                <w:sz w:val="24"/>
              </w:rPr>
              <w:t>业务协同平台对新项目的各类红线规划进行核验，责任部门提前介入，组织专门机构及专家对项目前期设计方案进行论证，完善项目前期准备工作。同时，切实增强项目设计方案的严谨性，对纳入《三年滚动计划清单》的项目方案，不得随意更改。</w:t>
            </w:r>
          </w:p>
        </w:tc>
        <w:tc>
          <w:tcPr>
            <w:tcW w:w="992"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843" w:type="dxa"/>
            <w:gridSpan w:val="11"/>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区自然资源局、发改局</w:t>
            </w:r>
          </w:p>
        </w:tc>
        <w:tc>
          <w:tcPr>
            <w:tcW w:w="423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已经运用“多规合一”业务协同平台，工程建设项目全部要求在用管系统办理。所有工程建设项目均通过福建省国土空间用途管制系统，对新项目的各类红线规划自动进行核验。</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林军南13178208097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张萍萍28105511</w:t>
            </w:r>
          </w:p>
        </w:tc>
      </w:tr>
      <w:tr>
        <w:tblPrEx>
          <w:tblCellMar>
            <w:top w:w="0" w:type="dxa"/>
            <w:left w:w="108" w:type="dxa"/>
            <w:bottom w:w="0" w:type="dxa"/>
            <w:right w:w="108" w:type="dxa"/>
          </w:tblCellMar>
        </w:tblPrEx>
        <w:trPr>
          <w:trHeight w:val="168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w:t>
            </w:r>
          </w:p>
        </w:tc>
        <w:tc>
          <w:tcPr>
            <w:tcW w:w="1313" w:type="dxa"/>
            <w:gridSpan w:val="2"/>
            <w:vMerge w:val="continue"/>
            <w:tcBorders>
              <w:top w:val="single" w:color="auto" w:sz="4" w:space="0"/>
              <w:left w:val="single" w:color="auto" w:sz="4" w:space="0"/>
              <w:bottom w:val="single" w:color="auto" w:sz="12"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在我市各类开发区、工业园区等特定区域内，开展工程建设项目区域评估工作，提前完成工程建设项目开工前有关前置性评估评审工作，形成整体性、区域化评估结果，并全部免费提供给区域内工程建设项目共享使用。在符合法律法规前提下，不得再要求项目单位单独办理相关评估评审事项，并在全市范围内实行成果共享、结果互认。</w:t>
            </w:r>
          </w:p>
        </w:tc>
        <w:tc>
          <w:tcPr>
            <w:tcW w:w="992"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11"/>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区行政服务中心管委会、住建局、发改局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各工改成员单位</w:t>
            </w:r>
          </w:p>
        </w:tc>
        <w:tc>
          <w:tcPr>
            <w:tcW w:w="4236"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开展智谷（泉州）万洋高新科技产业园的工程建设项目区域评估工作，探讨全区各类开发区、工业园区等特定区域推广工程建设项目区域评估工作。</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庄芯煌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郑进桂28105520</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赖秀鸿28105521</w:t>
            </w:r>
          </w:p>
        </w:tc>
      </w:tr>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313"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701"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236"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13</w:t>
            </w:r>
          </w:p>
        </w:tc>
        <w:tc>
          <w:tcPr>
            <w:tcW w:w="1313" w:type="dxa"/>
            <w:gridSpan w:val="2"/>
            <w:vMerge w:val="restart"/>
            <w:tcBorders>
              <w:top w:val="single" w:color="auto" w:sz="4" w:space="0"/>
              <w:left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二、获得建筑许可</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2"/>
                <w:kern w:val="0"/>
                <w:sz w:val="24"/>
              </w:rPr>
            </w:pPr>
            <w:r>
              <w:rPr>
                <w:rFonts w:hint="eastAsia" w:ascii="仿宋_GB2312" w:hAnsi="宋体" w:eastAsia="仿宋_GB2312" w:cs="宋体"/>
                <w:color w:val="000000"/>
                <w:spacing w:val="-2"/>
                <w:kern w:val="0"/>
                <w:sz w:val="24"/>
              </w:rPr>
              <w:t>提升工建项目平台运行和管理水平。完善市、县两级工程建设项目审批平台功能，与省监管平台和市级相关审批系统互联对接和数据共享，实现泉州市工程建设项目从立项到竣工的全流程审批信息汇聚，实现一地申请、全市通办，落实工程建设项目审批服务时限压缩至</w:t>
            </w:r>
            <w:r>
              <w:rPr>
                <w:rFonts w:hint="eastAsia" w:ascii="仿宋_GB2312" w:eastAsia="仿宋_GB2312"/>
                <w:color w:val="000000"/>
                <w:spacing w:val="-2"/>
                <w:kern w:val="0"/>
                <w:sz w:val="24"/>
              </w:rPr>
              <w:t>90</w:t>
            </w:r>
            <w:r>
              <w:rPr>
                <w:rFonts w:hint="eastAsia" w:ascii="仿宋_GB2312" w:hAnsi="宋体" w:eastAsia="仿宋_GB2312" w:cs="宋体"/>
                <w:color w:val="000000"/>
                <w:spacing w:val="-2"/>
                <w:kern w:val="0"/>
                <w:sz w:val="24"/>
              </w:rPr>
              <w:t>个工作日内的目标。</w:t>
            </w:r>
          </w:p>
        </w:tc>
        <w:tc>
          <w:tcPr>
            <w:tcW w:w="1134"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各工改成员</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单位</w:t>
            </w:r>
          </w:p>
        </w:tc>
        <w:tc>
          <w:tcPr>
            <w:tcW w:w="423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区级工程建设项目审批平台功能，配合市级做好与省监管平台互联对接和数据共享，实现工程建设项目从立项到竣工的全流程审批信息汇聚，实现一地申请、全市通办，落实工程建设项目审批服务时限压缩至90个工作日内的目标。</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169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14</w:t>
            </w:r>
          </w:p>
        </w:tc>
        <w:tc>
          <w:tcPr>
            <w:tcW w:w="1313" w:type="dxa"/>
            <w:gridSpan w:val="2"/>
            <w:vMerge w:val="continue"/>
            <w:tcBorders>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依托市工程建设项目审批平台，全面落实集成服务模式，对社会投资的工业类新建项目，由政府部门发布统一的企业开工条件，企业取得用地、满足开工条件后作出相关承诺，部门直接发放相关证书，实现工业投资项目</w:t>
            </w:r>
            <w:r>
              <w:rPr>
                <w:rFonts w:hint="eastAsia" w:ascii="仿宋_GB2312" w:eastAsia="仿宋_GB2312"/>
                <w:color w:val="000000"/>
                <w:kern w:val="0"/>
                <w:sz w:val="24"/>
              </w:rPr>
              <w:t>“</w:t>
            </w:r>
            <w:r>
              <w:rPr>
                <w:rFonts w:hint="eastAsia" w:ascii="仿宋_GB2312" w:hAnsi="宋体" w:eastAsia="仿宋_GB2312" w:cs="宋体"/>
                <w:color w:val="000000"/>
                <w:kern w:val="0"/>
                <w:sz w:val="24"/>
              </w:rPr>
              <w:t>拿地即开工</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p>
        </w:tc>
        <w:tc>
          <w:tcPr>
            <w:tcW w:w="1134"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区行政服务中心管委会、住建局、自然资源局、发改局</w:t>
            </w:r>
          </w:p>
        </w:tc>
        <w:tc>
          <w:tcPr>
            <w:tcW w:w="423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积极参与市里推动社会投资工业类新建项目“拿地即开工”前期筹备工作，及时落实市里发布的企业开工条件，在企业取得用地、满足开工条件后作出相关承诺，部门直接发放相关证书。</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庄芯煌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郑进桂28105520</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赖秀鸿28105521</w:t>
            </w:r>
          </w:p>
        </w:tc>
      </w:tr>
      <w:tr>
        <w:tblPrEx>
          <w:tblCellMar>
            <w:top w:w="0" w:type="dxa"/>
            <w:left w:w="108" w:type="dxa"/>
            <w:bottom w:w="0" w:type="dxa"/>
            <w:right w:w="108" w:type="dxa"/>
          </w:tblCellMar>
        </w:tblPrEx>
        <w:trPr>
          <w:trHeight w:val="557"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15</w:t>
            </w:r>
          </w:p>
        </w:tc>
        <w:tc>
          <w:tcPr>
            <w:tcW w:w="1313"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三、获得</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电力</w:t>
            </w: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高压单电源用户、高压双电源用户的合计办理时间分别压减至</w:t>
            </w:r>
            <w:r>
              <w:rPr>
                <w:rFonts w:hint="eastAsia" w:ascii="仿宋_GB2312" w:eastAsia="仿宋_GB2312"/>
                <w:color w:val="000000"/>
                <w:kern w:val="0"/>
                <w:sz w:val="24"/>
              </w:rPr>
              <w:t>22</w:t>
            </w:r>
            <w:r>
              <w:rPr>
                <w:rFonts w:hint="eastAsia" w:ascii="仿宋_GB2312" w:hAnsi="宋体" w:eastAsia="仿宋_GB2312" w:cs="宋体"/>
                <w:color w:val="000000"/>
                <w:kern w:val="0"/>
                <w:sz w:val="24"/>
              </w:rPr>
              <w:t>个、</w:t>
            </w:r>
            <w:r>
              <w:rPr>
                <w:rFonts w:hint="eastAsia" w:ascii="仿宋_GB2312" w:eastAsia="仿宋_GB2312"/>
                <w:color w:val="000000"/>
                <w:kern w:val="0"/>
                <w:sz w:val="24"/>
              </w:rPr>
              <w:t>32</w:t>
            </w:r>
            <w:r>
              <w:rPr>
                <w:rFonts w:hint="eastAsia" w:ascii="仿宋_GB2312" w:hAnsi="宋体" w:eastAsia="仿宋_GB2312" w:cs="宋体"/>
                <w:color w:val="000000"/>
                <w:kern w:val="0"/>
                <w:sz w:val="24"/>
              </w:rPr>
              <w:t>个工作日内送电。</w:t>
            </w:r>
          </w:p>
        </w:tc>
        <w:tc>
          <w:tcPr>
            <w:tcW w:w="1134"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洛江供电</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服务中心</w:t>
            </w:r>
          </w:p>
        </w:tc>
        <w:tc>
          <w:tcPr>
            <w:tcW w:w="4236"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1.全面推广“先导式”办电和“阳光业扩一站通”平台，深化移动作业终端应用，压减方案答复时间及配套工程建设时间。</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2.推动电力工程占用挖掘道路线上联合审批，审批时间压减至5天内。</w:t>
            </w:r>
            <w:r>
              <w:rPr>
                <w:rFonts w:hint="eastAsia" w:ascii="仿宋_GB2312" w:hAnsi="宋体" w:eastAsia="仿宋_GB2312" w:cs="宋体"/>
                <w:color w:val="000000"/>
                <w:kern w:val="0"/>
                <w:sz w:val="24"/>
              </w:rPr>
              <w:br w:type="page"/>
            </w:r>
          </w:p>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对大中型企业客户，简化竣工检验内容，重点检查与电网相连接的、自动化装置、电能计量装置、谐波治理装置和多电源闭锁装置，取消对客户内部非涉网设备施工质量、运行规章制度、安全措施的检查;推行跨专业联合验收，一次性答复验收意见；对小微企业客户，具备直接装表条件的，现场查勘时直接装表送电；涉及配套电网工程建设的，在工程完工当日装表送电。</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  岷 13959876510</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王高林 13067081666</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313"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2835" w:type="dxa"/>
            <w:gridSpan w:val="2"/>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2"/>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417"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5796" w:type="dxa"/>
            <w:gridSpan w:val="13"/>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293"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16</w:t>
            </w:r>
          </w:p>
        </w:tc>
        <w:tc>
          <w:tcPr>
            <w:tcW w:w="131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三、获得</w:t>
            </w:r>
          </w:p>
          <w:p>
            <w:pPr>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电力</w:t>
            </w: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居民用户、低压非居民用户从报装申请到装表接电的全过程办电时间分别压减至</w:t>
            </w:r>
            <w:r>
              <w:rPr>
                <w:rFonts w:hint="eastAsia" w:ascii="仿宋_GB2312" w:eastAsia="仿宋_GB2312"/>
                <w:color w:val="000000"/>
                <w:kern w:val="0"/>
                <w:sz w:val="24"/>
              </w:rPr>
              <w:t>5</w:t>
            </w:r>
            <w:r>
              <w:rPr>
                <w:rFonts w:hint="eastAsia" w:ascii="仿宋_GB2312" w:hAnsi="宋体" w:eastAsia="仿宋_GB2312" w:cs="宋体"/>
                <w:color w:val="000000"/>
                <w:kern w:val="0"/>
                <w:sz w:val="24"/>
              </w:rPr>
              <w:t>个、</w:t>
            </w:r>
            <w:r>
              <w:rPr>
                <w:rFonts w:hint="eastAsia" w:ascii="仿宋_GB2312" w:eastAsia="仿宋_GB2312"/>
                <w:color w:val="000000"/>
                <w:kern w:val="0"/>
                <w:sz w:val="24"/>
              </w:rPr>
              <w:t>13</w:t>
            </w:r>
            <w:r>
              <w:rPr>
                <w:rFonts w:hint="eastAsia" w:ascii="仿宋_GB2312" w:hAnsi="宋体" w:eastAsia="仿宋_GB2312" w:cs="宋体"/>
                <w:color w:val="000000"/>
                <w:kern w:val="0"/>
                <w:sz w:val="24"/>
              </w:rPr>
              <w:t>个工作日以内。</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洛江供电服务中心</w:t>
            </w:r>
          </w:p>
        </w:tc>
        <w:tc>
          <w:tcPr>
            <w:tcW w:w="5796" w:type="dxa"/>
            <w:gridSpan w:val="1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1.实行“一码办电”“一证受理”，向客户提供低压申请单、一次性告知书、缺件告知书、智能缴费协议等相关资料等相关材料，并对其用电需求及现场情况进行事先了解沟通。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2.引导客户通过掌上电力APP、95598网站、片区服务电话等渠道受理的报装业务，24小时内确认客户报装需求并传递勘查人员。</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勘查人员（片区经理）与装表施工人员受理第2个工作日前到客户用电现场勘查，若现场符合用电报装条件，在客户补全办电缺件资料后，当场填写《低压供电方案答复书》、装拆表工单、供用电合同等资料并让客户签字确认，装表施工人员同时进行装表接电。</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  岷 13959876510</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王高林 13067081666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17</w:t>
            </w:r>
          </w:p>
        </w:tc>
        <w:tc>
          <w:tcPr>
            <w:tcW w:w="131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积极推动占、掘路一窗联审机制打通市区县三级业务壁垒，贯通一体化平台系统功能多级联动，实现联审机制市区县一体落地执行。</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洛江供电服务中心</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区行政服务中心管委会</w:t>
            </w:r>
          </w:p>
        </w:tc>
        <w:tc>
          <w:tcPr>
            <w:tcW w:w="5796" w:type="dxa"/>
            <w:gridSpan w:val="13"/>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已按照泉洛行政管〔2019〕25号《关于电力工程占用挖掘道路等实施“一窗式”联审的通知》要求实行占、掘路一窗联审机制，实现电力工程占用挖掘道路线上联合审批。</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  岷 13959876510</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王高林 13067081666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18</w:t>
            </w:r>
          </w:p>
        </w:tc>
        <w:tc>
          <w:tcPr>
            <w:tcW w:w="1313"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2835"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加快电子证照的推广应用，在线获取和验证营业执照、不动产登记等用电报装信息，实现企业用户</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一证办电</w:t>
            </w:r>
            <w:r>
              <w:rPr>
                <w:rFonts w:hint="eastAsia" w:ascii="仿宋_GB2312" w:eastAsia="仿宋_GB2312"/>
                <w:color w:val="000000"/>
                <w:kern w:val="0"/>
                <w:sz w:val="24"/>
              </w:rPr>
              <w:t>”</w:t>
            </w:r>
            <w:r>
              <w:rPr>
                <w:rFonts w:hint="eastAsia" w:ascii="仿宋_GB2312" w:hAnsi="宋体" w:eastAsia="仿宋_GB2312" w:cs="宋体"/>
                <w:color w:val="000000"/>
                <w:kern w:val="0"/>
                <w:sz w:val="24"/>
              </w:rPr>
              <w:t>和</w:t>
            </w:r>
            <w:r>
              <w:rPr>
                <w:rFonts w:hint="eastAsia" w:ascii="仿宋_GB2312" w:eastAsia="仿宋_GB2312"/>
                <w:color w:val="000000"/>
                <w:kern w:val="0"/>
                <w:sz w:val="24"/>
              </w:rPr>
              <w:t>“</w:t>
            </w:r>
            <w:r>
              <w:rPr>
                <w:rFonts w:hint="eastAsia" w:ascii="仿宋_GB2312" w:hAnsi="宋体" w:eastAsia="仿宋_GB2312" w:cs="宋体"/>
                <w:color w:val="000000"/>
                <w:kern w:val="0"/>
                <w:sz w:val="24"/>
              </w:rPr>
              <w:t>不见面办电</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洛江供电服务中心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区行政服务中心管委会</w:t>
            </w:r>
          </w:p>
        </w:tc>
        <w:tc>
          <w:tcPr>
            <w:tcW w:w="5796" w:type="dxa"/>
            <w:gridSpan w:val="13"/>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全面推行“互联网+”营销服务，提供“掌上电力”手机APP、95598网站等渠道，实现客户线上自助提交申请资料、高压新增增容等3项复杂业务“最多跑-趟”；推广移动作业终端应用，实现客户服务、业扩勘查、竣工验收、欠费复电作业的移动应用。</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2.居民客户：对己实现政企信息联动，自动获取客户用地权属证明的，可不需要客户提供；对于未实现政企联动，如客户申请时未提供用地权属证明的，在签署承诺书后受理申请。</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3.非居民客户：已提供加载统一社会信用代码的营业执照的，不再要求提供组织机构代码和税务登记证明。</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  岷 13959876510</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王高林 13067081666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19</w:t>
            </w:r>
          </w:p>
        </w:tc>
        <w:tc>
          <w:tcPr>
            <w:tcW w:w="1313" w:type="dxa"/>
            <w:gridSpan w:val="2"/>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2835" w:type="dxa"/>
            <w:gridSpan w:val="2"/>
            <w:tcBorders>
              <w:top w:val="single" w:color="auto" w:sz="4" w:space="0"/>
              <w:left w:val="nil"/>
              <w:bottom w:val="single" w:color="auto" w:sz="12" w:space="0"/>
              <w:right w:val="single" w:color="auto" w:sz="4" w:space="0"/>
            </w:tcBorders>
            <w:shd w:val="clear" w:color="auto" w:fill="auto"/>
            <w:vAlign w:val="center"/>
          </w:tcPr>
          <w:p>
            <w:pPr>
              <w:widowControl/>
              <w:spacing w:line="240" w:lineRule="exact"/>
              <w:rPr>
                <w:rFonts w:ascii="仿宋_GB2312" w:hAnsi="宋体" w:eastAsia="仿宋_GB2312" w:cs="宋体"/>
                <w:color w:val="000000"/>
                <w:spacing w:val="-6"/>
                <w:kern w:val="0"/>
                <w:sz w:val="24"/>
              </w:rPr>
            </w:pPr>
            <w:r>
              <w:rPr>
                <w:rFonts w:hint="eastAsia" w:ascii="仿宋_GB2312" w:hAnsi="宋体" w:eastAsia="仿宋_GB2312" w:cs="宋体"/>
                <w:color w:val="000000"/>
                <w:spacing w:val="-6"/>
                <w:kern w:val="0"/>
                <w:sz w:val="24"/>
              </w:rPr>
              <w:t>同步推进工程建设项目审批平台与用电报装信息管理系统的互联互通，提前获取用电需求、提前开展配套电网工程规划建设，提高办电效率。</w:t>
            </w:r>
          </w:p>
        </w:tc>
        <w:tc>
          <w:tcPr>
            <w:tcW w:w="1276" w:type="dxa"/>
            <w:gridSpan w:val="2"/>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洛江供电服务中心</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区行政服务中心管委会</w:t>
            </w:r>
          </w:p>
        </w:tc>
        <w:tc>
          <w:tcPr>
            <w:tcW w:w="5796" w:type="dxa"/>
            <w:gridSpan w:val="13"/>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1.主动对接相关部门，配合做好工程建设项目审批平台与用电报装信息管理系统的互联互通工作。</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2.定期获取工程建设项目审批平台的项目清单，走访了解项目业主的用电需求，开展配套电网工程规划、设计、建设，提高办电效率。</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  岷 13959876510</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王高林 13067081666</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313" w:type="dxa"/>
            <w:gridSpan w:val="2"/>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3544" w:type="dxa"/>
            <w:gridSpan w:val="3"/>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842" w:type="dxa"/>
            <w:gridSpan w:val="10"/>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662"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5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20</w:t>
            </w:r>
          </w:p>
        </w:tc>
        <w:tc>
          <w:tcPr>
            <w:tcW w:w="1313" w:type="dxa"/>
            <w:gridSpan w:val="2"/>
            <w:vMerge w:val="restart"/>
            <w:tcBorders>
              <w:top w:val="single" w:color="auto" w:sz="4" w:space="0"/>
              <w:left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四、获得用水用气</w:t>
            </w:r>
          </w:p>
        </w:tc>
        <w:tc>
          <w:tcPr>
            <w:tcW w:w="354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对接</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一体化</w:t>
            </w:r>
            <w:r>
              <w:rPr>
                <w:rFonts w:hint="eastAsia" w:ascii="仿宋_GB2312" w:eastAsia="仿宋_GB2312"/>
                <w:color w:val="000000"/>
                <w:kern w:val="0"/>
                <w:sz w:val="24"/>
              </w:rPr>
              <w:t>”</w:t>
            </w:r>
            <w:r>
              <w:rPr>
                <w:rFonts w:hint="eastAsia" w:ascii="仿宋_GB2312" w:hAnsi="宋体" w:eastAsia="仿宋_GB2312" w:cs="宋体"/>
                <w:color w:val="000000"/>
                <w:kern w:val="0"/>
                <w:sz w:val="24"/>
              </w:rPr>
              <w:t>平台企业开办、不动产管理、工程建设等模块，推出</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一件事</w:t>
            </w:r>
            <w:r>
              <w:rPr>
                <w:rFonts w:hint="eastAsia" w:ascii="仿宋_GB2312" w:eastAsia="仿宋_GB2312"/>
                <w:color w:val="000000"/>
                <w:kern w:val="0"/>
                <w:sz w:val="24"/>
              </w:rPr>
              <w:t>”</w:t>
            </w:r>
            <w:r>
              <w:rPr>
                <w:rFonts w:hint="eastAsia" w:ascii="仿宋_GB2312" w:hAnsi="宋体" w:eastAsia="仿宋_GB2312" w:cs="宋体"/>
                <w:color w:val="000000"/>
                <w:kern w:val="0"/>
                <w:sz w:val="24"/>
              </w:rPr>
              <w:t>集成套餐服务，同步受理公共服务，积极做好主动、靠前服务，实现水、电、气、广电报装过户等公共服务事项联办。</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10月底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区城管局、行政服务中心管委会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市自来水洛江分公司</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积极协调水、电、气、广电在不动产过户时提供报装过户服务，对接“一体化平台”企业开办、不动产管理、工程建设等模块，推出“一件事”集成套餐服务，同步受理公共服务，积极做好主动、靠前服务。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王明昕13959858886</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21</w:t>
            </w:r>
          </w:p>
        </w:tc>
        <w:tc>
          <w:tcPr>
            <w:tcW w:w="1313" w:type="dxa"/>
            <w:gridSpan w:val="2"/>
            <w:vMerge w:val="continue"/>
            <w:tcBorders>
              <w:left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354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试行电子签章系统，实现供用水合同电子化，逐步增加业务模块，完善电子合同应用场景，推进全流程网办即电子化、无纸化办公。</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4月底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w:t>
            </w:r>
            <w:r>
              <w:rPr>
                <w:rFonts w:hint="eastAsia" w:ascii="仿宋_GB2312" w:hAnsi="宋体" w:eastAsia="仿宋_GB2312" w:cs="宋体"/>
                <w:color w:val="000000"/>
                <w:kern w:val="0"/>
                <w:sz w:val="24"/>
              </w:rPr>
              <w:br w:type="page"/>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市自来水</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洛江分公司</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配合市城管局，督促市自来水公司试行电子签章系统。</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王会武15059736058</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22</w:t>
            </w:r>
          </w:p>
        </w:tc>
        <w:tc>
          <w:tcPr>
            <w:tcW w:w="1313" w:type="dxa"/>
            <w:gridSpan w:val="2"/>
            <w:vMerge w:val="continue"/>
            <w:tcBorders>
              <w:left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354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简化非居民用户燃气报装申请材料，将申报材料压减至原先的一半，同步提供线上线下等多种报装方式。</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督促泉州市燃气有限公司开展相关工作，市燃气公司已于2月26日召开“容缺受理报装”专题会议，确定容缺受理流程，3月1日起执行“容缺受理报装”。</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刘源灿15160339527</w:t>
            </w:r>
          </w:p>
        </w:tc>
      </w:tr>
      <w:tr>
        <w:tblPrEx>
          <w:tblCellMar>
            <w:top w:w="0" w:type="dxa"/>
            <w:left w:w="108" w:type="dxa"/>
            <w:bottom w:w="0" w:type="dxa"/>
            <w:right w:w="108" w:type="dxa"/>
          </w:tblCellMar>
        </w:tblPrEx>
        <w:trPr>
          <w:trHeight w:val="114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23</w:t>
            </w:r>
          </w:p>
        </w:tc>
        <w:tc>
          <w:tcPr>
            <w:tcW w:w="1313" w:type="dxa"/>
            <w:gridSpan w:val="2"/>
            <w:vMerge w:val="continue"/>
            <w:tcBorders>
              <w:left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354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实施燃气管线抢险抢修安全运维项目，完善和精细化燃气管网</w:t>
            </w:r>
            <w:r>
              <w:rPr>
                <w:rFonts w:hint="eastAsia" w:ascii="仿宋_GB2312" w:eastAsia="仿宋_GB2312"/>
                <w:color w:val="000000"/>
                <w:kern w:val="0"/>
                <w:sz w:val="24"/>
              </w:rPr>
              <w:t>GIS</w:t>
            </w:r>
            <w:r>
              <w:rPr>
                <w:rFonts w:hint="eastAsia" w:ascii="仿宋_GB2312" w:hAnsi="宋体" w:eastAsia="仿宋_GB2312" w:cs="宋体"/>
                <w:color w:val="000000"/>
                <w:kern w:val="0"/>
                <w:sz w:val="24"/>
              </w:rPr>
              <w:t>系统数据，利用燃气管网精准定位功能，提高燃气泄露检测精准度和应急抢险作业效率。</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5月底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泉州市燃气有限公司已投入使用。</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刘源灿15160339527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24</w:t>
            </w:r>
          </w:p>
        </w:tc>
        <w:tc>
          <w:tcPr>
            <w:tcW w:w="1313" w:type="dxa"/>
            <w:gridSpan w:val="2"/>
            <w:vMerge w:val="continue"/>
            <w:tcBorders>
              <w:left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3544"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建立常态化用户评价机制，增加用户评价渠道。从售前、售中、售后全方位深入了解用户需求，服务靠前，开展用户对获得用气的评价，解决用户困难。</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泉州市燃气有限公司目前已开通公众号线上投诉渠道，同时通过人工电话回访获取用户真实需求及评价。此项工作已形成常态化机制。</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刘源灿15160339527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25</w:t>
            </w:r>
          </w:p>
        </w:tc>
        <w:tc>
          <w:tcPr>
            <w:tcW w:w="1313" w:type="dxa"/>
            <w:gridSpan w:val="2"/>
            <w:vMerge w:val="continue"/>
            <w:tcBorders>
              <w:left w:val="single" w:color="auto" w:sz="4" w:space="0"/>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p>
        </w:tc>
        <w:tc>
          <w:tcPr>
            <w:tcW w:w="3544" w:type="dxa"/>
            <w:gridSpan w:val="3"/>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增加</w:t>
            </w:r>
            <w:r>
              <w:rPr>
                <w:rFonts w:hint="eastAsia" w:ascii="仿宋_GB2312" w:eastAsia="仿宋_GB2312"/>
                <w:color w:val="000000"/>
                <w:kern w:val="0"/>
                <w:sz w:val="24"/>
              </w:rPr>
              <w:t>30</w:t>
            </w:r>
            <w:r>
              <w:rPr>
                <w:rFonts w:hint="eastAsia" w:ascii="仿宋_GB2312" w:hAnsi="宋体" w:eastAsia="仿宋_GB2312" w:cs="宋体"/>
                <w:color w:val="000000"/>
                <w:kern w:val="0"/>
                <w:sz w:val="24"/>
              </w:rPr>
              <w:t>台自助售气机，解决非居民用户夜间购气难的问题。</w:t>
            </w:r>
          </w:p>
        </w:tc>
        <w:tc>
          <w:tcPr>
            <w:tcW w:w="1276"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w:t>
            </w:r>
          </w:p>
        </w:tc>
        <w:tc>
          <w:tcPr>
            <w:tcW w:w="4662"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截止3月，洛江区已投放1台自助购气机。4-6月：确定新的投放地点。</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刘源灿15160339527</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3686" w:type="dxa"/>
            <w:gridSpan w:val="4"/>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842" w:type="dxa"/>
            <w:gridSpan w:val="10"/>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662"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5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26</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四、获得用水用气</w:t>
            </w: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理清全市道路归属问题及掘路手续办理归口部门，实现全市外线路由掘路手续</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一窗式</w:t>
            </w:r>
            <w:r>
              <w:rPr>
                <w:rFonts w:hint="eastAsia" w:ascii="仿宋_GB2312" w:eastAsia="仿宋_GB2312"/>
                <w:color w:val="000000"/>
                <w:kern w:val="0"/>
                <w:sz w:val="24"/>
              </w:rPr>
              <w:t>”</w:t>
            </w:r>
            <w:r>
              <w:rPr>
                <w:rFonts w:hint="eastAsia" w:ascii="仿宋_GB2312" w:hAnsi="宋体" w:eastAsia="仿宋_GB2312" w:cs="宋体"/>
                <w:color w:val="000000"/>
                <w:kern w:val="0"/>
                <w:sz w:val="24"/>
              </w:rPr>
              <w:t>联审，并推动市县两级交警纳入</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一窗式</w:t>
            </w:r>
            <w:r>
              <w:rPr>
                <w:rFonts w:hint="eastAsia" w:ascii="仿宋_GB2312" w:eastAsia="仿宋_GB2312"/>
                <w:color w:val="000000"/>
                <w:kern w:val="0"/>
                <w:sz w:val="24"/>
              </w:rPr>
              <w:t>”</w:t>
            </w:r>
            <w:r>
              <w:rPr>
                <w:rFonts w:hint="eastAsia" w:ascii="仿宋_GB2312" w:hAnsi="宋体" w:eastAsia="仿宋_GB2312" w:cs="宋体"/>
                <w:color w:val="000000"/>
                <w:kern w:val="0"/>
                <w:sz w:val="24"/>
              </w:rPr>
              <w:t>联审机制。</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区城管局、行政服务中心管委会、市自来水洛江分公司、交警大队</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配合市城管局理清全市道路归属问题及掘路手续办理归口部门，实现外线路由掘路手续“一窗式”联审。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黄聪云13850777757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王明昕13959858886</w:t>
            </w:r>
          </w:p>
        </w:tc>
      </w:tr>
      <w:tr>
        <w:tblPrEx>
          <w:tblCellMar>
            <w:top w:w="0" w:type="dxa"/>
            <w:left w:w="108" w:type="dxa"/>
            <w:bottom w:w="0" w:type="dxa"/>
            <w:right w:w="108" w:type="dxa"/>
          </w:tblCellMar>
        </w:tblPrEx>
        <w:trPr>
          <w:trHeight w:val="142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27</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五、登记财产</w:t>
            </w: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实现不动产登记与法院系统直连，查、控一体化。</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区法院</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大力度推进不动产登记与法院系统的数据对接平台建设1.调试系统，做好数据对接；2.专人专窗受理，保证有序操作。目前已完成平台搭建，正在进行系统调试，逐步实现从线下到线上的运行模式，实现查控的规范化管理。</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张建文22633362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蔡默静28105528</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颜海容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张正22631127</w:t>
            </w:r>
          </w:p>
        </w:tc>
      </w:tr>
      <w:tr>
        <w:tblPrEx>
          <w:tblCellMar>
            <w:top w:w="0" w:type="dxa"/>
            <w:left w:w="108" w:type="dxa"/>
            <w:bottom w:w="0" w:type="dxa"/>
            <w:right w:w="108" w:type="dxa"/>
          </w:tblCellMar>
        </w:tblPrEx>
        <w:trPr>
          <w:trHeight w:val="115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28</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推行政府购买继承公证法律服务，建立不动产登记责任保险制度。</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区财政局</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做好前期准备工作（政府公证服务、不动产登记责任保险制），及时与市级不动产登记中心对接，了解进度情况，统筹我区办理数量，根据我区实际情况拟文向区政府申请报告，申请财政拨款计划。12月底前完成</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张建文22633362</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郭晓龙28105508</w:t>
            </w:r>
          </w:p>
        </w:tc>
      </w:tr>
      <w:tr>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29</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推进自然资源和规划部门内部信息共享。</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已完成</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张建文22633362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郭晓龙28105508</w:t>
            </w:r>
          </w:p>
        </w:tc>
      </w:tr>
      <w:tr>
        <w:tblPrEx>
          <w:tblCellMar>
            <w:top w:w="0" w:type="dxa"/>
            <w:left w:w="108" w:type="dxa"/>
            <w:bottom w:w="0" w:type="dxa"/>
            <w:right w:w="108" w:type="dxa"/>
          </w:tblCellMar>
        </w:tblPrEx>
        <w:trPr>
          <w:trHeight w:val="106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30</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推进压缩不动产交易核税时间，力争实现即办。</w:t>
            </w:r>
          </w:p>
        </w:tc>
        <w:tc>
          <w:tcPr>
            <w:tcW w:w="1276"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区税务局</w:t>
            </w:r>
          </w:p>
        </w:tc>
        <w:tc>
          <w:tcPr>
            <w:tcW w:w="4662"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已完成行政服务中心“一体化平台”系统的对接，待税务部门系统搭建上线后，尽快实现数据相互推送，减少材料传递时间，压缩工作时限。计划12月底前完成。</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张建文22633362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郭晓龙28105508</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31</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全面实施</w:t>
            </w:r>
            <w:r>
              <w:rPr>
                <w:rFonts w:hint="eastAsia" w:ascii="仿宋_GB2312" w:eastAsia="仿宋_GB2312"/>
                <w:color w:val="000000"/>
                <w:kern w:val="0"/>
                <w:sz w:val="24"/>
              </w:rPr>
              <w:t>“</w:t>
            </w:r>
            <w:r>
              <w:rPr>
                <w:rFonts w:hint="eastAsia" w:ascii="仿宋_GB2312" w:hAnsi="宋体" w:eastAsia="仿宋_GB2312" w:cs="宋体"/>
                <w:color w:val="000000"/>
                <w:kern w:val="0"/>
                <w:sz w:val="24"/>
              </w:rPr>
              <w:t>互联网</w:t>
            </w:r>
            <w:r>
              <w:rPr>
                <w:rFonts w:hint="eastAsia" w:ascii="仿宋_GB2312" w:eastAsia="仿宋_GB2312"/>
                <w:color w:val="000000"/>
                <w:kern w:val="0"/>
                <w:sz w:val="24"/>
              </w:rPr>
              <w:t>+</w:t>
            </w:r>
            <w:r>
              <w:rPr>
                <w:rFonts w:hint="eastAsia" w:ascii="仿宋_GB2312" w:hAnsi="宋体" w:eastAsia="仿宋_GB2312" w:cs="宋体"/>
                <w:color w:val="000000"/>
                <w:kern w:val="0"/>
                <w:sz w:val="24"/>
              </w:rPr>
              <w:t>不动产登记</w:t>
            </w:r>
            <w:r>
              <w:rPr>
                <w:rFonts w:hint="eastAsia" w:ascii="仿宋_GB2312" w:eastAsia="仿宋_GB2312"/>
                <w:color w:val="000000"/>
                <w:kern w:val="0"/>
                <w:sz w:val="24"/>
              </w:rPr>
              <w:t>”</w:t>
            </w:r>
            <w:r>
              <w:rPr>
                <w:rFonts w:hint="eastAsia" w:ascii="仿宋_GB2312" w:hAnsi="宋体" w:eastAsia="仿宋_GB2312" w:cs="宋体"/>
                <w:color w:val="000000"/>
                <w:kern w:val="0"/>
                <w:sz w:val="24"/>
              </w:rPr>
              <w:t>。利用互联网、大数据、人脸识别、在线支付等技术</w:t>
            </w:r>
            <w:r>
              <w:rPr>
                <w:rFonts w:hint="eastAsia" w:ascii="仿宋_GB2312" w:eastAsia="仿宋_GB2312"/>
                <w:color w:val="000000"/>
                <w:kern w:val="0"/>
                <w:sz w:val="24"/>
              </w:rPr>
              <w:t>,</w:t>
            </w:r>
            <w:r>
              <w:rPr>
                <w:rFonts w:hint="eastAsia" w:ascii="仿宋_GB2312" w:hAnsi="宋体" w:eastAsia="仿宋_GB2312" w:cs="宋体"/>
                <w:color w:val="000000"/>
                <w:kern w:val="0"/>
                <w:sz w:val="24"/>
              </w:rPr>
              <w:t>建立不动产登记网上</w:t>
            </w:r>
            <w:r>
              <w:rPr>
                <w:rFonts w:hint="eastAsia" w:ascii="仿宋_GB2312" w:eastAsia="仿宋_GB2312"/>
                <w:color w:val="000000"/>
                <w:kern w:val="0"/>
                <w:sz w:val="24"/>
              </w:rPr>
              <w:t>(</w:t>
            </w:r>
            <w:r>
              <w:rPr>
                <w:rFonts w:hint="eastAsia" w:ascii="仿宋_GB2312" w:hAnsi="宋体" w:eastAsia="仿宋_GB2312" w:cs="宋体"/>
                <w:color w:val="000000"/>
                <w:kern w:val="0"/>
                <w:sz w:val="24"/>
              </w:rPr>
              <w:t>掌上</w:t>
            </w:r>
            <w:r>
              <w:rPr>
                <w:rFonts w:hint="eastAsia" w:ascii="仿宋_GB2312" w:eastAsia="仿宋_GB2312"/>
                <w:color w:val="000000"/>
                <w:kern w:val="0"/>
                <w:sz w:val="24"/>
              </w:rPr>
              <w:t>)</w:t>
            </w:r>
            <w:r>
              <w:rPr>
                <w:rFonts w:hint="eastAsia" w:ascii="仿宋_GB2312" w:hAnsi="宋体" w:eastAsia="仿宋_GB2312" w:cs="宋体"/>
                <w:color w:val="000000"/>
                <w:kern w:val="0"/>
                <w:sz w:val="24"/>
              </w:rPr>
              <w:t>登记中心</w:t>
            </w:r>
            <w:r>
              <w:rPr>
                <w:rFonts w:hint="eastAsia" w:ascii="仿宋_GB2312" w:eastAsia="仿宋_GB2312"/>
                <w:color w:val="000000"/>
                <w:kern w:val="0"/>
                <w:sz w:val="24"/>
              </w:rPr>
              <w:t>,</w:t>
            </w:r>
            <w:r>
              <w:rPr>
                <w:rFonts w:hint="eastAsia" w:ascii="仿宋_GB2312" w:hAnsi="宋体" w:eastAsia="仿宋_GB2312" w:cs="宋体"/>
                <w:color w:val="000000"/>
                <w:kern w:val="0"/>
                <w:sz w:val="24"/>
              </w:rPr>
              <w:t>全面提供网上预约、网上申请、网上查询、网上支付和网上开具电子证明等服务。</w:t>
            </w:r>
          </w:p>
        </w:tc>
        <w:tc>
          <w:tcPr>
            <w:tcW w:w="1276"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2" w:type="dxa"/>
            <w:gridSpan w:val="10"/>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区行政服务中心管委会、数字办、发改局</w:t>
            </w:r>
          </w:p>
        </w:tc>
        <w:tc>
          <w:tcPr>
            <w:tcW w:w="4662"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已完成网上预约、网上申请、微信支付，做好“不动产登记系统”与“一体化平台”对接、不动产服务的房产信息查询证明嵌入“e政务”自助服务机上。计划12月底完成。</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张建文22633362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曾巧玲28105508</w:t>
            </w:r>
          </w:p>
        </w:tc>
      </w:tr>
      <w:tr>
        <w:tblPrEx>
          <w:tblCellMar>
            <w:top w:w="0" w:type="dxa"/>
            <w:left w:w="108" w:type="dxa"/>
            <w:bottom w:w="0" w:type="dxa"/>
            <w:right w:w="108" w:type="dxa"/>
          </w:tblCellMar>
        </w:tblPrEx>
        <w:trPr>
          <w:trHeight w:val="63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536"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095" w:type="dxa"/>
            <w:gridSpan w:val="4"/>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5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32</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六、纳税</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拓展</w:t>
            </w:r>
            <w:r>
              <w:rPr>
                <w:rFonts w:hint="eastAsia" w:ascii="仿宋_GB2312" w:eastAsia="仿宋_GB2312"/>
                <w:color w:val="000000"/>
                <w:kern w:val="0"/>
                <w:sz w:val="24"/>
              </w:rPr>
              <w:t>“</w:t>
            </w:r>
            <w:r>
              <w:rPr>
                <w:rFonts w:hint="eastAsia" w:ascii="仿宋_GB2312" w:hAnsi="宋体" w:eastAsia="仿宋_GB2312" w:cs="宋体"/>
                <w:color w:val="000000"/>
                <w:kern w:val="0"/>
                <w:sz w:val="24"/>
              </w:rPr>
              <w:t>非接触式</w:t>
            </w:r>
            <w:r>
              <w:rPr>
                <w:rFonts w:hint="eastAsia" w:ascii="仿宋_GB2312" w:eastAsia="仿宋_GB2312"/>
                <w:color w:val="000000"/>
                <w:kern w:val="0"/>
                <w:sz w:val="24"/>
              </w:rPr>
              <w:t>”</w:t>
            </w:r>
            <w:r>
              <w:rPr>
                <w:rFonts w:hint="eastAsia" w:ascii="仿宋_GB2312" w:hAnsi="宋体" w:eastAsia="仿宋_GB2312" w:cs="宋体"/>
                <w:color w:val="000000"/>
                <w:kern w:val="0"/>
                <w:sz w:val="24"/>
              </w:rPr>
              <w:t>办税缴费服务，除特殊、复杂事项外，实现企业办税缴费事项</w:t>
            </w:r>
            <w:r>
              <w:rPr>
                <w:rFonts w:hint="eastAsia" w:ascii="仿宋_GB2312" w:eastAsia="仿宋_GB2312"/>
                <w:color w:val="000000"/>
                <w:kern w:val="0"/>
                <w:sz w:val="24"/>
              </w:rPr>
              <w:t>“</w:t>
            </w:r>
            <w:r>
              <w:rPr>
                <w:rFonts w:hint="eastAsia" w:ascii="仿宋_GB2312" w:hAnsi="宋体" w:eastAsia="仿宋_GB2312" w:cs="宋体"/>
                <w:color w:val="000000"/>
                <w:kern w:val="0"/>
                <w:sz w:val="24"/>
              </w:rPr>
              <w:t>网上办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、个人办税缴费事项</w:t>
            </w:r>
            <w:r>
              <w:rPr>
                <w:rFonts w:hint="eastAsia" w:ascii="仿宋_GB2312" w:eastAsia="仿宋_GB2312"/>
                <w:color w:val="000000"/>
                <w:kern w:val="0"/>
                <w:sz w:val="24"/>
              </w:rPr>
              <w:t>“</w:t>
            </w:r>
            <w:r>
              <w:rPr>
                <w:rFonts w:hint="eastAsia" w:ascii="仿宋_GB2312" w:hAnsi="宋体" w:eastAsia="仿宋_GB2312" w:cs="宋体"/>
                <w:color w:val="000000"/>
                <w:kern w:val="0"/>
                <w:sz w:val="24"/>
              </w:rPr>
              <w:t>掌上办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区税务局</w:t>
            </w:r>
          </w:p>
        </w:tc>
        <w:tc>
          <w:tcPr>
            <w:tcW w:w="4095" w:type="dxa"/>
            <w:gridSpan w:val="4"/>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加强与市局沟通，及时按市局要求的进度推进。</w:t>
            </w:r>
          </w:p>
        </w:tc>
        <w:tc>
          <w:tcPr>
            <w:tcW w:w="1717" w:type="dxa"/>
            <w:vMerge w:val="restar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陈  阳</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陈婉芳13328967395</w:t>
            </w:r>
          </w:p>
        </w:tc>
      </w:tr>
      <w:tr>
        <w:tblPrEx>
          <w:tblCellMar>
            <w:top w:w="0" w:type="dxa"/>
            <w:left w:w="108" w:type="dxa"/>
            <w:bottom w:w="0" w:type="dxa"/>
            <w:right w:w="108" w:type="dxa"/>
          </w:tblCellMar>
        </w:tblPrEx>
        <w:trPr>
          <w:trHeight w:val="60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33</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向新办纳税人免费发放税务</w:t>
            </w:r>
            <w:r>
              <w:rPr>
                <w:rFonts w:hint="eastAsia" w:ascii="仿宋_GB2312" w:eastAsia="仿宋_GB2312"/>
                <w:color w:val="000000"/>
                <w:kern w:val="0"/>
                <w:sz w:val="24"/>
              </w:rPr>
              <w:t>UKey</w:t>
            </w:r>
            <w:r>
              <w:rPr>
                <w:rFonts w:hint="eastAsia" w:ascii="仿宋_GB2312" w:hAnsi="宋体" w:eastAsia="仿宋_GB2312" w:cs="宋体"/>
                <w:color w:val="000000"/>
                <w:kern w:val="0"/>
                <w:sz w:val="24"/>
              </w:rPr>
              <w:t>，并依托增值税电子发票公共服务平台等系统，提供免费的电子专票开具、发票状态查询和信息批量下载服务。</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区税务局</w:t>
            </w:r>
          </w:p>
        </w:tc>
        <w:tc>
          <w:tcPr>
            <w:tcW w:w="40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6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5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34</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取消增值税发票验旧。根据总局工作安排和相关软件升级进度，除了特定纳税人及特殊情形外，取消增值税发票抄报税。</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区税务局</w:t>
            </w:r>
          </w:p>
        </w:tc>
        <w:tc>
          <w:tcPr>
            <w:tcW w:w="4095" w:type="dxa"/>
            <w:gridSpan w:val="4"/>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6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108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35</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七、跨境贸易</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推广使用</w:t>
            </w:r>
            <w:r>
              <w:rPr>
                <w:rFonts w:hint="eastAsia" w:ascii="仿宋_GB2312" w:eastAsia="仿宋_GB2312"/>
                <w:color w:val="000000"/>
                <w:kern w:val="0"/>
                <w:sz w:val="24"/>
              </w:rPr>
              <w:t>“</w:t>
            </w:r>
            <w:r>
              <w:rPr>
                <w:rFonts w:hint="eastAsia" w:ascii="仿宋_GB2312" w:hAnsi="宋体" w:eastAsia="仿宋_GB2312" w:cs="宋体"/>
                <w:color w:val="000000"/>
                <w:kern w:val="0"/>
                <w:sz w:val="24"/>
              </w:rPr>
              <w:t>单一窗口</w:t>
            </w:r>
            <w:r>
              <w:rPr>
                <w:rFonts w:hint="eastAsia" w:ascii="仿宋_GB2312" w:eastAsia="仿宋_GB2312"/>
                <w:color w:val="000000"/>
                <w:kern w:val="0"/>
                <w:sz w:val="24"/>
              </w:rPr>
              <w:t>”</w:t>
            </w:r>
            <w:r>
              <w:rPr>
                <w:rFonts w:hint="eastAsia" w:ascii="仿宋_GB2312" w:hAnsi="宋体" w:eastAsia="仿宋_GB2312" w:cs="宋体"/>
                <w:color w:val="000000"/>
                <w:kern w:val="0"/>
                <w:sz w:val="24"/>
              </w:rPr>
              <w:t>全国口岸收费及服务信息发布系统，落实口岸收费目录清单管理和公示制度，实施口岸收费信息线上公开、在线查询，确保公开的信息及时、准确、完整。</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区商务局</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大力宣传“单一窗口”业务，鼓励企业通过使用“单一窗口”全国口岸收费及服务信息发布系统办理相关业务。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田  珍</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王宁宇22630156</w:t>
            </w:r>
          </w:p>
        </w:tc>
      </w:tr>
      <w:tr>
        <w:tblPrEx>
          <w:tblCellMar>
            <w:top w:w="0" w:type="dxa"/>
            <w:left w:w="108" w:type="dxa"/>
            <w:bottom w:w="0" w:type="dxa"/>
            <w:right w:w="108" w:type="dxa"/>
          </w:tblCellMar>
        </w:tblPrEx>
        <w:trPr>
          <w:trHeight w:val="91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36</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复制推广自贸区政策。积极跟踪全国自贸试验区最新改革成果，将可复制的自贸试验区改革创新试点经验进行整合予以推广。</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区商务局</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积极配合上级做好复制推广自贸区政策相关工作。</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田  珍</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王宁宇22630156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37</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八、办理破产</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建设和完善互联网破产案件智能办公系统。</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根据上级法院的部署，提供和完善适配相关办公系统的技术、设备、网络等条件，积极推进互联网破产案件智能办公系统的建设和完善。</w:t>
            </w:r>
          </w:p>
        </w:tc>
        <w:tc>
          <w:tcPr>
            <w:tcW w:w="1717" w:type="dxa"/>
            <w:vMerge w:val="restar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38</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对接破产审判系统与执行网络查控系统，通过对接两套系统，实现破产案件审判人员查询破产企业财产信息。</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4月底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区自然资源局</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积极联系上级法院和全国企业破产重整案件法官工作平台的运维，尽快解决目前财产查询功能无法正常使用的问题。</w:t>
            </w: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6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1242"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39</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建立企业破产信息，户籍信息，企业工商登记信息、税务信息等共享互通通道。</w:t>
            </w:r>
          </w:p>
        </w:tc>
        <w:tc>
          <w:tcPr>
            <w:tcW w:w="1276"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区市场监管局、公安分局、税务局</w:t>
            </w:r>
          </w:p>
        </w:tc>
        <w:tc>
          <w:tcPr>
            <w:tcW w:w="4095" w:type="dxa"/>
            <w:gridSpan w:val="4"/>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根据上级法院的部署，加强与相关部门的配合协助，推动共享互通通道的建立，同时做好建立共享互通通道的技术、设备、网络等方面的准备工作。</w:t>
            </w:r>
          </w:p>
        </w:tc>
        <w:tc>
          <w:tcPr>
            <w:tcW w:w="1717" w:type="dxa"/>
            <w:vMerge w:val="continue"/>
            <w:tcBorders>
              <w:top w:val="single" w:color="auto" w:sz="4" w:space="0"/>
              <w:left w:val="single" w:color="auto" w:sz="4" w:space="0"/>
              <w:bottom w:val="single" w:color="auto" w:sz="12" w:space="0"/>
              <w:right w:val="single" w:color="auto" w:sz="12" w:space="0"/>
            </w:tcBorders>
            <w:vAlign w:val="center"/>
          </w:tcPr>
          <w:p>
            <w:pPr>
              <w:widowControl/>
              <w:spacing w:line="26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536"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4095" w:type="dxa"/>
            <w:gridSpan w:val="4"/>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40</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八、办理破产</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修订、完善破产处置专项资金使用办法，适当提高报酬比例，并将</w:t>
            </w:r>
            <w:r>
              <w:rPr>
                <w:rFonts w:hint="eastAsia" w:ascii="仿宋_GB2312" w:eastAsia="仿宋_GB2312"/>
                <w:color w:val="000000"/>
                <w:kern w:val="0"/>
                <w:sz w:val="24"/>
              </w:rPr>
              <w:t>“</w:t>
            </w:r>
            <w:r>
              <w:rPr>
                <w:rFonts w:hint="eastAsia" w:ascii="仿宋_GB2312" w:hAnsi="宋体" w:eastAsia="仿宋_GB2312" w:cs="宋体"/>
                <w:color w:val="000000"/>
                <w:kern w:val="0"/>
                <w:sz w:val="24"/>
              </w:rPr>
              <w:t>少产可破</w:t>
            </w:r>
            <w:r>
              <w:rPr>
                <w:rFonts w:hint="eastAsia" w:ascii="仿宋_GB2312" w:eastAsia="仿宋_GB2312"/>
                <w:color w:val="000000"/>
                <w:kern w:val="0"/>
                <w:sz w:val="24"/>
              </w:rPr>
              <w:t>”</w:t>
            </w:r>
            <w:r>
              <w:rPr>
                <w:rFonts w:hint="eastAsia" w:ascii="仿宋_GB2312" w:hAnsi="宋体" w:eastAsia="仿宋_GB2312" w:cs="宋体"/>
                <w:color w:val="000000"/>
                <w:kern w:val="0"/>
                <w:sz w:val="24"/>
              </w:rPr>
              <w:t>破产案件纳入专项资金使用范围，规范资金预借，充分调动管理人履职积极性。</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依照破产处置专项资金的相关规定，将符合条件的破产案件，依法纳入专项资金使用范围，对案件审理过程中，发现的新情况新问题，及时向上级法院提出意见、建议，推动破产处置专项资金使用办法的修订和完善。</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150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41</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协同推动破产财产处置进程，对企业经审查符合技术规范的项目依法依规补办相关手续，允许大宗资产、特殊资产分割处置。</w:t>
            </w:r>
          </w:p>
        </w:tc>
        <w:tc>
          <w:tcPr>
            <w:tcW w:w="1276"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认真执行上级法院有关企业破产处置相关规定以及泉中法〔2019〕63号《关于加快推进企业破产处置工作措施》的规定，对财产处置中符合相应条件和政策的大宗资产、特殊资产等的分割处置、转让等，依法予以支持。</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138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42</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进一步加强打击</w:t>
            </w:r>
            <w:r>
              <w:rPr>
                <w:rFonts w:hint="eastAsia" w:ascii="仿宋_GB2312" w:eastAsia="仿宋_GB2312"/>
                <w:color w:val="000000"/>
                <w:kern w:val="0"/>
                <w:sz w:val="24"/>
              </w:rPr>
              <w:t>“</w:t>
            </w:r>
            <w:r>
              <w:rPr>
                <w:rFonts w:hint="eastAsia" w:ascii="仿宋_GB2312" w:hAnsi="宋体" w:eastAsia="仿宋_GB2312" w:cs="宋体"/>
                <w:color w:val="000000"/>
                <w:kern w:val="0"/>
                <w:sz w:val="24"/>
              </w:rPr>
              <w:t>逃废债</w:t>
            </w:r>
            <w:r>
              <w:rPr>
                <w:rFonts w:hint="eastAsia" w:ascii="仿宋_GB2312" w:eastAsia="仿宋_GB2312"/>
                <w:color w:val="000000"/>
                <w:kern w:val="0"/>
                <w:sz w:val="24"/>
              </w:rPr>
              <w:t>”</w:t>
            </w:r>
            <w:r>
              <w:rPr>
                <w:rFonts w:hint="eastAsia" w:ascii="仿宋_GB2312" w:hAnsi="宋体" w:eastAsia="仿宋_GB2312" w:cs="宋体"/>
                <w:color w:val="000000"/>
                <w:kern w:val="0"/>
                <w:sz w:val="24"/>
              </w:rPr>
              <w:t>工作，重点打击破产案件审理过程中发现的公司股东、发起人、实际控制人、经营者、董事、监事、高级管理人员、财会人员等违反法律规定涉嫌犯罪的行为，若有隐匿、故意销毁会计凭证、会计账簿和财务会计报告等行为的犯罪线索，随时移送公安部门。</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区金融办、</w:t>
            </w:r>
          </w:p>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公安分局</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在破产案件的审理过程中，依法指导管理人全面清查、追收债务人财产，一旦发现涉嫌逃废债务线索的，及时移送公安机关，同时抄送检察机关，严厉打击恶意逃废债。</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43</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九、获得信贷</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推动银行业机构深入开展一季度</w:t>
            </w:r>
            <w:r>
              <w:rPr>
                <w:rFonts w:hint="eastAsia" w:ascii="仿宋_GB2312" w:eastAsia="仿宋_GB2312"/>
                <w:color w:val="000000"/>
                <w:kern w:val="0"/>
                <w:sz w:val="24"/>
              </w:rPr>
              <w:t>“</w:t>
            </w:r>
            <w:r>
              <w:rPr>
                <w:rFonts w:hint="eastAsia" w:ascii="仿宋_GB2312" w:hAnsi="宋体" w:eastAsia="仿宋_GB2312" w:cs="宋体"/>
                <w:color w:val="000000"/>
                <w:kern w:val="0"/>
                <w:sz w:val="24"/>
              </w:rPr>
              <w:t>开门红</w:t>
            </w:r>
            <w:r>
              <w:rPr>
                <w:rFonts w:hint="eastAsia" w:ascii="仿宋_GB2312" w:eastAsia="仿宋_GB2312"/>
                <w:color w:val="000000"/>
                <w:kern w:val="0"/>
                <w:sz w:val="24"/>
              </w:rPr>
              <w:t>”增贷行动，细化分解全年增贷目标，强化目标导向。</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金融办</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1.开展企业融资需求摸底；</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2.组织银行机构走访企业，解决企业实际需求。</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倪浩松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黄泉源22630676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44</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实施制造业贷款提升工程，推动</w:t>
            </w:r>
            <w:r>
              <w:rPr>
                <w:rFonts w:hint="eastAsia" w:ascii="仿宋_GB2312" w:eastAsia="仿宋_GB2312"/>
                <w:color w:val="000000"/>
                <w:kern w:val="0"/>
                <w:sz w:val="24"/>
              </w:rPr>
              <w:t>“</w:t>
            </w:r>
            <w:r>
              <w:rPr>
                <w:rFonts w:hint="eastAsia" w:ascii="仿宋_GB2312" w:hAnsi="宋体" w:eastAsia="仿宋_GB2312" w:cs="宋体"/>
                <w:color w:val="000000"/>
                <w:kern w:val="0"/>
                <w:sz w:val="24"/>
              </w:rPr>
              <w:t>银税互动</w:t>
            </w:r>
            <w:r>
              <w:rPr>
                <w:rFonts w:hint="eastAsia" w:ascii="仿宋_GB2312" w:eastAsia="仿宋_GB2312"/>
                <w:color w:val="000000"/>
                <w:kern w:val="0"/>
                <w:sz w:val="24"/>
              </w:rPr>
              <w:t>”“</w:t>
            </w:r>
            <w:r>
              <w:rPr>
                <w:rFonts w:hint="eastAsia" w:ascii="仿宋_GB2312" w:hAnsi="宋体" w:eastAsia="仿宋_GB2312" w:cs="宋体"/>
                <w:color w:val="000000"/>
                <w:kern w:val="0"/>
                <w:sz w:val="24"/>
              </w:rPr>
              <w:t>助保贷</w:t>
            </w:r>
            <w:r>
              <w:rPr>
                <w:rFonts w:hint="eastAsia" w:ascii="仿宋_GB2312" w:eastAsia="仿宋_GB2312"/>
                <w:color w:val="000000"/>
                <w:kern w:val="0"/>
                <w:sz w:val="24"/>
              </w:rPr>
              <w:t>”</w:t>
            </w:r>
            <w:r>
              <w:rPr>
                <w:rFonts w:hint="eastAsia" w:ascii="仿宋_GB2312" w:hAnsi="宋体" w:eastAsia="仿宋_GB2312" w:cs="宋体"/>
                <w:color w:val="000000"/>
                <w:kern w:val="0"/>
                <w:sz w:val="24"/>
              </w:rPr>
              <w:t>等项目做大规模，推动普惠金融增户扩面。</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金融办</w:t>
            </w:r>
          </w:p>
        </w:tc>
        <w:tc>
          <w:tcPr>
            <w:tcW w:w="4095"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1.加强“金服云”平台宣传，引导银企进行线上对接；</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2.推动企业申报第三期纾困贷款资金。</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倪浩松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黄泉源22630676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45</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畅通银企对接渠道，分类别分行业开展银企精准对接活动。完善企业金融顾问制度，启动新一轮金融服务企业小分队现场服务活动。</w:t>
            </w:r>
          </w:p>
        </w:tc>
        <w:tc>
          <w:tcPr>
            <w:tcW w:w="1276" w:type="dxa"/>
            <w:gridSpan w:val="8"/>
            <w:tcBorders>
              <w:top w:val="single" w:color="auto" w:sz="4" w:space="0"/>
              <w:left w:val="nil"/>
              <w:bottom w:val="single" w:color="auto" w:sz="12" w:space="0"/>
              <w:right w:val="single" w:color="auto" w:sz="4" w:space="0"/>
            </w:tcBorders>
            <w:shd w:val="clear" w:color="auto" w:fill="auto"/>
            <w:noWrap/>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金融办</w:t>
            </w:r>
          </w:p>
        </w:tc>
        <w:tc>
          <w:tcPr>
            <w:tcW w:w="4095" w:type="dxa"/>
            <w:gridSpan w:val="4"/>
            <w:tcBorders>
              <w:top w:val="single" w:color="auto" w:sz="4" w:space="0"/>
              <w:left w:val="nil"/>
              <w:bottom w:val="single" w:color="auto" w:sz="12"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1.3月份举办至少2场（次）银企对接活动，第二季度开始每季度至少开1场（次）银企对接活动；</w:t>
            </w:r>
          </w:p>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2.深入走访企业，了解企业金融需求，并提供精准服务对接。</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倪浩松</w:t>
            </w:r>
            <w:r>
              <w:rPr>
                <w:rFonts w:hint="eastAsia" w:ascii="仿宋_GB2312" w:hAnsi="宋体" w:eastAsia="仿宋_GB2312" w:cs="宋体"/>
                <w:color w:val="000000"/>
                <w:kern w:val="0"/>
                <w:sz w:val="24"/>
              </w:rPr>
              <w:br w:type="page"/>
            </w:r>
          </w:p>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黄泉源22630676</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536"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3"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378" w:type="dxa"/>
            <w:gridSpan w:val="6"/>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03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46</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九、获得信贷</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充分发挥政府性融资担保公司增信作用，落实尽职免责和考核评价等制度，建立健全银担分险合作体系，健全风险分担机制，推动银担对接，开展批量担保业务，大力降费让利，重点支持民营中小微企业。</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  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金融办</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1.引导轻资产企业通过政策性融资担保公司获得融资；</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2.推动银行加强同政策性融资担保公司合作对接。</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倪浩松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黄泉源22630676</w:t>
            </w:r>
          </w:p>
        </w:tc>
      </w:tr>
      <w:tr>
        <w:tblPrEx>
          <w:tblCellMar>
            <w:top w:w="0" w:type="dxa"/>
            <w:left w:w="108" w:type="dxa"/>
            <w:bottom w:w="0" w:type="dxa"/>
            <w:right w:w="108" w:type="dxa"/>
          </w:tblCellMar>
        </w:tblPrEx>
        <w:trPr>
          <w:trHeight w:val="120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47</w:t>
            </w: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8"/>
                <w:kern w:val="0"/>
                <w:sz w:val="24"/>
              </w:rPr>
            </w:pPr>
            <w:r>
              <w:rPr>
                <w:rFonts w:hint="eastAsia" w:ascii="仿宋_GB2312" w:hAnsi="宋体" w:eastAsia="仿宋_GB2312" w:cs="宋体"/>
                <w:color w:val="000000"/>
                <w:spacing w:val="-8"/>
                <w:kern w:val="0"/>
                <w:sz w:val="24"/>
              </w:rPr>
              <w:t>纵深推进上市</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育苗成林</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工程，启动企业股改</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蝶变</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行动，指导初创期、成长期企业制定资本运作规划。通过专家上门指导、问题清单责任制、证交所</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一对一</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辅导、</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一企一策</w:t>
            </w:r>
            <w:r>
              <w:rPr>
                <w:rFonts w:hint="eastAsia" w:ascii="仿宋_GB2312" w:eastAsia="仿宋_GB2312"/>
                <w:color w:val="000000"/>
                <w:spacing w:val="-8"/>
                <w:kern w:val="0"/>
                <w:sz w:val="24"/>
              </w:rPr>
              <w:t>”</w:t>
            </w:r>
            <w:r>
              <w:rPr>
                <w:rFonts w:hint="eastAsia" w:ascii="仿宋_GB2312" w:hAnsi="宋体" w:eastAsia="仿宋_GB2312" w:cs="宋体"/>
                <w:color w:val="000000"/>
                <w:spacing w:val="-8"/>
                <w:kern w:val="0"/>
                <w:sz w:val="24"/>
              </w:rPr>
              <w:t>协调等服务措施，推进企业加快改制上市步伐。</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  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金融办</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1.组织辖区符合条件的企业申报省、市挂牌上市后备企业；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2.组织企业申报挂牌上市奖励资金。</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倪浩松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黄泉源22630676</w:t>
            </w:r>
          </w:p>
        </w:tc>
      </w:tr>
      <w:tr>
        <w:tblPrEx>
          <w:tblCellMar>
            <w:top w:w="0" w:type="dxa"/>
            <w:left w:w="108" w:type="dxa"/>
            <w:bottom w:w="0" w:type="dxa"/>
            <w:right w:w="108" w:type="dxa"/>
          </w:tblCellMar>
        </w:tblPrEx>
        <w:trPr>
          <w:trHeight w:val="253"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48</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完善企业公共信用信息数据，开展企业公共信用评价，支持银行业机构依法依规获得公共信用信息数据，开发针对中小微企业</w:t>
            </w:r>
            <w:r>
              <w:rPr>
                <w:rFonts w:hint="eastAsia" w:ascii="仿宋_GB2312" w:eastAsia="仿宋_GB2312"/>
                <w:color w:val="000000"/>
                <w:kern w:val="0"/>
                <w:sz w:val="24"/>
              </w:rPr>
              <w:t>“</w:t>
            </w:r>
            <w:r>
              <w:rPr>
                <w:rFonts w:hint="eastAsia" w:ascii="仿宋_GB2312" w:hAnsi="宋体" w:eastAsia="仿宋_GB2312" w:cs="宋体"/>
                <w:color w:val="000000"/>
                <w:kern w:val="0"/>
                <w:sz w:val="24"/>
              </w:rPr>
              <w:t>信易贷</w:t>
            </w:r>
            <w:r>
              <w:rPr>
                <w:rFonts w:hint="eastAsia" w:ascii="仿宋_GB2312" w:eastAsia="仿宋_GB2312"/>
                <w:color w:val="000000"/>
                <w:kern w:val="0"/>
                <w:sz w:val="24"/>
              </w:rPr>
              <w:t>”</w:t>
            </w:r>
            <w:r>
              <w:rPr>
                <w:rFonts w:hint="eastAsia" w:ascii="仿宋_GB2312" w:hAnsi="宋体" w:eastAsia="仿宋_GB2312" w:cs="宋体"/>
                <w:color w:val="000000"/>
                <w:kern w:val="0"/>
                <w:sz w:val="24"/>
              </w:rPr>
              <w:t>产品。探索地方</w:t>
            </w:r>
            <w:r>
              <w:rPr>
                <w:rFonts w:hint="eastAsia" w:ascii="仿宋_GB2312" w:eastAsia="仿宋_GB2312"/>
                <w:color w:val="000000"/>
                <w:kern w:val="0"/>
                <w:sz w:val="24"/>
              </w:rPr>
              <w:t>“</w:t>
            </w:r>
            <w:r>
              <w:rPr>
                <w:rFonts w:hint="eastAsia" w:ascii="仿宋_GB2312" w:hAnsi="宋体" w:eastAsia="仿宋_GB2312" w:cs="宋体"/>
                <w:color w:val="000000"/>
                <w:kern w:val="0"/>
                <w:sz w:val="24"/>
              </w:rPr>
              <w:t>信易贷</w:t>
            </w:r>
            <w:r>
              <w:rPr>
                <w:rFonts w:hint="eastAsia" w:ascii="仿宋_GB2312" w:eastAsia="仿宋_GB2312"/>
                <w:color w:val="000000"/>
                <w:kern w:val="0"/>
                <w:sz w:val="24"/>
              </w:rPr>
              <w:t>”</w:t>
            </w:r>
            <w:r>
              <w:rPr>
                <w:rFonts w:hint="eastAsia" w:ascii="仿宋_GB2312" w:hAnsi="宋体" w:eastAsia="仿宋_GB2312" w:cs="宋体"/>
                <w:color w:val="000000"/>
                <w:kern w:val="0"/>
                <w:sz w:val="24"/>
              </w:rPr>
              <w:t>平台建设，引入政府性担保机构。</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  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区金融办</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1.与市信用办了解，完善企业公共信用信息数据，开展企业公共信用评价将在市公共信用信息平台三期中开发建设，将跟踪市级平台建设，配合做好企业公共信用评价；</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2.依托各乡镇（街道）、行业主管部门、行政服务中心办事大厅、银行网点、工业企业微信群多形式向企业宣传“信易贷”平台，</w:t>
            </w:r>
            <w:r>
              <w:rPr>
                <w:rFonts w:hint="eastAsia" w:ascii="仿宋_GB2312" w:hAnsi="宋体" w:eastAsia="仿宋_GB2312" w:cs="宋体"/>
                <w:color w:val="000000"/>
                <w:spacing w:val="-4"/>
                <w:kern w:val="0"/>
                <w:sz w:val="24"/>
              </w:rPr>
              <w:t>引导有融资需求企业到信易贷平台注册并发布融资需求，及时跟进了解辖区企业在信易贷平台的注册情况、融资需求和对接情况。</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陶英航</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13959799502</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49</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w:t>
            </w:r>
            <w:r>
              <w:rPr>
                <w:rFonts w:hint="eastAsia" w:ascii="仿宋_GB2312" w:hAnsi="宋体" w:eastAsia="仿宋_GB2312" w:cs="宋体"/>
                <w:color w:val="000000"/>
                <w:spacing w:val="-10"/>
                <w:kern w:val="0"/>
                <w:sz w:val="24"/>
              </w:rPr>
              <w:t>保护中小投资者</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优化商事案件多元化纠纷解决机制。进一步健全完善委托调解、特约调解、异地商会调解等切实可行的对接模式，优化远程视频调解。</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加强与特邀商事调解员的对接，充分运用人民法院调解平台，积极探索更加完善的纠纷解决机制，利用智慧庭审平台，线上开庭、线上调解，远程化解矛盾纠纷。</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50</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健全完善第三方专业机构辅助机制和专家证人制度。根据当事人申请或依职权委托专业机构调取与证券期货纠纷有关的证据材料，进行专业分析或损失核算等辅助工作，或者通知具有证券期货领域专业知识的专家证人出庭，就案件涉及的专业性问题发表客观、独立的意见。</w:t>
            </w:r>
          </w:p>
        </w:tc>
        <w:tc>
          <w:tcPr>
            <w:tcW w:w="993"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至今未受理涉及证券期货纠纷的民商事案件。</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536"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3"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378" w:type="dxa"/>
            <w:gridSpan w:val="6"/>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08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51</w:t>
            </w:r>
          </w:p>
        </w:tc>
        <w:tc>
          <w:tcPr>
            <w:tcW w:w="1171" w:type="dxa"/>
            <w:vMerge w:val="restart"/>
            <w:tcBorders>
              <w:top w:val="single" w:color="auto" w:sz="4" w:space="0"/>
              <w:left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十一、执行合同</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健全完善涉众型纠纷示范性判决机制。选取事实认定、法律适用上具有代表性的若干个案作为示范案件，优先送达文书材料、调查取证、开庭审理，并作出判决；形成规范性文件。</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探索建立“个案调判、类推适用”的示范判决机制，在审理群体性纠纷的系列案件时，选取示范案件先行审理、先行判决，统一裁判尺度。</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苏志成</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吴季阳22631126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52</w:t>
            </w:r>
          </w:p>
        </w:tc>
        <w:tc>
          <w:tcPr>
            <w:tcW w:w="1171" w:type="dxa"/>
            <w:vMerge w:val="continue"/>
            <w:tcBorders>
              <w:left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优化网上诉讼服务体验。完善本院电子诉讼平台的建设，推动当事人全方位、流程网上办理诉讼服务事项及开庭、阅卷、调解等；完善诉讼服务智能引导和咨询；探索建立民营企业合同纠纷案件或特殊时期商事案件快速立案绿色通道。</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突出便</w:t>
            </w:r>
            <w:r>
              <w:rPr>
                <w:rFonts w:hint="eastAsia" w:ascii="仿宋_GB2312" w:hAnsi="宋体" w:cs="宋体"/>
                <w:color w:val="000000"/>
                <w:spacing w:val="-4"/>
                <w:kern w:val="0"/>
                <w:sz w:val="24"/>
              </w:rPr>
              <w:t>倢</w:t>
            </w:r>
            <w:r>
              <w:rPr>
                <w:rFonts w:hint="eastAsia" w:ascii="仿宋_GB2312" w:hAnsi="仿宋_GB2312" w:eastAsia="仿宋_GB2312" w:cs="仿宋_GB2312"/>
                <w:color w:val="000000"/>
                <w:spacing w:val="-4"/>
                <w:kern w:val="0"/>
                <w:sz w:val="24"/>
              </w:rPr>
              <w:t>、高效、亲民，加强诉讼服务中心建设和功能整合，推进现代化诉讼服务体系建设，完善电子诉讼平台建设，积极引导当事人通过福建移动微法院、福建法院律师服务平台、自助服务端等网上途径办理诉讼服务事项及开庭、阅卷、调解等；辟涉企案件“绿色通道”，对涉企案件优先安排、优先办理。</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颜智斌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孙玫芳22639995</w:t>
            </w:r>
          </w:p>
        </w:tc>
      </w:tr>
      <w:tr>
        <w:tblPrEx>
          <w:tblCellMar>
            <w:top w:w="0" w:type="dxa"/>
            <w:left w:w="108" w:type="dxa"/>
            <w:bottom w:w="0" w:type="dxa"/>
            <w:right w:w="108" w:type="dxa"/>
          </w:tblCellMar>
        </w:tblPrEx>
        <w:trPr>
          <w:trHeight w:val="139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53</w:t>
            </w:r>
          </w:p>
        </w:tc>
        <w:tc>
          <w:tcPr>
            <w:tcW w:w="1171" w:type="dxa"/>
            <w:vMerge w:val="continue"/>
            <w:tcBorders>
              <w:left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多元化纠纷化解机制。引入公证人员、鉴定人员等作为法院调解人员；加强房地产、金融、医疗等专业调解组织的对接，探索类型化专业化调解平台的建设与运用；充分运用司法大数据技术对矛盾风险态势发展的评估和预警作用，引导纠纷有效化解。</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完善多元化纠纷化解机制，强化源头预防、诉前调解、多元调处，聘请特邀调解员，加强同物调、交调、医疗等专业调解组织对接，积极运用“微调解”平台和人民法院调解平台开展调解工作。</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颜智斌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孙玫芳22639995</w:t>
            </w:r>
          </w:p>
        </w:tc>
      </w:tr>
      <w:tr>
        <w:tblPrEx>
          <w:tblCellMar>
            <w:top w:w="0" w:type="dxa"/>
            <w:left w:w="108" w:type="dxa"/>
            <w:bottom w:w="0" w:type="dxa"/>
            <w:right w:w="108" w:type="dxa"/>
          </w:tblCellMar>
        </w:tblPrEx>
        <w:trPr>
          <w:trHeight w:val="127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54</w:t>
            </w:r>
          </w:p>
        </w:tc>
        <w:tc>
          <w:tcPr>
            <w:tcW w:w="1171" w:type="dxa"/>
            <w:vMerge w:val="continue"/>
            <w:tcBorders>
              <w:left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分调裁机制。出台关于小额诉讼程序审理民商事案件的相关规定，或推动各基层法院出台关于小额诉讼程序审理民商事案件的相关规定；制定完善民商事案件繁简分流标准的相关规定，建立简案快审示范判决机制，规范</w:t>
            </w:r>
            <w:r>
              <w:rPr>
                <w:rFonts w:hint="eastAsia" w:ascii="仿宋_GB2312" w:eastAsia="仿宋_GB2312"/>
                <w:color w:val="000000"/>
                <w:kern w:val="0"/>
                <w:sz w:val="24"/>
              </w:rPr>
              <w:t>“</w:t>
            </w:r>
            <w:r>
              <w:rPr>
                <w:rFonts w:hint="eastAsia" w:ascii="仿宋_GB2312" w:hAnsi="宋体" w:eastAsia="仿宋_GB2312" w:cs="宋体"/>
                <w:color w:val="000000"/>
                <w:kern w:val="0"/>
                <w:sz w:val="24"/>
              </w:rPr>
              <w:t>简转普</w:t>
            </w:r>
            <w:r>
              <w:rPr>
                <w:rFonts w:hint="eastAsia" w:ascii="仿宋_GB2312" w:eastAsia="仿宋_GB2312"/>
                <w:color w:val="000000"/>
                <w:kern w:val="0"/>
                <w:sz w:val="24"/>
              </w:rPr>
              <w:t>”</w:t>
            </w:r>
            <w:r>
              <w:rPr>
                <w:rFonts w:hint="eastAsia" w:ascii="仿宋_GB2312" w:hAnsi="宋体" w:eastAsia="仿宋_GB2312" w:cs="宋体"/>
                <w:color w:val="000000"/>
                <w:kern w:val="0"/>
                <w:sz w:val="24"/>
              </w:rPr>
              <w:t>机制等，探索分调裁一体化平台的引入与运用。</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大力推进繁简分流和调解速裁，按照分调裁机制对案件进行筛选甄别，严格按照小额诉讼程序的规定审理小额民商事案件。</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颜智斌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孙玫芳22639995</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55</w:t>
            </w:r>
          </w:p>
        </w:tc>
        <w:tc>
          <w:tcPr>
            <w:tcW w:w="1171" w:type="dxa"/>
            <w:vMerge w:val="continue"/>
            <w:tcBorders>
              <w:left w:val="single" w:color="auto" w:sz="4" w:space="0"/>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集约化送达工作。推进各基层法院送达工作集约化办理，全市法院所有送达均应当同步在统一送达平台办理登记，除受羁押的当事人外，所有送达均应同步向当事人推送电子送达；探索企业送达机制共享机制。</w:t>
            </w:r>
          </w:p>
        </w:tc>
        <w:tc>
          <w:tcPr>
            <w:tcW w:w="993"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成立专职送达组，推进集约化、专业化统一送达，协助本院业务庭直接送达；接收各地法院委托案件，委托其他法院送达。推进中院智慧办案平台的运用，加强落实所有送达同步在该平台办理登记，同步向当事人推送电子送达；积极探索邮政集约送达。</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颜智斌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孙玫芳22639995</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559"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520"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434"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56</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十一、执行合同</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推进司法有效公开。严格裁判文书上传、庭审直播等司法公开率的管理，除一些不宜公开的特殊情形外，做到</w:t>
            </w:r>
            <w:r>
              <w:rPr>
                <w:rFonts w:hint="eastAsia" w:ascii="仿宋_GB2312" w:eastAsia="仿宋_GB2312"/>
                <w:color w:val="000000"/>
                <w:kern w:val="0"/>
                <w:sz w:val="24"/>
              </w:rPr>
              <w:t>“</w:t>
            </w:r>
            <w:r>
              <w:rPr>
                <w:rFonts w:hint="eastAsia" w:ascii="仿宋_GB2312" w:hAnsi="宋体" w:eastAsia="仿宋_GB2312" w:cs="宋体"/>
                <w:color w:val="000000"/>
                <w:kern w:val="0"/>
                <w:sz w:val="24"/>
              </w:rPr>
              <w:t>件件生效，件件公开</w:t>
            </w:r>
            <w:r>
              <w:rPr>
                <w:rFonts w:hint="eastAsia" w:ascii="仿宋_GB2312" w:eastAsia="仿宋_GB2312"/>
                <w:color w:val="000000"/>
                <w:kern w:val="0"/>
                <w:sz w:val="24"/>
              </w:rPr>
              <w:t>”</w:t>
            </w:r>
            <w:r>
              <w:rPr>
                <w:rFonts w:hint="eastAsia" w:ascii="仿宋_GB2312" w:hAnsi="宋体" w:eastAsia="仿宋_GB2312" w:cs="宋体"/>
                <w:color w:val="000000"/>
                <w:kern w:val="0"/>
                <w:sz w:val="24"/>
              </w:rPr>
              <w:t>；升级改造泉州司法公开服务网，依托电子卷宗系统，实现司法公开的主动、实质、全面公开，并以此倒逼审限管理、审判流程信息公开工作规范开展、真正落地实现。</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进一步推动司法公开，将生效裁判文书上网、庭审直播、审判流程公开层层落实到内设机构、到员额法官个人，与个人绩效考评挂钩。做到符合条件的生效裁判文书及时上网，符合直播条件的庭审全部安排直播。按流程信息公开工作规范和业务标准，将公开范围内的全部流程信息、诉讼文书、笔录通过中国审判流程信息公开网向当事人及其诉讼代理人公开。</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颜海容</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黄正乾22630678</w:t>
            </w:r>
          </w:p>
        </w:tc>
      </w:tr>
      <w:tr>
        <w:tblPrEx>
          <w:tblCellMar>
            <w:top w:w="0" w:type="dxa"/>
            <w:left w:w="108" w:type="dxa"/>
            <w:bottom w:w="0" w:type="dxa"/>
            <w:right w:w="108" w:type="dxa"/>
          </w:tblCellMar>
        </w:tblPrEx>
        <w:trPr>
          <w:trHeight w:val="1366"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57</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完善审判管理。严格案件审限管理，进一步提高法定审限内结案率；加强对延期开庭案件的管理，并建立规范延期开庭和规范二次开庭等指导意见；推进庭审方式改革，规范庭前会议操作规程，推广庭前会议制度。</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要求承办人每月在内网省院统一监管平台中填写案件未结原因、审理进度。下发《关于进一步加强对长期未结诉讼案件清理工作的通知》，要求承办人填写长期未结诉讼案件清理工作进度表，定期汇报案件的未结原因、当前进度、后续步骤、预计审结时间等，呈报经所在庭庭长审核后报送审管办备案。庭长组织所在庭室业务人员进行研讨，邀请分管副院长参加，研判出解决方案。将长期未结诉讼案件清理情况纳入绩效考核范围，与承办法官个人工作业绩挂钩，作为其年度绩效考评、评先评优、晋职晋级和退出员额资格的重要依据。严格审限审批管理。延长审限的案件一律层报至院长审批。对审限届满前15天的案件预警通报，提请院领导、庭室负责人、承办法官予以关注。</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颜海容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黄正乾22630678</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58</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推动鉴定事项的规范化。加强与司法局等行政主管部门的沟通协调，共同推动关于司法鉴定时限和费用的监管、指导和规范，提升司法鉴定效率，降低司法鉴定成本。</w:t>
            </w:r>
          </w:p>
        </w:tc>
        <w:tc>
          <w:tcPr>
            <w:tcW w:w="1134"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520"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诉讼服务中心下设鉴定专员，审查办理对外委托案件，组织协调鉴定机构外出调取检材及现场勘验，移交补充鉴定材料。规范委托鉴定事项，推进人民法院委托鉴定系统的应用，努力实现委托鉴定一网通办，提高司法鉴定效率。</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颜智斌</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孙玫芳22639995</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536"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3"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378" w:type="dxa"/>
            <w:gridSpan w:val="6"/>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283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59</w:t>
            </w:r>
          </w:p>
        </w:tc>
        <w:tc>
          <w:tcPr>
            <w:tcW w:w="1171" w:type="dxa"/>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十一、执行合同</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继续深化执行攻坚。继续完善执行联动机制，与不动产登记部门共同推动线上查封、解封、过户在线一体化办理，与公安交警部门推动车辆线上查控。</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区法院</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1.推进执行信息化建设，健全财产查控机制，完善“点对点”网络查控机制，扩大执行查控系统覆盖面，健全查控功能，实现被执行人财产及时发现、及时处置；</w:t>
            </w:r>
          </w:p>
          <w:p>
            <w:pPr>
              <w:widowControl/>
              <w:spacing w:line="260" w:lineRule="exact"/>
              <w:rPr>
                <w:rFonts w:ascii="仿宋_GB2312" w:hAnsi="仿宋_GB2312" w:eastAsia="仿宋_GB2312" w:cs="仿宋_GB2312"/>
                <w:color w:val="000000"/>
                <w:kern w:val="0"/>
                <w:sz w:val="24"/>
              </w:rPr>
            </w:pPr>
            <w:r>
              <w:rPr>
                <w:rFonts w:hint="eastAsia" w:ascii="仿宋_GB2312" w:hAnsi="宋体" w:eastAsia="仿宋_GB2312" w:cs="宋体"/>
                <w:color w:val="000000"/>
                <w:kern w:val="0"/>
                <w:sz w:val="24"/>
              </w:rPr>
              <w:t>2.强化内外联动，加强各法院之间的协同配合，依托“跨域</w:t>
            </w:r>
            <w:r>
              <w:rPr>
                <w:rFonts w:hint="eastAsia" w:ascii="仿宋_GB2312" w:hAnsi="宋体" w:cs="宋体"/>
                <w:color w:val="000000"/>
                <w:kern w:val="0"/>
                <w:sz w:val="24"/>
              </w:rPr>
              <w:t>•</w:t>
            </w:r>
            <w:r>
              <w:rPr>
                <w:rFonts w:hint="eastAsia" w:ascii="仿宋_GB2312" w:hAnsi="仿宋_GB2312" w:eastAsia="仿宋_GB2312" w:cs="仿宋_GB2312"/>
                <w:color w:val="000000"/>
                <w:kern w:val="0"/>
                <w:sz w:val="24"/>
              </w:rPr>
              <w:t>连锁</w:t>
            </w:r>
            <w:r>
              <w:rPr>
                <w:rFonts w:hint="eastAsia" w:ascii="仿宋_GB2312" w:hAnsi="宋体" w:cs="宋体"/>
                <w:color w:val="000000"/>
                <w:kern w:val="0"/>
                <w:sz w:val="24"/>
              </w:rPr>
              <w:t>•</w:t>
            </w:r>
            <w:r>
              <w:rPr>
                <w:rFonts w:hint="eastAsia" w:ascii="仿宋_GB2312" w:hAnsi="仿宋_GB2312" w:eastAsia="仿宋_GB2312" w:cs="仿宋_GB2312"/>
                <w:color w:val="000000"/>
                <w:kern w:val="0"/>
                <w:sz w:val="24"/>
              </w:rPr>
              <w:t>直通”式诉讼服务平台，实现被执行人及其财产跨区域快速查控、执行款跨区域快捷收发以及涉执信访事项就近调处等功能；</w:t>
            </w:r>
          </w:p>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3.建立与不动产登记中心、交警的联动机制，加快不动产、车辆的查控和办理进度。</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颜海容</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  正22631127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60</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十二、劳动力市场监管</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初步实现失业保险待遇、就业困难群体的社保补贴线上申领、发放，以及就业失业登记，就业招聘、就业创业政策宣传等线上、线下无缝对接。</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区人社局</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配合市里做好失业保险待遇、就业困难群体的社保补贴线上申领、发放，以及就业失业登记，就业招聘、就业创业政策宣传等线上、线下无缝对接。</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唐强先          陈  </w:t>
            </w:r>
            <w:r>
              <w:rPr>
                <w:rFonts w:hint="eastAsia" w:ascii="仿宋_GB2312" w:hAnsi="宋体" w:cs="宋体"/>
                <w:color w:val="000000"/>
                <w:kern w:val="0"/>
                <w:sz w:val="24"/>
              </w:rPr>
              <w:t xml:space="preserve">劼 </w:t>
            </w:r>
            <w:r>
              <w:rPr>
                <w:rFonts w:hint="eastAsia" w:ascii="仿宋_GB2312" w:hAnsi="宋体" w:eastAsia="仿宋_GB2312" w:cs="宋体"/>
                <w:color w:val="000000"/>
                <w:kern w:val="0"/>
                <w:sz w:val="24"/>
              </w:rPr>
              <w:t>22633823</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61</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初步完成省级金牌劳动关系协调员打造计划、省级劳动关系社会组织打造计划，完善法律援助站建设，优化劳动者法律援助等相关工作。</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区人社局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区司法局</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劳动关系三方机制建设，持续开展劳动关系“和谐同行”能力提升三年计划，参与省市打造省级金牌劳动关系协调员活动，提高劳动关系协调队伍服务水平，参与省市打造省级劳动关系社会组织活动，争取引导1家社会组织积极主动参与劳动关系协调，提高劳动关系公共服务供给水平和效率；对于农民工追索劳动报酬及请求工伤免于经济困难审查，与劳动部门协调，建立农民工讨薪酬绿色通道，简化申请法律援助流程。</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黄达军         许民全22633822</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林章图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黄玲玲22633336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62</w:t>
            </w:r>
          </w:p>
        </w:tc>
        <w:tc>
          <w:tcPr>
            <w:tcW w:w="117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十三、政府采购</w:t>
            </w:r>
          </w:p>
        </w:tc>
        <w:tc>
          <w:tcPr>
            <w:tcW w:w="4536"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进一步优化交易规则，降低政府采购交易成本。完善《泉州市政府采购负面清单》；简化资格证明材料；逐步取消收取政府采购投标保证金；继续优化履约保证金收取方式；持续推进</w:t>
            </w:r>
            <w:r>
              <w:rPr>
                <w:rFonts w:hint="eastAsia" w:ascii="仿宋_GB2312" w:eastAsia="仿宋_GB2312"/>
                <w:color w:val="000000"/>
                <w:spacing w:val="-4"/>
                <w:kern w:val="0"/>
                <w:sz w:val="24"/>
              </w:rPr>
              <w:t>“</w:t>
            </w:r>
            <w:r>
              <w:rPr>
                <w:rFonts w:hint="eastAsia" w:ascii="仿宋_GB2312" w:hAnsi="宋体" w:eastAsia="仿宋_GB2312" w:cs="宋体"/>
                <w:color w:val="000000"/>
                <w:spacing w:val="-4"/>
                <w:kern w:val="0"/>
                <w:sz w:val="24"/>
              </w:rPr>
              <w:t>政采贷</w:t>
            </w:r>
            <w:r>
              <w:rPr>
                <w:rFonts w:hint="eastAsia" w:ascii="仿宋_GB2312" w:eastAsia="仿宋_GB2312"/>
                <w:color w:val="000000"/>
                <w:spacing w:val="-4"/>
                <w:kern w:val="0"/>
                <w:sz w:val="24"/>
              </w:rPr>
              <w:t>”</w:t>
            </w:r>
            <w:r>
              <w:rPr>
                <w:rFonts w:hint="eastAsia" w:ascii="仿宋_GB2312" w:hAnsi="宋体" w:eastAsia="仿宋_GB2312" w:cs="宋体"/>
                <w:color w:val="000000"/>
                <w:spacing w:val="-4"/>
                <w:kern w:val="0"/>
                <w:sz w:val="24"/>
              </w:rPr>
              <w:t>工作；做好法律法规政策规定宣传。</w:t>
            </w:r>
          </w:p>
        </w:tc>
        <w:tc>
          <w:tcPr>
            <w:tcW w:w="993"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区财政局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区金融办</w:t>
            </w:r>
          </w:p>
        </w:tc>
        <w:tc>
          <w:tcPr>
            <w:tcW w:w="4378" w:type="dxa"/>
            <w:gridSpan w:val="6"/>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持续与上级采购部门沟通，及时落实上级相关政府采购政策，按时限完成各项工作。</w:t>
            </w:r>
          </w:p>
        </w:tc>
        <w:tc>
          <w:tcPr>
            <w:tcW w:w="1717"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林坤明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王少平</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  玮</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22632257</w:t>
            </w:r>
          </w:p>
        </w:tc>
      </w:tr>
      <w:tr>
        <w:tblPrEx>
          <w:tblCellMar>
            <w:top w:w="0" w:type="dxa"/>
            <w:left w:w="108" w:type="dxa"/>
            <w:bottom w:w="0" w:type="dxa"/>
            <w:right w:w="108" w:type="dxa"/>
          </w:tblCellMar>
        </w:tblPrEx>
        <w:trPr>
          <w:trHeight w:val="36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5245" w:type="dxa"/>
            <w:gridSpan w:val="10"/>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418" w:type="dxa"/>
            <w:gridSpan w:val="8"/>
            <w:tcBorders>
              <w:top w:val="single" w:color="auto" w:sz="12"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417"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3386"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single" w:color="auto" w:sz="4" w:space="0"/>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36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63</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十三、政府采购</w:t>
            </w:r>
          </w:p>
        </w:tc>
        <w:tc>
          <w:tcPr>
            <w:tcW w:w="52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强化采购人主体责任，完善监督管理机制。</w:t>
            </w:r>
          </w:p>
        </w:tc>
        <w:tc>
          <w:tcPr>
            <w:tcW w:w="141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区财政局</w:t>
            </w:r>
          </w:p>
        </w:tc>
        <w:tc>
          <w:tcPr>
            <w:tcW w:w="33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持续与上级采购部门沟通，及时落实上级相关政府采购政策，按时限完成各项工作。</w:t>
            </w:r>
          </w:p>
        </w:tc>
        <w:tc>
          <w:tcPr>
            <w:tcW w:w="1717" w:type="dxa"/>
            <w:vMerge w:val="restart"/>
            <w:tcBorders>
              <w:top w:val="single" w:color="auto" w:sz="4" w:space="0"/>
              <w:left w:val="single" w:color="auto" w:sz="4" w:space="0"/>
              <w:bottom w:val="single" w:color="auto" w:sz="4" w:space="0"/>
              <w:right w:val="single" w:color="auto" w:sz="12"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林坤明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王少平</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  玮</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22632257</w:t>
            </w:r>
          </w:p>
        </w:tc>
      </w:tr>
      <w:tr>
        <w:tblPrEx>
          <w:tblCellMar>
            <w:top w:w="0" w:type="dxa"/>
            <w:left w:w="108" w:type="dxa"/>
            <w:bottom w:w="0" w:type="dxa"/>
            <w:right w:w="108" w:type="dxa"/>
          </w:tblCellMar>
        </w:tblPrEx>
        <w:trPr>
          <w:trHeight w:val="118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64</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52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网上超市信用评价制度，对网上超市参与各方进行评价考核。引入竞争机制，一个品目允许被授权的三家供应商入驻网上超市。探索建立以项目采购金额分档进行网上直购、议价、竞价、询价的网上超市采购机制。</w:t>
            </w:r>
          </w:p>
        </w:tc>
        <w:tc>
          <w:tcPr>
            <w:tcW w:w="141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区财政局</w:t>
            </w:r>
          </w:p>
        </w:tc>
        <w:tc>
          <w:tcPr>
            <w:tcW w:w="3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8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96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65</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52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完善电子化平台功能，实现网上电子开标，推进政府采购意向公开电子化；全面落实采购人自主择优选择代理机构的法定要求；督促采购人完善内控管理制度并向市财政局备案。</w:t>
            </w:r>
          </w:p>
        </w:tc>
        <w:tc>
          <w:tcPr>
            <w:tcW w:w="141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区财政局</w:t>
            </w:r>
          </w:p>
        </w:tc>
        <w:tc>
          <w:tcPr>
            <w:tcW w:w="3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8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3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66</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52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推进通用项目联合集中采购；逐步扩大网上超市品目，提高网上超市标准化和便利化水平；推进市级集中采购机构跨级次代理采购试点。</w:t>
            </w:r>
          </w:p>
        </w:tc>
        <w:tc>
          <w:tcPr>
            <w:tcW w:w="141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区财政局</w:t>
            </w:r>
          </w:p>
        </w:tc>
        <w:tc>
          <w:tcPr>
            <w:tcW w:w="3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8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67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67</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十四、招标投标</w:t>
            </w:r>
          </w:p>
        </w:tc>
        <w:tc>
          <w:tcPr>
            <w:tcW w:w="52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建设推广研发</w:t>
            </w:r>
            <w:r>
              <w:rPr>
                <w:rFonts w:hint="eastAsia" w:ascii="仿宋_GB2312" w:eastAsia="仿宋_GB2312"/>
                <w:color w:val="000000"/>
                <w:kern w:val="0"/>
                <w:sz w:val="24"/>
              </w:rPr>
              <w:t>“CA</w:t>
            </w:r>
            <w:r>
              <w:rPr>
                <w:rFonts w:hint="eastAsia" w:ascii="仿宋_GB2312" w:hAnsi="宋体" w:eastAsia="仿宋_GB2312" w:cs="宋体"/>
                <w:color w:val="000000"/>
                <w:kern w:val="0"/>
                <w:sz w:val="24"/>
              </w:rPr>
              <w:t>掌上证书</w:t>
            </w:r>
            <w:r>
              <w:rPr>
                <w:rFonts w:hint="eastAsia" w:ascii="仿宋_GB2312" w:eastAsia="仿宋_GB2312"/>
                <w:color w:val="000000"/>
                <w:kern w:val="0"/>
                <w:sz w:val="24"/>
              </w:rPr>
              <w:t>”</w:t>
            </w:r>
            <w:r>
              <w:rPr>
                <w:rFonts w:hint="eastAsia" w:ascii="仿宋_GB2312" w:hAnsi="宋体" w:eastAsia="仿宋_GB2312" w:cs="宋体"/>
                <w:color w:val="000000"/>
                <w:kern w:val="0"/>
                <w:sz w:val="24"/>
              </w:rPr>
              <w:t>，探索拟定</w:t>
            </w:r>
            <w:r>
              <w:rPr>
                <w:rFonts w:hint="eastAsia" w:ascii="仿宋_GB2312" w:eastAsia="仿宋_GB2312"/>
                <w:color w:val="000000"/>
                <w:kern w:val="0"/>
                <w:sz w:val="24"/>
              </w:rPr>
              <w:t>“</w:t>
            </w:r>
            <w:r>
              <w:rPr>
                <w:rFonts w:hint="eastAsia" w:ascii="仿宋_GB2312" w:hAnsi="宋体" w:eastAsia="仿宋_GB2312" w:cs="宋体"/>
                <w:color w:val="000000"/>
                <w:kern w:val="0"/>
                <w:sz w:val="24"/>
              </w:rPr>
              <w:t>泉交易指数</w:t>
            </w:r>
            <w:r>
              <w:rPr>
                <w:rFonts w:hint="eastAsia" w:ascii="仿宋_GB2312" w:eastAsia="仿宋_GB2312"/>
                <w:color w:val="000000"/>
                <w:kern w:val="0"/>
                <w:sz w:val="24"/>
              </w:rPr>
              <w:t>”</w:t>
            </w:r>
            <w:r>
              <w:rPr>
                <w:rFonts w:hint="eastAsia" w:ascii="仿宋_GB2312" w:hAnsi="宋体" w:eastAsia="仿宋_GB2312" w:cs="宋体"/>
                <w:color w:val="000000"/>
                <w:kern w:val="0"/>
                <w:sz w:val="24"/>
              </w:rPr>
              <w:t>计算规则，反向助推投标人诚实守信、合法经营，帮助招标人规避不良投标人。</w:t>
            </w:r>
          </w:p>
        </w:tc>
        <w:tc>
          <w:tcPr>
            <w:tcW w:w="141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p>
        </w:tc>
        <w:tc>
          <w:tcPr>
            <w:tcW w:w="338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做好与市级的对接、推广宣传工作。</w:t>
            </w:r>
          </w:p>
        </w:tc>
        <w:tc>
          <w:tcPr>
            <w:tcW w:w="1717" w:type="dxa"/>
            <w:vMerge w:val="restart"/>
            <w:tcBorders>
              <w:top w:val="single" w:color="auto" w:sz="4" w:space="0"/>
              <w:left w:val="single" w:color="auto" w:sz="4" w:space="0"/>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赖秀鸿28105521</w:t>
            </w:r>
          </w:p>
        </w:tc>
      </w:tr>
      <w:tr>
        <w:tblPrEx>
          <w:tblCellMar>
            <w:top w:w="0" w:type="dxa"/>
            <w:left w:w="108" w:type="dxa"/>
            <w:bottom w:w="0" w:type="dxa"/>
            <w:right w:w="108" w:type="dxa"/>
          </w:tblCellMar>
        </w:tblPrEx>
        <w:trPr>
          <w:trHeight w:val="73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68</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52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运用人脸识别技术实现代理</w:t>
            </w:r>
            <w:r>
              <w:rPr>
                <w:rFonts w:hint="eastAsia" w:ascii="仿宋_GB2312" w:eastAsia="仿宋_GB2312"/>
                <w:color w:val="000000"/>
                <w:kern w:val="0"/>
                <w:sz w:val="24"/>
              </w:rPr>
              <w:t>“</w:t>
            </w:r>
            <w:r>
              <w:rPr>
                <w:rFonts w:hint="eastAsia" w:ascii="仿宋_GB2312" w:hAnsi="宋体" w:eastAsia="仿宋_GB2312" w:cs="宋体"/>
                <w:color w:val="000000"/>
                <w:kern w:val="0"/>
                <w:sz w:val="24"/>
              </w:rPr>
              <w:t>最多跑一趟</w:t>
            </w:r>
            <w:r>
              <w:rPr>
                <w:rFonts w:hint="eastAsia" w:ascii="仿宋_GB2312" w:eastAsia="仿宋_GB2312"/>
                <w:color w:val="000000"/>
                <w:kern w:val="0"/>
                <w:sz w:val="24"/>
              </w:rPr>
              <w:t>”</w:t>
            </w:r>
            <w:r>
              <w:rPr>
                <w:rFonts w:hint="eastAsia" w:ascii="仿宋_GB2312" w:hAnsi="宋体" w:eastAsia="仿宋_GB2312" w:cs="宋体"/>
                <w:color w:val="000000"/>
                <w:kern w:val="0"/>
                <w:sz w:val="24"/>
              </w:rPr>
              <w:t>不到场办理业务。</w:t>
            </w:r>
          </w:p>
        </w:tc>
        <w:tc>
          <w:tcPr>
            <w:tcW w:w="1418"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各行业主管部门</w:t>
            </w:r>
          </w:p>
        </w:tc>
        <w:tc>
          <w:tcPr>
            <w:tcW w:w="33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rPr>
                <w:rFonts w:ascii="仿宋_GB2312" w:hAnsi="宋体" w:eastAsia="仿宋_GB2312" w:cs="宋体"/>
                <w:color w:val="000000"/>
                <w:kern w:val="0"/>
                <w:sz w:val="24"/>
              </w:rPr>
            </w:pPr>
          </w:p>
        </w:tc>
        <w:tc>
          <w:tcPr>
            <w:tcW w:w="1717" w:type="dxa"/>
            <w:vMerge w:val="continue"/>
            <w:tcBorders>
              <w:top w:val="single" w:color="auto" w:sz="4" w:space="0"/>
              <w:left w:val="single" w:color="auto" w:sz="4" w:space="0"/>
              <w:bottom w:val="single" w:color="auto" w:sz="4" w:space="0"/>
              <w:right w:val="single" w:color="auto" w:sz="12" w:space="0"/>
            </w:tcBorders>
            <w:vAlign w:val="center"/>
          </w:tcPr>
          <w:p>
            <w:pPr>
              <w:widowControl/>
              <w:spacing w:line="280" w:lineRule="exact"/>
              <w:jc w:val="center"/>
              <w:rPr>
                <w:rFonts w:ascii="仿宋_GB2312" w:hAnsi="宋体" w:eastAsia="仿宋_GB2312" w:cs="宋体"/>
                <w:color w:val="000000"/>
                <w:kern w:val="0"/>
                <w:sz w:val="24"/>
              </w:rPr>
            </w:pP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69</w:t>
            </w:r>
          </w:p>
        </w:tc>
        <w:tc>
          <w:tcPr>
            <w:tcW w:w="1171"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十五、政务服务</w:t>
            </w:r>
          </w:p>
        </w:tc>
        <w:tc>
          <w:tcPr>
            <w:tcW w:w="5245" w:type="dxa"/>
            <w:gridSpan w:val="10"/>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规范审批</w:t>
            </w:r>
            <w:r>
              <w:rPr>
                <w:rFonts w:hint="eastAsia" w:ascii="仿宋_GB2312" w:eastAsia="仿宋_GB2312"/>
                <w:color w:val="000000"/>
                <w:kern w:val="0"/>
                <w:sz w:val="24"/>
              </w:rPr>
              <w:t>“</w:t>
            </w:r>
            <w:r>
              <w:rPr>
                <w:rFonts w:hint="eastAsia" w:ascii="仿宋_GB2312" w:hAnsi="宋体" w:eastAsia="仿宋_GB2312" w:cs="宋体"/>
                <w:color w:val="000000"/>
                <w:kern w:val="0"/>
                <w:sz w:val="24"/>
              </w:rPr>
              <w:t>颗粒度</w:t>
            </w:r>
            <w:r>
              <w:rPr>
                <w:rFonts w:hint="eastAsia" w:ascii="仿宋_GB2312" w:eastAsia="仿宋_GB2312"/>
                <w:color w:val="000000"/>
                <w:kern w:val="0"/>
                <w:sz w:val="24"/>
              </w:rPr>
              <w:t>”</w:t>
            </w:r>
            <w:r>
              <w:rPr>
                <w:rFonts w:hint="eastAsia" w:ascii="仿宋_GB2312" w:hAnsi="宋体" w:eastAsia="仿宋_GB2312" w:cs="宋体"/>
                <w:color w:val="000000"/>
                <w:kern w:val="0"/>
                <w:sz w:val="24"/>
              </w:rPr>
              <w:t>。编制我市行政许可事项清单，落实国家关于行政许可事项清单管理的有关规定，对清单内行政许可事项，逐项明确设定依据、实施机关、许可条件、办理程序、办理时限、申请材料、适用范围、有效期限、中介服务等要素。</w:t>
            </w:r>
          </w:p>
        </w:tc>
        <w:tc>
          <w:tcPr>
            <w:tcW w:w="1418" w:type="dxa"/>
            <w:gridSpan w:val="8"/>
            <w:tcBorders>
              <w:top w:val="single" w:color="auto" w:sz="4" w:space="0"/>
              <w:left w:val="nil"/>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区行政服务中心管委会、发改局（审改办）</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spacing w:val="-10"/>
                <w:kern w:val="0"/>
                <w:sz w:val="24"/>
              </w:rPr>
              <w:t>区各有关单位</w:t>
            </w:r>
          </w:p>
        </w:tc>
        <w:tc>
          <w:tcPr>
            <w:tcW w:w="3386" w:type="dxa"/>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按照审改部门发布的行政许可事项清单，4月底前督促进驻部门对清单内行政许可事项，逐项明确设定依据、实施机关、许可条件、办理程序、办理时限、申请材料、适用范围、有效期限、中介服务等要素；8月底前收集各部门更新的《授权书》和《进驻事项规范表》等标准化变更材料。</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8"/>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378" w:type="dxa"/>
            <w:gridSpan w:val="6"/>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288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70</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十五、政务服务</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推行</w:t>
            </w:r>
            <w:r>
              <w:rPr>
                <w:rFonts w:hint="eastAsia" w:ascii="仿宋_GB2312" w:eastAsia="仿宋_GB2312"/>
                <w:color w:val="000000"/>
                <w:kern w:val="0"/>
                <w:sz w:val="24"/>
              </w:rPr>
              <w:t>“</w:t>
            </w:r>
            <w:r>
              <w:rPr>
                <w:rFonts w:hint="eastAsia" w:ascii="仿宋_GB2312" w:hAnsi="宋体" w:eastAsia="仿宋_GB2312" w:cs="宋体"/>
                <w:color w:val="000000"/>
                <w:kern w:val="0"/>
                <w:sz w:val="24"/>
              </w:rPr>
              <w:t>告知承诺制</w:t>
            </w:r>
            <w:r>
              <w:rPr>
                <w:rFonts w:hint="eastAsia" w:ascii="仿宋_GB2312" w:eastAsia="仿宋_GB2312"/>
                <w:color w:val="000000"/>
                <w:kern w:val="0"/>
                <w:sz w:val="24"/>
              </w:rPr>
              <w:t>”</w:t>
            </w:r>
            <w:r>
              <w:rPr>
                <w:rFonts w:hint="eastAsia" w:ascii="仿宋_GB2312" w:hAnsi="宋体" w:eastAsia="仿宋_GB2312" w:cs="宋体"/>
                <w:color w:val="000000"/>
                <w:kern w:val="0"/>
                <w:sz w:val="24"/>
              </w:rPr>
              <w:t>。在全市范围内推行证明事项和涉企经营许可事项告知承诺制，明确实行告知承诺制的事项范围、适用对象、工作流程和监管措施等。对具备条件的建设工程企业资质审批实行告知承诺管理。梳理可实现容缺受理告知承诺的事项清单，编制针对不同事项的信用承诺模板，并对</w:t>
            </w:r>
            <w:r>
              <w:rPr>
                <w:rFonts w:hint="eastAsia" w:ascii="仿宋_GB2312" w:eastAsia="仿宋_GB2312"/>
                <w:color w:val="000000"/>
                <w:kern w:val="0"/>
                <w:sz w:val="24"/>
              </w:rPr>
              <w:t>“</w:t>
            </w:r>
            <w:r>
              <w:rPr>
                <w:rFonts w:hint="eastAsia" w:ascii="仿宋_GB2312" w:hAnsi="宋体" w:eastAsia="仿宋_GB2312" w:cs="宋体"/>
                <w:color w:val="000000"/>
                <w:kern w:val="0"/>
                <w:sz w:val="24"/>
              </w:rPr>
              <w:t>互联网</w:t>
            </w:r>
            <w:r>
              <w:rPr>
                <w:rFonts w:hint="eastAsia" w:ascii="仿宋_GB2312" w:eastAsia="仿宋_GB2312"/>
                <w:color w:val="000000"/>
                <w:kern w:val="0"/>
                <w:sz w:val="24"/>
              </w:rPr>
              <w:t>+</w:t>
            </w:r>
            <w:r>
              <w:rPr>
                <w:rFonts w:hint="eastAsia" w:ascii="仿宋_GB2312" w:hAnsi="宋体" w:eastAsia="仿宋_GB2312" w:cs="宋体"/>
                <w:color w:val="000000"/>
                <w:kern w:val="0"/>
                <w:sz w:val="24"/>
              </w:rPr>
              <w:t>政务一体化</w:t>
            </w:r>
            <w:r>
              <w:rPr>
                <w:rFonts w:hint="eastAsia" w:ascii="仿宋_GB2312" w:eastAsia="仿宋_GB2312"/>
                <w:color w:val="000000"/>
                <w:kern w:val="0"/>
                <w:sz w:val="24"/>
              </w:rPr>
              <w:t>”</w:t>
            </w:r>
            <w:r>
              <w:rPr>
                <w:rFonts w:hint="eastAsia" w:ascii="仿宋_GB2312" w:hAnsi="宋体" w:eastAsia="仿宋_GB2312" w:cs="宋体"/>
                <w:color w:val="000000"/>
                <w:kern w:val="0"/>
                <w:sz w:val="24"/>
              </w:rPr>
              <w:t>系统进行改造，增加信用承诺监管模块，通过信用承诺约束推动审批提速。</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区司法局、发改局（审改办）、行政服务中心管委会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区住建局等有关单位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1.根据市级梳理、形成、推行区证明事项和涉企经营许可事项告知承诺制的事项范围、适用对象、工作流程和监管措施等，对具备条件的建设工程企业资质审批实行告知承诺管理；</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2.梳理进驻审批服务事项可实现容缺受理告知承诺的事项清单，编制针对不同事项的信用承诺模板，并配合市级对“互联网+政务一体化”系统进行改造，增加信用承诺监管模块，通过信用承诺约束推动审批提速。</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洪旭明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林冰红22633305</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806"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71</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推动行政服务中心转型升级。加快政务中心优化整合、转型升级，加强线上线下融合，强化线上办理后台支撑能力，推动更多政务事项</w:t>
            </w:r>
            <w:r>
              <w:rPr>
                <w:rFonts w:hint="eastAsia" w:ascii="仿宋_GB2312" w:eastAsia="仿宋_GB2312"/>
                <w:color w:val="000000"/>
                <w:kern w:val="0"/>
                <w:sz w:val="24"/>
              </w:rPr>
              <w:t>“</w:t>
            </w:r>
            <w:r>
              <w:rPr>
                <w:rFonts w:hint="eastAsia" w:ascii="仿宋_GB2312" w:hAnsi="宋体" w:eastAsia="仿宋_GB2312" w:cs="宋体"/>
                <w:color w:val="000000"/>
                <w:kern w:val="0"/>
                <w:sz w:val="24"/>
              </w:rPr>
              <w:t>马上办、网上办、就近办、一次办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。加快</w:t>
            </w:r>
            <w:r>
              <w:rPr>
                <w:rFonts w:hint="eastAsia" w:ascii="仿宋_GB2312" w:eastAsia="仿宋_GB2312"/>
                <w:color w:val="000000"/>
                <w:kern w:val="0"/>
                <w:sz w:val="24"/>
              </w:rPr>
              <w:t>“</w:t>
            </w:r>
            <w:r>
              <w:rPr>
                <w:rFonts w:hint="eastAsia" w:ascii="仿宋_GB2312" w:hAnsi="宋体" w:eastAsia="仿宋_GB2312" w:cs="宋体"/>
                <w:color w:val="000000"/>
                <w:kern w:val="0"/>
                <w:sz w:val="24"/>
              </w:rPr>
              <w:t>一窗通办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自助快办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靠前联办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无偿代办</w:t>
            </w:r>
            <w:r>
              <w:rPr>
                <w:rFonts w:hint="eastAsia" w:ascii="仿宋_GB2312" w:eastAsia="仿宋_GB2312"/>
                <w:color w:val="000000"/>
                <w:kern w:val="0"/>
                <w:sz w:val="24"/>
              </w:rPr>
              <w:t>”“</w:t>
            </w:r>
            <w:r>
              <w:rPr>
                <w:rFonts w:hint="eastAsia" w:ascii="仿宋_GB2312" w:hAnsi="宋体" w:eastAsia="仿宋_GB2312" w:cs="宋体"/>
                <w:color w:val="000000"/>
                <w:kern w:val="0"/>
                <w:sz w:val="24"/>
              </w:rPr>
              <w:t>预约办理</w:t>
            </w:r>
            <w:r>
              <w:rPr>
                <w:rFonts w:hint="eastAsia" w:ascii="仿宋_GB2312" w:eastAsia="仿宋_GB2312"/>
                <w:color w:val="000000"/>
                <w:kern w:val="0"/>
                <w:sz w:val="24"/>
              </w:rPr>
              <w:t>”</w:t>
            </w:r>
            <w:r>
              <w:rPr>
                <w:rFonts w:hint="eastAsia" w:ascii="仿宋_GB2312" w:hAnsi="宋体" w:eastAsia="仿宋_GB2312" w:cs="宋体"/>
                <w:color w:val="000000"/>
                <w:kern w:val="0"/>
                <w:sz w:val="24"/>
              </w:rPr>
              <w:t>，推动全程网办、就近能办、异地可办。普遍推行首问负责、一次告知、并联办理、限时办结等制度。</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区行政服务中心管委会、发改局（审改办）</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加强行政服务中心线上线下融合，强化线上办理后台支撑能力，推动各部门优化更多政务事项达成“马上办、网上办、就近办、一次办”；加快“一窗通办”“上门服务”“无偿代办”“预约办理”，推动全程网办、就近能办、异地可办；落实首问负责、一次告知、并联办理、限时办结等制度。</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page"/>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许安琪22637763</w:t>
            </w:r>
          </w:p>
        </w:tc>
      </w:tr>
      <w:tr>
        <w:tblPrEx>
          <w:tblCellMar>
            <w:top w:w="0" w:type="dxa"/>
            <w:left w:w="108" w:type="dxa"/>
            <w:bottom w:w="0" w:type="dxa"/>
            <w:right w:w="108" w:type="dxa"/>
          </w:tblCellMar>
        </w:tblPrEx>
        <w:trPr>
          <w:trHeight w:val="553"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72</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推行政务服务</w:t>
            </w:r>
            <w:r>
              <w:rPr>
                <w:rFonts w:hint="eastAsia" w:ascii="仿宋_GB2312" w:eastAsia="仿宋_GB2312"/>
                <w:color w:val="000000"/>
                <w:kern w:val="0"/>
                <w:sz w:val="24"/>
              </w:rPr>
              <w:t>“</w:t>
            </w:r>
            <w:r>
              <w:rPr>
                <w:rFonts w:hint="eastAsia" w:ascii="仿宋_GB2312" w:hAnsi="宋体" w:eastAsia="仿宋_GB2312" w:cs="宋体"/>
                <w:color w:val="000000"/>
                <w:kern w:val="0"/>
                <w:sz w:val="24"/>
              </w:rPr>
              <w:t>异地代收</w:t>
            </w:r>
            <w:r>
              <w:rPr>
                <w:rFonts w:hint="eastAsia" w:ascii="仿宋_GB2312" w:eastAsia="仿宋_GB2312"/>
                <w:color w:val="000000"/>
                <w:kern w:val="0"/>
                <w:sz w:val="24"/>
              </w:rPr>
              <w:t>”</w:t>
            </w:r>
            <w:r>
              <w:rPr>
                <w:rFonts w:hint="eastAsia" w:ascii="仿宋_GB2312" w:hAnsi="宋体" w:eastAsia="仿宋_GB2312" w:cs="宋体"/>
                <w:color w:val="000000"/>
                <w:kern w:val="0"/>
                <w:sz w:val="24"/>
              </w:rPr>
              <w:t>省内通办服务模式。建立省网上办事大厅</w:t>
            </w:r>
            <w:r>
              <w:rPr>
                <w:rFonts w:hint="eastAsia" w:ascii="仿宋_GB2312" w:eastAsia="仿宋_GB2312"/>
                <w:color w:val="000000"/>
                <w:kern w:val="0"/>
                <w:sz w:val="24"/>
              </w:rPr>
              <w:t>“</w:t>
            </w:r>
            <w:r>
              <w:rPr>
                <w:rFonts w:hint="eastAsia" w:ascii="仿宋_GB2312" w:hAnsi="宋体" w:eastAsia="仿宋_GB2312" w:cs="宋体"/>
                <w:color w:val="000000"/>
                <w:kern w:val="0"/>
                <w:sz w:val="24"/>
              </w:rPr>
              <w:t>异地通办模块</w:t>
            </w:r>
            <w:r>
              <w:rPr>
                <w:rFonts w:hint="eastAsia" w:ascii="仿宋_GB2312" w:eastAsia="仿宋_GB2312"/>
                <w:color w:val="000000"/>
                <w:kern w:val="0"/>
                <w:sz w:val="24"/>
              </w:rPr>
              <w:t>”</w:t>
            </w:r>
            <w:r>
              <w:rPr>
                <w:rFonts w:hint="eastAsia" w:ascii="仿宋_GB2312" w:hAnsi="宋体" w:eastAsia="仿宋_GB2312" w:cs="宋体"/>
                <w:color w:val="000000"/>
                <w:kern w:val="0"/>
                <w:sz w:val="24"/>
              </w:rPr>
              <w:t>和“异地通办”专窗，围绕异地办事频率高、群众获得感强、涉及优化营商环境的社保、医保、公积金、市场监管等政务服务事项，梳理公布一批事项，采取异地代收方式，建立“省内通办”合作机制。2021年底前实现工业产品生产许可证、就医结算备案、社保卡申领、户口迁移等74项事项跨省办理。</w:t>
            </w:r>
          </w:p>
        </w:tc>
        <w:tc>
          <w:tcPr>
            <w:tcW w:w="1276" w:type="dxa"/>
            <w:gridSpan w:val="8"/>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区行政服务中心管委会、发改局（审改办）</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厦漳泉地区政务服务省内通办“异地代收”工作；围绕企业及群众迫切需求的社保、医保、公积金、市场监管等高频政务服务事项，配合市级梳理公布企业及群众迫切需求的事项，在省网上办事大厅设置“异地通办模块”和“异地通办”专窗，采取异地代收方式，建立“省内通办”合作机制；按省、市进度要求年底前实现工业产品生产许可证、就医结算备案、社保卡申领、户口迁移等74项事项跨省办理。</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许安琪22637763</w:t>
            </w:r>
          </w:p>
        </w:tc>
      </w:tr>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8"/>
            <w:tcBorders>
              <w:top w:val="single" w:color="auto" w:sz="12"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378" w:type="dxa"/>
            <w:gridSpan w:val="6"/>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73</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十五、政务服务</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持续开展</w:t>
            </w:r>
            <w:r>
              <w:rPr>
                <w:rFonts w:hint="eastAsia" w:ascii="仿宋_GB2312" w:eastAsia="仿宋_GB2312"/>
                <w:color w:val="000000"/>
                <w:kern w:val="0"/>
                <w:sz w:val="24"/>
              </w:rPr>
              <w:t>“</w:t>
            </w:r>
            <w:r>
              <w:rPr>
                <w:rFonts w:hint="eastAsia" w:ascii="仿宋_GB2312" w:hAnsi="宋体" w:eastAsia="仿宋_GB2312" w:cs="宋体"/>
                <w:color w:val="000000"/>
                <w:kern w:val="0"/>
                <w:sz w:val="24"/>
              </w:rPr>
              <w:t>减证便民</w:t>
            </w:r>
            <w:r>
              <w:rPr>
                <w:rFonts w:hint="eastAsia" w:ascii="仿宋_GB2312" w:eastAsia="仿宋_GB2312"/>
                <w:color w:val="000000"/>
                <w:kern w:val="0"/>
                <w:sz w:val="24"/>
              </w:rPr>
              <w:t>”</w:t>
            </w:r>
            <w:r>
              <w:rPr>
                <w:rFonts w:hint="eastAsia" w:ascii="仿宋_GB2312" w:hAnsi="宋体" w:eastAsia="仿宋_GB2312" w:cs="宋体"/>
                <w:color w:val="000000"/>
                <w:kern w:val="0"/>
                <w:sz w:val="24"/>
              </w:rPr>
              <w:t>。全面清理循环证明、重复证明，加快部门信息共享、简化办事办证流程。</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区司法局、行政服务中心管委会</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根据省市部署，组织各镇（乡）人民政府、街道办事处和区直有关单位进一步做好证明事项清理工作。</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洪旭明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张爱梅22633305</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74</w:t>
            </w: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w:t>
            </w:r>
            <w:r>
              <w:rPr>
                <w:rFonts w:hint="eastAsia" w:ascii="仿宋_GB2312" w:eastAsia="仿宋_GB2312"/>
                <w:color w:val="000000"/>
                <w:kern w:val="0"/>
                <w:sz w:val="24"/>
              </w:rPr>
              <w:t>150</w:t>
            </w:r>
            <w:r>
              <w:rPr>
                <w:rFonts w:hint="eastAsia" w:ascii="仿宋_GB2312" w:hAnsi="宋体" w:eastAsia="仿宋_GB2312" w:cs="宋体"/>
                <w:color w:val="000000"/>
                <w:kern w:val="0"/>
                <w:sz w:val="24"/>
              </w:rPr>
              <w:t>件</w:t>
            </w:r>
            <w:r>
              <w:rPr>
                <w:rFonts w:hint="eastAsia" w:ascii="仿宋_GB2312" w:eastAsia="仿宋_GB2312"/>
                <w:color w:val="000000"/>
                <w:kern w:val="0"/>
                <w:sz w:val="24"/>
              </w:rPr>
              <w:t>“一件事”集成套餐服务梳理，制定业务协同标准，构建办事服务平台，打通部门业务系统，实现线上集成套餐式服务，线下“一窗受理，集成服务”。持续开展“减证便民”。</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区行政服务中心管委会、发改局（审改办）</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完成150件“一件事”集成套餐服务梳理，3月底前完成30项。4月底前完成30项。5月底前完成40项。6月底前完成30项。12月底前完成20项。</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许安琪22637763</w:t>
            </w:r>
          </w:p>
        </w:tc>
      </w:tr>
      <w:tr>
        <w:tblPrEx>
          <w:tblCellMar>
            <w:top w:w="0" w:type="dxa"/>
            <w:left w:w="108" w:type="dxa"/>
            <w:bottom w:w="0" w:type="dxa"/>
            <w:right w:w="108" w:type="dxa"/>
          </w:tblCellMar>
        </w:tblPrEx>
        <w:trPr>
          <w:trHeight w:val="144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75</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深化</w:t>
            </w:r>
            <w:r>
              <w:rPr>
                <w:rFonts w:hint="eastAsia" w:ascii="仿宋_GB2312" w:eastAsia="仿宋_GB2312"/>
                <w:color w:val="000000"/>
                <w:kern w:val="0"/>
                <w:sz w:val="24"/>
              </w:rPr>
              <w:t>“e</w:t>
            </w:r>
            <w:r>
              <w:rPr>
                <w:rFonts w:hint="eastAsia" w:ascii="仿宋_GB2312" w:hAnsi="宋体" w:eastAsia="仿宋_GB2312" w:cs="宋体"/>
                <w:color w:val="000000"/>
                <w:kern w:val="0"/>
                <w:sz w:val="24"/>
              </w:rPr>
              <w:t>政务</w:t>
            </w:r>
            <w:r>
              <w:rPr>
                <w:rFonts w:hint="eastAsia" w:ascii="仿宋_GB2312" w:eastAsia="仿宋_GB2312"/>
                <w:color w:val="000000"/>
                <w:kern w:val="0"/>
                <w:sz w:val="24"/>
              </w:rPr>
              <w:t>”</w:t>
            </w:r>
            <w:r>
              <w:rPr>
                <w:rFonts w:hint="eastAsia" w:ascii="仿宋_GB2312" w:hAnsi="宋体" w:eastAsia="仿宋_GB2312" w:cs="宋体"/>
                <w:color w:val="000000"/>
                <w:kern w:val="0"/>
                <w:sz w:val="24"/>
              </w:rPr>
              <w:t>应用。推动重点领域、企业群众关注度高、办理量大的事项入驻</w:t>
            </w:r>
            <w:r>
              <w:rPr>
                <w:rFonts w:hint="eastAsia" w:ascii="仿宋_GB2312" w:eastAsia="仿宋_GB2312"/>
                <w:color w:val="000000"/>
                <w:kern w:val="0"/>
                <w:sz w:val="24"/>
              </w:rPr>
              <w:t>“e</w:t>
            </w:r>
            <w:r>
              <w:rPr>
                <w:rFonts w:hint="eastAsia" w:ascii="仿宋_GB2312" w:hAnsi="宋体" w:eastAsia="仿宋_GB2312" w:cs="宋体"/>
                <w:color w:val="000000"/>
                <w:kern w:val="0"/>
                <w:sz w:val="24"/>
              </w:rPr>
              <w:t>政务</w:t>
            </w:r>
            <w:r>
              <w:rPr>
                <w:rFonts w:hint="eastAsia" w:ascii="仿宋_GB2312" w:eastAsia="仿宋_GB2312"/>
                <w:color w:val="000000"/>
                <w:kern w:val="0"/>
                <w:sz w:val="24"/>
              </w:rPr>
              <w:t>”</w:t>
            </w:r>
            <w:r>
              <w:rPr>
                <w:rFonts w:hint="eastAsia" w:ascii="仿宋_GB2312" w:hAnsi="宋体" w:eastAsia="仿宋_GB2312" w:cs="宋体"/>
                <w:color w:val="000000"/>
                <w:kern w:val="0"/>
                <w:sz w:val="24"/>
              </w:rPr>
              <w:t>实现自助办理。在现有</w:t>
            </w:r>
            <w:r>
              <w:rPr>
                <w:rFonts w:hint="eastAsia" w:ascii="仿宋_GB2312" w:eastAsia="仿宋_GB2312"/>
                <w:color w:val="000000"/>
                <w:kern w:val="0"/>
                <w:sz w:val="24"/>
              </w:rPr>
              <w:t>“e</w:t>
            </w:r>
            <w:r>
              <w:rPr>
                <w:rFonts w:hint="eastAsia" w:ascii="仿宋_GB2312" w:hAnsi="宋体" w:eastAsia="仿宋_GB2312" w:cs="宋体"/>
                <w:color w:val="000000"/>
                <w:kern w:val="0"/>
                <w:sz w:val="24"/>
              </w:rPr>
              <w:t>政务</w:t>
            </w:r>
            <w:r>
              <w:rPr>
                <w:rFonts w:hint="eastAsia" w:ascii="仿宋_GB2312" w:eastAsia="仿宋_GB2312"/>
                <w:color w:val="000000"/>
                <w:kern w:val="0"/>
                <w:sz w:val="24"/>
              </w:rPr>
              <w:t>”</w:t>
            </w:r>
            <w:r>
              <w:rPr>
                <w:rFonts w:hint="eastAsia" w:ascii="仿宋_GB2312" w:hAnsi="宋体" w:eastAsia="仿宋_GB2312" w:cs="宋体"/>
                <w:color w:val="000000"/>
                <w:kern w:val="0"/>
                <w:sz w:val="24"/>
              </w:rPr>
              <w:t>政务服务自助一体机基础上，上线不动产服务的房产信息查询证明、交通服务事项</w:t>
            </w:r>
            <w:r>
              <w:rPr>
                <w:rFonts w:hint="eastAsia" w:ascii="仿宋_GB2312" w:eastAsia="仿宋_GB2312"/>
                <w:color w:val="000000"/>
                <w:kern w:val="0"/>
                <w:sz w:val="24"/>
              </w:rPr>
              <w:t>12</w:t>
            </w:r>
            <w:r>
              <w:rPr>
                <w:rFonts w:hint="eastAsia" w:ascii="仿宋_GB2312" w:hAnsi="宋体" w:eastAsia="仿宋_GB2312" w:cs="宋体"/>
                <w:color w:val="000000"/>
                <w:kern w:val="0"/>
                <w:sz w:val="24"/>
              </w:rPr>
              <w:t>项、医保服务事项</w:t>
            </w:r>
            <w:r>
              <w:rPr>
                <w:rFonts w:hint="eastAsia" w:ascii="仿宋_GB2312" w:eastAsia="仿宋_GB2312"/>
                <w:color w:val="000000"/>
                <w:kern w:val="0"/>
                <w:sz w:val="24"/>
              </w:rPr>
              <w:t>4</w:t>
            </w:r>
            <w:r>
              <w:rPr>
                <w:rFonts w:hint="eastAsia" w:ascii="仿宋_GB2312" w:hAnsi="宋体" w:eastAsia="仿宋_GB2312" w:cs="宋体"/>
                <w:color w:val="000000"/>
                <w:kern w:val="0"/>
                <w:sz w:val="24"/>
              </w:rPr>
              <w:t>项。</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在现有“e政务”政务服务自助一体机基础上，上线不动产服务的房产信息查询证明、交通服务事项12项、医保服务事项4项等重点领域、企业群众关注度高、办理量大的事项。</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76</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强化审批服务中介超市管理。按照</w:t>
            </w:r>
            <w:r>
              <w:rPr>
                <w:rFonts w:hint="eastAsia" w:ascii="仿宋_GB2312" w:eastAsia="仿宋_GB2312"/>
                <w:color w:val="000000"/>
                <w:kern w:val="0"/>
                <w:sz w:val="24"/>
              </w:rPr>
              <w:t>“</w:t>
            </w:r>
            <w:r>
              <w:rPr>
                <w:rFonts w:hint="eastAsia" w:ascii="仿宋_GB2312" w:hAnsi="宋体" w:eastAsia="仿宋_GB2312" w:cs="宋体"/>
                <w:color w:val="000000"/>
                <w:kern w:val="0"/>
                <w:sz w:val="24"/>
              </w:rPr>
              <w:t>谁主管、谁负责</w:t>
            </w:r>
            <w:r>
              <w:rPr>
                <w:rFonts w:hint="eastAsia" w:ascii="仿宋_GB2312" w:eastAsia="仿宋_GB2312"/>
                <w:color w:val="000000"/>
                <w:kern w:val="0"/>
                <w:sz w:val="24"/>
              </w:rPr>
              <w:t>”</w:t>
            </w:r>
            <w:r>
              <w:rPr>
                <w:rFonts w:hint="eastAsia" w:ascii="仿宋_GB2312" w:hAnsi="宋体" w:eastAsia="仿宋_GB2312" w:cs="宋体"/>
                <w:color w:val="000000"/>
                <w:kern w:val="0"/>
                <w:sz w:val="24"/>
              </w:rPr>
              <w:t>原则，各行业主管部门根据本行业制定相关中介服务示范文件，明确本行业中介服务的收费标准、服务时限、业务流程等。督促中介机构严格落实服务承诺制、限时办结制等制度，不断提高服务质量，提升服务效能。对政府性投资项目运用中介服务的要求对中介组织服务质量等进行评价，提高行政审批中介服务的公开、透明、高效的服务水平，形成</w:t>
            </w:r>
            <w:r>
              <w:rPr>
                <w:rFonts w:hint="eastAsia" w:ascii="仿宋_GB2312" w:eastAsia="仿宋_GB2312"/>
                <w:color w:val="000000"/>
                <w:kern w:val="0"/>
                <w:sz w:val="24"/>
              </w:rPr>
              <w:t xml:space="preserve"> “</w:t>
            </w:r>
            <w:r>
              <w:rPr>
                <w:rFonts w:hint="eastAsia" w:ascii="仿宋_GB2312" w:hAnsi="宋体" w:eastAsia="仿宋_GB2312" w:cs="宋体"/>
                <w:color w:val="000000"/>
                <w:kern w:val="0"/>
                <w:sz w:val="24"/>
              </w:rPr>
              <w:t>全链条</w:t>
            </w:r>
            <w:r>
              <w:rPr>
                <w:rFonts w:hint="eastAsia" w:ascii="仿宋_GB2312" w:eastAsia="仿宋_GB2312"/>
                <w:color w:val="000000"/>
                <w:kern w:val="0"/>
                <w:sz w:val="24"/>
              </w:rPr>
              <w:t>”</w:t>
            </w:r>
            <w:r>
              <w:rPr>
                <w:rFonts w:hint="eastAsia" w:ascii="仿宋_GB2312" w:hAnsi="宋体" w:eastAsia="仿宋_GB2312" w:cs="宋体"/>
                <w:color w:val="000000"/>
                <w:kern w:val="0"/>
                <w:sz w:val="24"/>
              </w:rPr>
              <w:t>的监管模式。</w:t>
            </w:r>
          </w:p>
        </w:tc>
        <w:tc>
          <w:tcPr>
            <w:tcW w:w="1276" w:type="dxa"/>
            <w:gridSpan w:val="8"/>
            <w:tcBorders>
              <w:top w:val="single" w:color="auto" w:sz="4" w:space="0"/>
              <w:left w:val="nil"/>
              <w:bottom w:val="single" w:color="auto" w:sz="12" w:space="0"/>
              <w:right w:val="single" w:color="auto" w:sz="4" w:space="0"/>
            </w:tcBorders>
            <w:shd w:val="clear" w:color="auto" w:fill="auto"/>
            <w:noWrap/>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区行政服务中心管委会、发改局（审改办）</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1.按照“谁主管、谁负责”原则，督促区各行业主管部门与市级沟通，制定我区各行业相关中介服务示范文件；</w:t>
            </w:r>
          </w:p>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2.区各行业主管部门督促中介机构严格落实服务承诺制、限时办结制等制度，不断提高服务质量，提升服务效能；</w:t>
            </w:r>
          </w:p>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3.落实“全链条”的监管模式，对政府性投资项目运用中介服务的要求对中介组织服务质量等进行评价，提高行政审批中介服务的公开、透明、高效的服务水平。</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黄子达 </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page"/>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page"/>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许安琪22637763</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276" w:type="dxa"/>
            <w:gridSpan w:val="8"/>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完成时限</w:t>
            </w:r>
          </w:p>
        </w:tc>
        <w:tc>
          <w:tcPr>
            <w:tcW w:w="1559"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378" w:type="dxa"/>
            <w:gridSpan w:val="6"/>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399"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77</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十五、政务服务</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w:t>
            </w:r>
            <w:r>
              <w:rPr>
                <w:rFonts w:hint="eastAsia" w:ascii="仿宋_GB2312" w:eastAsia="仿宋_GB2312"/>
                <w:color w:val="000000"/>
                <w:kern w:val="0"/>
                <w:sz w:val="24"/>
              </w:rPr>
              <w:t>“</w:t>
            </w:r>
            <w:r>
              <w:rPr>
                <w:rFonts w:hint="eastAsia" w:ascii="仿宋_GB2312" w:hAnsi="宋体" w:eastAsia="仿宋_GB2312" w:cs="宋体"/>
                <w:color w:val="000000"/>
                <w:kern w:val="0"/>
                <w:sz w:val="24"/>
              </w:rPr>
              <w:t>好差评</w:t>
            </w:r>
            <w:r>
              <w:rPr>
                <w:rFonts w:hint="eastAsia" w:ascii="仿宋_GB2312" w:eastAsia="仿宋_GB2312"/>
                <w:color w:val="000000"/>
                <w:kern w:val="0"/>
                <w:sz w:val="24"/>
              </w:rPr>
              <w:t>”</w:t>
            </w:r>
            <w:r>
              <w:rPr>
                <w:rFonts w:hint="eastAsia" w:ascii="仿宋_GB2312" w:hAnsi="宋体" w:eastAsia="仿宋_GB2312" w:cs="宋体"/>
                <w:color w:val="000000"/>
                <w:kern w:val="0"/>
                <w:sz w:val="24"/>
              </w:rPr>
              <w:t>制度。坚持以企业和群众的获得感和满意度作为评判标准，引入第三方评价机制，持续推动规范化实施政务服务</w:t>
            </w:r>
            <w:r>
              <w:rPr>
                <w:rFonts w:hint="eastAsia" w:ascii="仿宋_GB2312" w:eastAsia="仿宋_GB2312"/>
                <w:color w:val="000000"/>
                <w:kern w:val="0"/>
                <w:sz w:val="24"/>
              </w:rPr>
              <w:t>“</w:t>
            </w:r>
            <w:r>
              <w:rPr>
                <w:rFonts w:hint="eastAsia" w:ascii="仿宋_GB2312" w:hAnsi="宋体" w:eastAsia="仿宋_GB2312" w:cs="宋体"/>
                <w:color w:val="000000"/>
                <w:kern w:val="0"/>
                <w:sz w:val="24"/>
              </w:rPr>
              <w:t>好差评</w:t>
            </w:r>
            <w:r>
              <w:rPr>
                <w:rFonts w:hint="eastAsia" w:ascii="仿宋_GB2312" w:eastAsia="仿宋_GB2312"/>
                <w:color w:val="000000"/>
                <w:kern w:val="0"/>
                <w:sz w:val="24"/>
              </w:rPr>
              <w:t>”</w:t>
            </w:r>
            <w:r>
              <w:rPr>
                <w:rFonts w:hint="eastAsia" w:ascii="仿宋_GB2312" w:hAnsi="宋体" w:eastAsia="仿宋_GB2312" w:cs="宋体"/>
                <w:color w:val="000000"/>
                <w:kern w:val="0"/>
                <w:sz w:val="24"/>
              </w:rPr>
              <w:t>制度，倒逼各部门深化改革、改进服务。</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区行政服务中心管委会、发改局（审改办）</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持续推动规范化实施政务服务“好差评”制度，引导企业和群众对各部门工作人员办事服务、效果及时评价，倒逼各部门深化改革、改进服务。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黄子达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谢灵聪28105527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刘建中</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许安琪22637763</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78</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进一步深化热线整合。持续推进政务热线整合，扩大整合范围，拓展服务内容统一标准规范，加强运行管理，不断提升热线服务能力，确保实现群众诉求事事有回音、件件有落实。</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区信访局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区各有关单位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kern w:val="0"/>
                <w:sz w:val="24"/>
              </w:rPr>
            </w:pPr>
            <w:r>
              <w:rPr>
                <w:rFonts w:hint="eastAsia" w:ascii="仿宋_GB2312" w:hAnsi="宋体" w:eastAsia="仿宋_GB2312" w:cs="宋体"/>
                <w:kern w:val="0"/>
                <w:sz w:val="24"/>
              </w:rPr>
              <w:t>发挥12345政务服务便民热线作用，通过12345平台建立问题清单和销号机制，逐个解决和销号；针对常见问题，形成责任清单和建议、措施，探索建立协调解决链条，进一步提升12345政务服务热线功效。</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p>
        </w:tc>
      </w:tr>
      <w:tr>
        <w:tblPrEx>
          <w:tblCellMar>
            <w:top w:w="0" w:type="dxa"/>
            <w:left w:w="108" w:type="dxa"/>
            <w:bottom w:w="0" w:type="dxa"/>
            <w:right w:w="108" w:type="dxa"/>
          </w:tblCellMar>
        </w:tblPrEx>
        <w:trPr>
          <w:trHeight w:val="208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79</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有序推进数据汇聚。抓紧摸清信息系统底数、掌握实情、明确汇聚共享清单和数据表，确保应登尽登、应汇尽汇、完整准确。同时，加强与省数字办沟通衔接，按照先易后难，市级系统、省级系统、国家级系统逐步完成对接，配合相关部门共同推动系统对接和数据汇聚。</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p>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数字办</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区行政服务中心管委会、区各有关单位</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1.及时推进我区具有数据汇聚价值的自建信息系统汇聚至市数据汇聚平台，目前已完成区纪委、财政局、住建局、自然资源局、农水局共5套自建信息系统数据汇聚，将持续跟进；</w:t>
            </w:r>
          </w:p>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2.结合我区自建信息系统建设，及时推进自建系统数据汇聚，加强与市数字办沟通衔接，协助数据共享需求部门在数据回流方面的调取和协调。</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陶英航</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13959799502</w:t>
            </w:r>
          </w:p>
        </w:tc>
      </w:tr>
      <w:tr>
        <w:tblPrEx>
          <w:tblCellMar>
            <w:top w:w="0" w:type="dxa"/>
            <w:left w:w="108" w:type="dxa"/>
            <w:bottom w:w="0" w:type="dxa"/>
            <w:right w:w="108" w:type="dxa"/>
          </w:tblCellMar>
        </w:tblPrEx>
        <w:trPr>
          <w:trHeight w:val="145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80</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启动政务数据汇聚平台（二期）建设。完善建设一体化数据中台技术与服务框架，完善公共基础数据库建设、开发政务服务总线，开展平台信创应用。持续梳理数据资产、实施政务数据汇聚、深化政务数据治理服务、提供高质量的数据接口服务和业务协同服务。</w:t>
            </w:r>
          </w:p>
        </w:tc>
        <w:tc>
          <w:tcPr>
            <w:tcW w:w="1276" w:type="dxa"/>
            <w:gridSpan w:val="8"/>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数字办</w:t>
            </w:r>
          </w:p>
        </w:tc>
        <w:tc>
          <w:tcPr>
            <w:tcW w:w="4378" w:type="dxa"/>
            <w:gridSpan w:val="6"/>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配合市数字办及相关部门共同推进市数据汇聚平台（二期）建设，扩大汇聚数据信息。</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陶英航</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13959799502</w:t>
            </w:r>
          </w:p>
        </w:tc>
      </w:tr>
      <w:tr>
        <w:tblPrEx>
          <w:tblCellMar>
            <w:top w:w="0" w:type="dxa"/>
            <w:left w:w="108" w:type="dxa"/>
            <w:bottom w:w="0" w:type="dxa"/>
            <w:right w:w="108" w:type="dxa"/>
          </w:tblCellMar>
        </w:tblPrEx>
        <w:trPr>
          <w:trHeight w:val="5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81</w:t>
            </w:r>
          </w:p>
        </w:tc>
        <w:tc>
          <w:tcPr>
            <w:tcW w:w="1171" w:type="dxa"/>
            <w:vMerge w:val="continue"/>
            <w:tcBorders>
              <w:top w:val="single" w:color="auto" w:sz="4" w:space="0"/>
              <w:left w:val="single" w:color="auto" w:sz="4" w:space="0"/>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实施政务服务资源整合攻坚，大力推广闽政通泉服务，推进惠便民、泉民生、泉信用、泉证照等便民服务及公路局、公安交警等各类政务服务入驻，力争上线便民服务事项扩大至</w:t>
            </w:r>
            <w:r>
              <w:rPr>
                <w:rFonts w:hint="eastAsia" w:ascii="仿宋_GB2312" w:eastAsia="仿宋_GB2312"/>
                <w:color w:val="000000"/>
                <w:kern w:val="0"/>
                <w:sz w:val="24"/>
              </w:rPr>
              <w:t>60</w:t>
            </w:r>
            <w:r>
              <w:rPr>
                <w:rFonts w:hint="eastAsia" w:ascii="仿宋_GB2312" w:hAnsi="宋体" w:eastAsia="仿宋_GB2312" w:cs="宋体"/>
                <w:color w:val="000000"/>
                <w:kern w:val="0"/>
                <w:sz w:val="24"/>
              </w:rPr>
              <w:t>余项。</w:t>
            </w:r>
          </w:p>
        </w:tc>
        <w:tc>
          <w:tcPr>
            <w:tcW w:w="1276" w:type="dxa"/>
            <w:gridSpan w:val="8"/>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559"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区发改局、数字办</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、行政服务中心管委会、交警大队</w:t>
            </w:r>
          </w:p>
        </w:tc>
        <w:tc>
          <w:tcPr>
            <w:tcW w:w="4378" w:type="dxa"/>
            <w:gridSpan w:val="6"/>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配合市级开展数据汇聚整合以及推进闽政通泉服务事项应用。</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陶英航</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13959799502</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完成时限</w:t>
            </w:r>
          </w:p>
        </w:tc>
        <w:tc>
          <w:tcPr>
            <w:tcW w:w="1559"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520"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33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82</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十五、政务服务</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深化政务数据应用。重点围绕高效化政务服务和民生服务需求，开发政务大数据场景化应用，充分挖掘政务数据在政务服务和民生服务领域的应用，继续完善基础数据库，加快构建</w:t>
            </w:r>
            <w:r>
              <w:rPr>
                <w:rFonts w:hint="eastAsia" w:ascii="仿宋_GB2312" w:eastAsia="仿宋_GB2312"/>
                <w:color w:val="000000"/>
                <w:kern w:val="0"/>
                <w:sz w:val="24"/>
              </w:rPr>
              <w:t>“6+N”</w:t>
            </w:r>
            <w:r>
              <w:rPr>
                <w:rFonts w:hint="eastAsia" w:ascii="仿宋_GB2312" w:hAnsi="宋体" w:eastAsia="仿宋_GB2312" w:cs="宋体"/>
                <w:color w:val="000000"/>
                <w:kern w:val="0"/>
                <w:sz w:val="24"/>
              </w:rPr>
              <w:t>数据资源体系，建设一批主题数据库，建成一批场景化大数据应用。</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p>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数字办</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配合市数字办及相关部门共同推进基础数据库建设及应用。</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陶英航</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13959799502</w:t>
            </w:r>
          </w:p>
        </w:tc>
      </w:tr>
      <w:tr>
        <w:tblPrEx>
          <w:tblCellMar>
            <w:top w:w="0" w:type="dxa"/>
            <w:left w:w="108" w:type="dxa"/>
            <w:bottom w:w="0" w:type="dxa"/>
            <w:right w:w="108" w:type="dxa"/>
          </w:tblCellMar>
        </w:tblPrEx>
        <w:trPr>
          <w:trHeight w:val="100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83</w:t>
            </w:r>
          </w:p>
        </w:tc>
        <w:tc>
          <w:tcPr>
            <w:tcW w:w="11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十六、知识产权创造、运用和保护</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推动产业、企业开展专利导航，支持培育高价值专利。</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上半年完成2家企业专利导航项目签约落地，对标上级通知摸排我区符合高价值专利项目的企业精准指导争取上级项目入选。</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林绮丽22633719</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管  佩22631350</w:t>
            </w:r>
          </w:p>
        </w:tc>
      </w:tr>
      <w:tr>
        <w:tblPrEx>
          <w:tblCellMar>
            <w:top w:w="0" w:type="dxa"/>
            <w:left w:w="108" w:type="dxa"/>
            <w:bottom w:w="0" w:type="dxa"/>
            <w:right w:w="108" w:type="dxa"/>
          </w:tblCellMar>
        </w:tblPrEx>
        <w:trPr>
          <w:trHeight w:val="184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84</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设立知识产权运营基金，重点投向知识产权二次开发、成果转化、高价值专利培育及产业化等项目。</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设立知识产权专项资金，集中开展区本年度知识产权扶持政策，在企业自主申报、材料审核、现场评审等环节后及时兑现扶持资金，并精准下达“贯标”奖励资金等市级奖励政策，提升企业知识产权二次开发、成果转化、高价值专利培育及产业化等项目的积极性。</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林绮丽22633719</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管  佩22631350</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85</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完成泉州知识产权展示馆建设并投入运行。</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300" w:lineRule="exact"/>
              <w:jc w:val="center"/>
              <w:rPr>
                <w:rFonts w:ascii="仿宋_GB2312" w:eastAsia="仿宋_GB2312"/>
                <w:color w:val="000000"/>
                <w:kern w:val="0"/>
                <w:sz w:val="24"/>
              </w:rPr>
            </w:pPr>
            <w:r>
              <w:rPr>
                <w:rFonts w:hint="eastAsia" w:ascii="仿宋_GB2312" w:eastAsia="仿宋_GB2312"/>
                <w:color w:val="000000"/>
                <w:kern w:val="0"/>
                <w:sz w:val="24"/>
              </w:rPr>
              <w:t>6月底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组织指导辖区企业按照“自愿”“自主”原则参与泉州市知识产权展示馆（泉州市商标馆）布展展示工作。3月开展企业需求摸底统筹，4月统筹安排企业布展设计工作，12月底前配合市局协调企业完成展馆实际布展工作。</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林绮丽22633719</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管  佩22631350</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86</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建立知识产权质押融资风险补偿机制，发挥补偿资金杠杆作用，降低企业融资成本。</w:t>
            </w:r>
          </w:p>
        </w:tc>
        <w:tc>
          <w:tcPr>
            <w:tcW w:w="1134"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30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30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区财政局、金融办</w:t>
            </w:r>
          </w:p>
        </w:tc>
        <w:tc>
          <w:tcPr>
            <w:tcW w:w="4520"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30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宣传知识产权质押融资风险补偿机制，协助辖区有需求的企业通过知识产权质押融资风险补偿机制降低企业融资成本。</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林绮丽22633719</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管  佩</w:t>
            </w:r>
          </w:p>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22631350</w:t>
            </w:r>
          </w:p>
        </w:tc>
      </w:tr>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559"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520"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87</w:t>
            </w:r>
          </w:p>
        </w:tc>
        <w:tc>
          <w:tcPr>
            <w:tcW w:w="1171" w:type="dxa"/>
            <w:vMerge w:val="restart"/>
            <w:tcBorders>
              <w:top w:val="single" w:color="auto" w:sz="4" w:space="0"/>
              <w:left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十七、市场监管</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落实和完善包容审慎监管，制定《泉州市市场监管首次轻微违法行为免罚清单》，开展轻微违法行为</w:t>
            </w:r>
            <w:r>
              <w:rPr>
                <w:rFonts w:hint="eastAsia" w:ascii="仿宋_GB2312" w:eastAsia="仿宋_GB2312"/>
                <w:color w:val="000000"/>
                <w:kern w:val="0"/>
                <w:sz w:val="24"/>
              </w:rPr>
              <w:t>“</w:t>
            </w:r>
            <w:r>
              <w:rPr>
                <w:rFonts w:hint="eastAsia" w:ascii="仿宋_GB2312" w:hAnsi="宋体" w:eastAsia="仿宋_GB2312" w:cs="宋体"/>
                <w:color w:val="000000"/>
                <w:kern w:val="0"/>
                <w:sz w:val="24"/>
              </w:rPr>
              <w:t>免罚清单</w:t>
            </w:r>
            <w:r>
              <w:rPr>
                <w:rFonts w:hint="eastAsia" w:ascii="仿宋_GB2312" w:eastAsia="仿宋_GB2312"/>
                <w:color w:val="000000"/>
                <w:kern w:val="0"/>
                <w:sz w:val="24"/>
              </w:rPr>
              <w:t>”</w:t>
            </w:r>
            <w:r>
              <w:rPr>
                <w:rFonts w:hint="eastAsia" w:ascii="仿宋_GB2312" w:hAnsi="宋体" w:eastAsia="仿宋_GB2312" w:cs="宋体"/>
                <w:color w:val="000000"/>
                <w:kern w:val="0"/>
                <w:sz w:val="24"/>
              </w:rPr>
              <w:t>试点，为各类市场主体特别是中小企业、新业态企业发展创造宽松的创新环境。</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3月底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区市场监管局、司法局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区各行政监管部门</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根据省、市制定的市场主体轻微违法行为免予处罚清单制定我区清单。</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  涛13600788477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洪旭明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林冰红22633305</w:t>
            </w:r>
          </w:p>
        </w:tc>
      </w:tr>
      <w:tr>
        <w:tblPrEx>
          <w:tblCellMar>
            <w:top w:w="0" w:type="dxa"/>
            <w:left w:w="108" w:type="dxa"/>
            <w:bottom w:w="0" w:type="dxa"/>
            <w:right w:w="108" w:type="dxa"/>
          </w:tblCellMar>
        </w:tblPrEx>
        <w:trPr>
          <w:trHeight w:val="118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88</w:t>
            </w:r>
          </w:p>
        </w:tc>
        <w:tc>
          <w:tcPr>
            <w:tcW w:w="1171" w:type="dxa"/>
            <w:vMerge w:val="continue"/>
            <w:tcBorders>
              <w:left w:val="single" w:color="auto" w:sz="4" w:space="0"/>
              <w:right w:val="single" w:color="auto" w:sz="4" w:space="0"/>
            </w:tcBorders>
            <w:vAlign w:val="center"/>
          </w:tcPr>
          <w:p>
            <w:pPr>
              <w:widowControl/>
              <w:spacing w:line="25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降低市场主体退出成本，激发市场主体竞争活力，完善优胜劣汰的市场机制，以</w:t>
            </w:r>
            <w:r>
              <w:rPr>
                <w:rFonts w:hint="eastAsia" w:ascii="仿宋_GB2312" w:eastAsia="仿宋_GB2312"/>
                <w:color w:val="000000"/>
                <w:spacing w:val="-4"/>
                <w:kern w:val="0"/>
                <w:sz w:val="24"/>
              </w:rPr>
              <w:t>2</w:t>
            </w:r>
            <w:r>
              <w:rPr>
                <w:rFonts w:hint="eastAsia" w:ascii="仿宋_GB2312" w:hAnsi="宋体" w:eastAsia="仿宋_GB2312" w:cs="宋体"/>
                <w:color w:val="000000"/>
                <w:spacing w:val="-4"/>
                <w:kern w:val="0"/>
                <w:sz w:val="24"/>
              </w:rPr>
              <w:t>年未年报的市场主体为主要对象，开展无正当理由长期未经营的市场主体清理工作。</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下发通知对2年未年报3085家个体户按规定进行简易注销，已经完成个体户依职权简易注销56户。</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page"/>
            </w:r>
          </w:p>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陈锦川 13808547227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89</w:t>
            </w:r>
          </w:p>
        </w:tc>
        <w:tc>
          <w:tcPr>
            <w:tcW w:w="1171" w:type="dxa"/>
            <w:vMerge w:val="continue"/>
            <w:tcBorders>
              <w:left w:val="single" w:color="auto" w:sz="4" w:space="0"/>
              <w:right w:val="single" w:color="auto" w:sz="4" w:space="0"/>
            </w:tcBorders>
            <w:vAlign w:val="center"/>
          </w:tcPr>
          <w:p>
            <w:pPr>
              <w:widowControl/>
              <w:spacing w:line="25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制定跨部门联合抽查事项清单，推进全流程电子化运行，做到全程留痕、责任可追溯。</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通过协同监管平台组织开展跨部门联合抽查，并通过政务公开公布跨部门抽查清单，实现全流程电子化。</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陈锦川 13808547227</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90</w:t>
            </w:r>
          </w:p>
        </w:tc>
        <w:tc>
          <w:tcPr>
            <w:tcW w:w="1171" w:type="dxa"/>
            <w:vMerge w:val="continue"/>
            <w:tcBorders>
              <w:left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改造泉州市行政执法信息平台，落实行政处罚等权力事项上网运行，推动实现执法全过程记录，执法活动网上监督。</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区司法局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结合我区实际，监督各执法单位通过政府信息公开考核、网上办事大厅等电子政务外网进行公示。</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洪旭明</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林冰红22633305</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91</w:t>
            </w:r>
          </w:p>
        </w:tc>
        <w:tc>
          <w:tcPr>
            <w:tcW w:w="1171" w:type="dxa"/>
            <w:vMerge w:val="continue"/>
            <w:tcBorders>
              <w:left w:val="single" w:color="auto" w:sz="4" w:space="0"/>
              <w:right w:val="single" w:color="auto" w:sz="4" w:space="0"/>
            </w:tcBorders>
            <w:vAlign w:val="center"/>
          </w:tcPr>
          <w:p>
            <w:pPr>
              <w:widowControl/>
              <w:spacing w:line="25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推动在市公共信用信息平台建立公务员、事业人员、政府部门及事业单位数据库，推进政府部门、公务人员数字化信用档案全覆盖。建立政务诚信指标体系。</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区委组织部、人社局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配合市信用办在“市公共信用信息平台”建立公务员、事业人员、政府部门及事业单位数据库，依据市级部署贯彻落实市场主体诚信指标体系及政务诚信指标体系。</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陶英航</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13959799502</w:t>
            </w:r>
          </w:p>
        </w:tc>
      </w:tr>
      <w:tr>
        <w:tblPrEx>
          <w:tblCellMar>
            <w:top w:w="0" w:type="dxa"/>
            <w:left w:w="108" w:type="dxa"/>
            <w:bottom w:w="0" w:type="dxa"/>
            <w:right w:w="108" w:type="dxa"/>
          </w:tblCellMar>
        </w:tblPrEx>
        <w:trPr>
          <w:trHeight w:val="5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50" w:lineRule="exact"/>
              <w:jc w:val="center"/>
              <w:rPr>
                <w:rFonts w:ascii="仿宋_GB2312" w:eastAsia="仿宋_GB2312"/>
                <w:color w:val="000000"/>
                <w:kern w:val="0"/>
                <w:sz w:val="24"/>
              </w:rPr>
            </w:pPr>
            <w:r>
              <w:rPr>
                <w:rFonts w:hint="eastAsia" w:ascii="仿宋_GB2312" w:eastAsia="仿宋_GB2312"/>
                <w:color w:val="000000"/>
                <w:kern w:val="0"/>
                <w:sz w:val="24"/>
              </w:rPr>
              <w:t>92</w:t>
            </w:r>
          </w:p>
        </w:tc>
        <w:tc>
          <w:tcPr>
            <w:tcW w:w="1171" w:type="dxa"/>
            <w:vMerge w:val="continue"/>
            <w:tcBorders>
              <w:left w:val="single" w:color="auto" w:sz="4" w:space="0"/>
              <w:bottom w:val="single" w:color="auto" w:sz="12" w:space="0"/>
              <w:right w:val="single" w:color="auto" w:sz="4" w:space="0"/>
            </w:tcBorders>
            <w:vAlign w:val="center"/>
          </w:tcPr>
          <w:p>
            <w:pPr>
              <w:widowControl/>
              <w:spacing w:line="25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拓展部门联合</w:t>
            </w:r>
            <w:r>
              <w:rPr>
                <w:rFonts w:hint="eastAsia" w:ascii="仿宋_GB2312" w:eastAsia="仿宋_GB2312"/>
                <w:color w:val="000000"/>
                <w:kern w:val="0"/>
                <w:sz w:val="24"/>
              </w:rPr>
              <w:t>“</w:t>
            </w:r>
            <w:r>
              <w:rPr>
                <w:rFonts w:hint="eastAsia" w:ascii="仿宋_GB2312" w:hAnsi="宋体" w:eastAsia="仿宋_GB2312" w:cs="宋体"/>
                <w:color w:val="000000"/>
                <w:kern w:val="0"/>
                <w:sz w:val="24"/>
              </w:rPr>
              <w:t>双随机、一公开</w:t>
            </w:r>
            <w:r>
              <w:rPr>
                <w:rFonts w:hint="eastAsia" w:ascii="仿宋_GB2312" w:eastAsia="仿宋_GB2312"/>
                <w:color w:val="000000"/>
                <w:kern w:val="0"/>
                <w:sz w:val="24"/>
              </w:rPr>
              <w:t>”</w:t>
            </w:r>
            <w:r>
              <w:rPr>
                <w:rFonts w:hint="eastAsia" w:ascii="仿宋_GB2312" w:hAnsi="宋体" w:eastAsia="仿宋_GB2312" w:cs="宋体"/>
                <w:color w:val="000000"/>
                <w:kern w:val="0"/>
                <w:sz w:val="24"/>
              </w:rPr>
              <w:t>监管覆盖范围，将更多事项纳入联合抽查范围。对涉及群众生命健康安全等领域实行全覆盖重点监管。提高</w:t>
            </w:r>
            <w:r>
              <w:rPr>
                <w:rFonts w:hint="eastAsia" w:ascii="仿宋_GB2312" w:eastAsia="仿宋_GB2312"/>
                <w:color w:val="000000"/>
                <w:kern w:val="0"/>
                <w:sz w:val="24"/>
              </w:rPr>
              <w:t>“</w:t>
            </w:r>
            <w:r>
              <w:rPr>
                <w:rFonts w:hint="eastAsia" w:ascii="仿宋_GB2312" w:hAnsi="宋体" w:eastAsia="仿宋_GB2312" w:cs="宋体"/>
                <w:color w:val="000000"/>
                <w:kern w:val="0"/>
                <w:sz w:val="24"/>
              </w:rPr>
              <w:t>互联网</w:t>
            </w:r>
            <w:r>
              <w:rPr>
                <w:rFonts w:hint="eastAsia" w:ascii="仿宋_GB2312" w:eastAsia="仿宋_GB2312"/>
                <w:color w:val="000000"/>
                <w:kern w:val="0"/>
                <w:sz w:val="24"/>
              </w:rPr>
              <w:t>+</w:t>
            </w:r>
            <w:r>
              <w:rPr>
                <w:rFonts w:hint="eastAsia" w:ascii="仿宋_GB2312" w:hAnsi="宋体" w:eastAsia="仿宋_GB2312" w:cs="宋体"/>
                <w:color w:val="000000"/>
                <w:kern w:val="0"/>
                <w:sz w:val="24"/>
              </w:rPr>
              <w:t>监管</w:t>
            </w:r>
            <w:r>
              <w:rPr>
                <w:rFonts w:hint="eastAsia" w:ascii="仿宋_GB2312" w:eastAsia="仿宋_GB2312"/>
                <w:color w:val="000000"/>
                <w:kern w:val="0"/>
                <w:sz w:val="24"/>
              </w:rPr>
              <w:t>”</w:t>
            </w:r>
            <w:r>
              <w:rPr>
                <w:rFonts w:hint="eastAsia" w:ascii="仿宋_GB2312" w:hAnsi="宋体" w:eastAsia="仿宋_GB2312" w:cs="宋体"/>
                <w:color w:val="000000"/>
                <w:kern w:val="0"/>
                <w:sz w:val="24"/>
              </w:rPr>
              <w:t>覆盖，确保全市整体主项覆盖率达到</w:t>
            </w:r>
            <w:r>
              <w:rPr>
                <w:rFonts w:hint="eastAsia" w:ascii="仿宋_GB2312" w:eastAsia="仿宋_GB2312"/>
                <w:color w:val="000000"/>
                <w:kern w:val="0"/>
                <w:sz w:val="24"/>
              </w:rPr>
              <w:t>100%</w:t>
            </w:r>
            <w:r>
              <w:rPr>
                <w:rFonts w:hint="eastAsia" w:ascii="仿宋_GB2312" w:hAnsi="宋体" w:eastAsia="仿宋_GB2312" w:cs="宋体"/>
                <w:color w:val="000000"/>
                <w:kern w:val="0"/>
                <w:sz w:val="24"/>
              </w:rPr>
              <w:t>以上。</w:t>
            </w:r>
          </w:p>
        </w:tc>
        <w:tc>
          <w:tcPr>
            <w:tcW w:w="1134"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区市场监管局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区数字办、发改局、区“双随机、一公开”跨部门联合监管工作联席会议成员单位</w:t>
            </w:r>
          </w:p>
        </w:tc>
        <w:tc>
          <w:tcPr>
            <w:tcW w:w="4520"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5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开展清单式监管，提升跨部门双随机抽查监管成效；在实现“双随机一公开”部门全覆盖的基础上，按照省、市局要求开展涉企跨部门“双随机一公开”联合抽查工作并通过协同监管平台公示，组织开展下半年农民专业合作社抽查、个体户年报抽查等监管任务，实现企业类型的全覆盖；持续推动“互联网+监管”工作，主项覆盖率已达到100%。</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5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郑美燕 13600760207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陈锦川 13808547227</w:t>
            </w:r>
          </w:p>
        </w:tc>
      </w:tr>
      <w:tr>
        <w:tblPrEx>
          <w:tblCellMar>
            <w:top w:w="0" w:type="dxa"/>
            <w:left w:w="108" w:type="dxa"/>
            <w:bottom w:w="0" w:type="dxa"/>
            <w:right w:w="108" w:type="dxa"/>
          </w:tblCellMar>
        </w:tblPrEx>
        <w:trPr>
          <w:trHeight w:val="395"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253" w:type="dxa"/>
            <w:gridSpan w:val="5"/>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559"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4520"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51"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93</w:t>
            </w:r>
          </w:p>
        </w:tc>
        <w:tc>
          <w:tcPr>
            <w:tcW w:w="1171"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十七、市场监管</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加强互联网监管，将平台录入和运用情况纳入年度电子政务绩效考核评价体系，不定期抽查、通报各部门、各县（市、区）推进情况。</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区发改局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协调督促各部门加强对“互联网+监管”平台的录入和运用，不定期抽查、通报各部门主项覆盖率、录入质量等情况。</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王靖娟</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许安琪22637763</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94</w:t>
            </w:r>
          </w:p>
        </w:tc>
        <w:tc>
          <w:tcPr>
            <w:tcW w:w="1171" w:type="dxa"/>
            <w:vMerge w:val="restart"/>
            <w:tcBorders>
              <w:top w:val="single" w:color="auto" w:sz="4" w:space="0"/>
              <w:left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十八、包容普惠</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创新</w:t>
            </w: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推动</w:t>
            </w:r>
            <w:r>
              <w:rPr>
                <w:rFonts w:hint="eastAsia" w:ascii="仿宋_GB2312" w:eastAsia="仿宋_GB2312"/>
                <w:color w:val="000000"/>
                <w:kern w:val="0"/>
                <w:sz w:val="24"/>
              </w:rPr>
              <w:t>“</w:t>
            </w:r>
            <w:r>
              <w:rPr>
                <w:rFonts w:hint="eastAsia" w:ascii="仿宋_GB2312" w:hAnsi="宋体" w:eastAsia="仿宋_GB2312" w:cs="宋体"/>
                <w:color w:val="000000"/>
                <w:kern w:val="0"/>
                <w:sz w:val="24"/>
              </w:rPr>
              <w:t>四好农村路</w:t>
            </w:r>
            <w:r>
              <w:rPr>
                <w:rFonts w:hint="eastAsia" w:ascii="仿宋_GB2312" w:eastAsia="仿宋_GB2312"/>
                <w:color w:val="000000"/>
                <w:kern w:val="0"/>
                <w:sz w:val="24"/>
              </w:rPr>
              <w:t>”</w:t>
            </w:r>
            <w:r>
              <w:rPr>
                <w:rFonts w:hint="eastAsia" w:ascii="仿宋_GB2312" w:hAnsi="宋体" w:eastAsia="仿宋_GB2312" w:cs="宋体"/>
                <w:color w:val="000000"/>
                <w:kern w:val="0"/>
                <w:sz w:val="24"/>
              </w:rPr>
              <w:t>高质量发展，实施农村公路畅通工程，重点推进农村公路提级改造和通建制村公路</w:t>
            </w:r>
            <w:r>
              <w:rPr>
                <w:rFonts w:hint="eastAsia" w:ascii="仿宋_GB2312" w:eastAsia="仿宋_GB2312"/>
                <w:color w:val="000000"/>
                <w:kern w:val="0"/>
                <w:sz w:val="24"/>
              </w:rPr>
              <w:t>“</w:t>
            </w:r>
            <w:r>
              <w:rPr>
                <w:rFonts w:hint="eastAsia" w:ascii="仿宋_GB2312" w:hAnsi="宋体" w:eastAsia="仿宋_GB2312" w:cs="宋体"/>
                <w:color w:val="000000"/>
                <w:kern w:val="0"/>
                <w:sz w:val="24"/>
              </w:rPr>
              <w:t>单改双</w:t>
            </w:r>
            <w:r>
              <w:rPr>
                <w:rFonts w:hint="eastAsia" w:ascii="仿宋_GB2312" w:eastAsia="仿宋_GB2312"/>
                <w:color w:val="000000"/>
                <w:kern w:val="0"/>
                <w:sz w:val="24"/>
              </w:rPr>
              <w:t>”</w:t>
            </w:r>
            <w:r>
              <w:rPr>
                <w:rFonts w:hint="eastAsia" w:ascii="仿宋_GB2312" w:hAnsi="宋体" w:eastAsia="仿宋_GB2312" w:cs="宋体"/>
                <w:color w:val="000000"/>
                <w:kern w:val="0"/>
                <w:sz w:val="24"/>
              </w:rPr>
              <w:t>，有序推进较大自然村（组）公路硬化，</w:t>
            </w:r>
            <w:r>
              <w:rPr>
                <w:rFonts w:hint="eastAsia" w:ascii="仿宋_GB2312" w:eastAsia="仿宋_GB2312"/>
                <w:color w:val="000000"/>
                <w:kern w:val="0"/>
                <w:sz w:val="24"/>
              </w:rPr>
              <w:t>2021</w:t>
            </w:r>
            <w:r>
              <w:rPr>
                <w:rFonts w:hint="eastAsia" w:ascii="仿宋_GB2312" w:hAnsi="宋体" w:eastAsia="仿宋_GB2312" w:cs="宋体"/>
                <w:color w:val="000000"/>
                <w:kern w:val="0"/>
                <w:sz w:val="24"/>
              </w:rPr>
              <w:t>年新改建农村公路</w:t>
            </w:r>
            <w:r>
              <w:rPr>
                <w:rFonts w:hint="eastAsia" w:ascii="仿宋_GB2312" w:eastAsia="仿宋_GB2312"/>
                <w:color w:val="000000"/>
                <w:kern w:val="0"/>
                <w:sz w:val="24"/>
              </w:rPr>
              <w:t>100</w:t>
            </w:r>
            <w:r>
              <w:rPr>
                <w:rFonts w:hint="eastAsia" w:ascii="仿宋_GB2312" w:hAnsi="宋体" w:eastAsia="仿宋_GB2312" w:cs="宋体"/>
                <w:color w:val="000000"/>
                <w:kern w:val="0"/>
                <w:sz w:val="24"/>
              </w:rPr>
              <w:t>公里；持续推进农村公路危桥改造和安全隐患整治，</w:t>
            </w:r>
            <w:r>
              <w:rPr>
                <w:rFonts w:hint="eastAsia" w:ascii="仿宋_GB2312" w:eastAsia="仿宋_GB2312"/>
                <w:color w:val="000000"/>
                <w:kern w:val="0"/>
                <w:sz w:val="24"/>
              </w:rPr>
              <w:t>2021</w:t>
            </w:r>
            <w:r>
              <w:rPr>
                <w:rFonts w:hint="eastAsia" w:ascii="仿宋_GB2312" w:hAnsi="宋体" w:eastAsia="仿宋_GB2312" w:cs="宋体"/>
                <w:color w:val="000000"/>
                <w:kern w:val="0"/>
                <w:sz w:val="24"/>
              </w:rPr>
              <w:t>年改造农村公路危桥</w:t>
            </w:r>
            <w:r>
              <w:rPr>
                <w:rFonts w:hint="eastAsia" w:ascii="仿宋_GB2312" w:eastAsia="仿宋_GB2312"/>
                <w:color w:val="000000"/>
                <w:kern w:val="0"/>
                <w:sz w:val="24"/>
              </w:rPr>
              <w:t>15</w:t>
            </w:r>
            <w:r>
              <w:rPr>
                <w:rFonts w:hint="eastAsia" w:ascii="仿宋_GB2312" w:hAnsi="宋体" w:eastAsia="仿宋_GB2312" w:cs="宋体"/>
                <w:color w:val="000000"/>
                <w:kern w:val="0"/>
                <w:sz w:val="24"/>
              </w:rPr>
              <w:t>座以上。</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区住建局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第一、二季度进行摸底排查，进行勘查设计及招投标等前期工作，第三季度进行项目建设，第四季度完成验收。</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林志钊</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黄  健15259501908</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95</w:t>
            </w:r>
          </w:p>
        </w:tc>
        <w:tc>
          <w:tcPr>
            <w:tcW w:w="1171" w:type="dxa"/>
            <w:vMerge w:val="continue"/>
            <w:tcBorders>
              <w:left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力争</w:t>
            </w:r>
            <w:r>
              <w:rPr>
                <w:rFonts w:hint="eastAsia" w:ascii="仿宋_GB2312" w:eastAsia="仿宋_GB2312"/>
                <w:color w:val="000000"/>
                <w:spacing w:val="-4"/>
                <w:kern w:val="0"/>
                <w:sz w:val="24"/>
              </w:rPr>
              <w:t>27</w:t>
            </w:r>
            <w:r>
              <w:rPr>
                <w:rFonts w:hint="eastAsia" w:ascii="仿宋_GB2312" w:hAnsi="宋体" w:eastAsia="仿宋_GB2312" w:cs="宋体"/>
                <w:color w:val="000000"/>
                <w:spacing w:val="-4"/>
                <w:kern w:val="0"/>
                <w:sz w:val="24"/>
              </w:rPr>
              <w:t>所幼儿园项目竣工投用，新增学位</w:t>
            </w:r>
            <w:r>
              <w:rPr>
                <w:rFonts w:hint="eastAsia" w:ascii="仿宋_GB2312" w:eastAsia="仿宋_GB2312"/>
                <w:color w:val="000000"/>
                <w:spacing w:val="-4"/>
                <w:kern w:val="0"/>
                <w:sz w:val="24"/>
              </w:rPr>
              <w:t>0.9</w:t>
            </w:r>
            <w:r>
              <w:rPr>
                <w:rFonts w:hint="eastAsia" w:ascii="仿宋_GB2312" w:hAnsi="宋体" w:eastAsia="仿宋_GB2312" w:cs="宋体"/>
                <w:color w:val="000000"/>
                <w:spacing w:val="-4"/>
                <w:kern w:val="0"/>
                <w:sz w:val="24"/>
              </w:rPr>
              <w:t>万个；完成</w:t>
            </w:r>
            <w:r>
              <w:rPr>
                <w:rFonts w:hint="eastAsia" w:ascii="仿宋_GB2312" w:eastAsia="仿宋_GB2312"/>
                <w:color w:val="000000"/>
                <w:spacing w:val="-4"/>
                <w:kern w:val="0"/>
                <w:sz w:val="24"/>
              </w:rPr>
              <w:t>5</w:t>
            </w:r>
            <w:r>
              <w:rPr>
                <w:rFonts w:hint="eastAsia" w:ascii="仿宋_GB2312" w:hAnsi="宋体" w:eastAsia="仿宋_GB2312" w:cs="宋体"/>
                <w:color w:val="000000"/>
                <w:spacing w:val="-4"/>
                <w:kern w:val="0"/>
                <w:sz w:val="24"/>
              </w:rPr>
              <w:t>所城镇小区配套幼儿园治理；</w:t>
            </w:r>
            <w:r>
              <w:rPr>
                <w:rFonts w:hint="eastAsia" w:ascii="仿宋_GB2312" w:eastAsia="仿宋_GB2312"/>
                <w:color w:val="000000"/>
                <w:spacing w:val="-4"/>
                <w:kern w:val="0"/>
                <w:sz w:val="24"/>
              </w:rPr>
              <w:t>23</w:t>
            </w:r>
            <w:r>
              <w:rPr>
                <w:rFonts w:hint="eastAsia" w:ascii="仿宋_GB2312" w:hAnsi="宋体" w:eastAsia="仿宋_GB2312" w:cs="宋体"/>
                <w:color w:val="000000"/>
                <w:spacing w:val="-4"/>
                <w:kern w:val="0"/>
                <w:sz w:val="24"/>
              </w:rPr>
              <w:t>个中小学项目竣工投用，新增学位</w:t>
            </w:r>
            <w:r>
              <w:rPr>
                <w:rFonts w:hint="eastAsia" w:ascii="仿宋_GB2312" w:eastAsia="仿宋_GB2312"/>
                <w:color w:val="000000"/>
                <w:spacing w:val="-4"/>
                <w:kern w:val="0"/>
                <w:sz w:val="24"/>
              </w:rPr>
              <w:t>1.5</w:t>
            </w:r>
            <w:r>
              <w:rPr>
                <w:rFonts w:hint="eastAsia" w:ascii="仿宋_GB2312" w:hAnsi="宋体" w:eastAsia="仿宋_GB2312" w:cs="宋体"/>
                <w:color w:val="000000"/>
                <w:spacing w:val="-4"/>
                <w:kern w:val="0"/>
                <w:sz w:val="24"/>
              </w:rPr>
              <w:t>万个；</w:t>
            </w:r>
            <w:r>
              <w:rPr>
                <w:rFonts w:hint="eastAsia" w:ascii="仿宋_GB2312" w:eastAsia="仿宋_GB2312"/>
                <w:color w:val="000000"/>
                <w:spacing w:val="-4"/>
                <w:kern w:val="0"/>
                <w:sz w:val="24"/>
              </w:rPr>
              <w:t>8</w:t>
            </w:r>
            <w:r>
              <w:rPr>
                <w:rFonts w:hint="eastAsia" w:ascii="仿宋_GB2312" w:hAnsi="宋体" w:eastAsia="仿宋_GB2312" w:cs="宋体"/>
                <w:color w:val="000000"/>
                <w:spacing w:val="-4"/>
                <w:kern w:val="0"/>
                <w:sz w:val="24"/>
              </w:rPr>
              <w:t>所普通高中扩容新增学位</w:t>
            </w:r>
            <w:r>
              <w:rPr>
                <w:rFonts w:hint="eastAsia" w:ascii="仿宋_GB2312" w:eastAsia="仿宋_GB2312"/>
                <w:color w:val="000000"/>
                <w:spacing w:val="-4"/>
                <w:kern w:val="0"/>
                <w:sz w:val="24"/>
              </w:rPr>
              <w:t>6525</w:t>
            </w:r>
            <w:r>
              <w:rPr>
                <w:rFonts w:hint="eastAsia" w:ascii="仿宋_GB2312" w:hAnsi="宋体" w:eastAsia="仿宋_GB2312" w:cs="宋体"/>
                <w:color w:val="000000"/>
                <w:spacing w:val="-4"/>
                <w:kern w:val="0"/>
                <w:sz w:val="24"/>
              </w:rPr>
              <w:t>个。</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区教育局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按照区重点、为民办实事年度工公结作目标，区教育局印发《关于实施“红色动力”工程加快</w:t>
            </w:r>
            <w:r>
              <w:rPr>
                <w:rFonts w:hint="eastAsia" w:ascii="仿宋_GB2312" w:hAnsi="宋体" w:eastAsia="仿宋_GB2312" w:cs="宋体"/>
                <w:color w:val="000000"/>
                <w:spacing w:val="-6"/>
                <w:kern w:val="0"/>
                <w:sz w:val="24"/>
              </w:rPr>
              <w:t>2021年洛江教育项目建设的通知》（泉洛教党组〔2021〕6号），督</w:t>
            </w:r>
            <w:r>
              <w:rPr>
                <w:rFonts w:hint="eastAsia" w:ascii="仿宋_GB2312" w:hAnsi="宋体" w:eastAsia="仿宋_GB2312" w:cs="宋体"/>
                <w:color w:val="000000"/>
                <w:kern w:val="0"/>
                <w:sz w:val="24"/>
              </w:rPr>
              <w:t>促项目学校按照倒排计划推进，全区教育建设项目共13个。</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丁  妮</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13805946707</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刘永波15060830163</w:t>
            </w:r>
          </w:p>
        </w:tc>
      </w:tr>
      <w:tr>
        <w:tblPrEx>
          <w:tblCellMar>
            <w:top w:w="0" w:type="dxa"/>
            <w:left w:w="108" w:type="dxa"/>
            <w:bottom w:w="0" w:type="dxa"/>
            <w:right w:w="108" w:type="dxa"/>
          </w:tblCellMar>
        </w:tblPrEx>
        <w:trPr>
          <w:trHeight w:val="17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96</w:t>
            </w:r>
          </w:p>
        </w:tc>
        <w:tc>
          <w:tcPr>
            <w:tcW w:w="1171" w:type="dxa"/>
            <w:vMerge w:val="continue"/>
            <w:tcBorders>
              <w:left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spacing w:val="-2"/>
                <w:kern w:val="0"/>
                <w:sz w:val="24"/>
              </w:rPr>
            </w:pPr>
            <w:r>
              <w:rPr>
                <w:rFonts w:hint="eastAsia" w:ascii="仿宋_GB2312" w:hAnsi="宋体" w:eastAsia="仿宋_GB2312" w:cs="宋体"/>
                <w:color w:val="000000"/>
                <w:spacing w:val="-2"/>
                <w:kern w:val="0"/>
                <w:sz w:val="24"/>
              </w:rPr>
              <w:t>加快建设居家、社区、机构相协调，医养、康养相结合的养老服务体系，建立健全高龄、失能老年人长期照护服务体系，强化信用为核心、质量为保障、放权与监管并重的服务管理体系，实现养老服务设施提档升级、养老服务市场活力提档升级、养老服务消费能力提档升级、养老服务质量提档升级，扎实推进全市养老服务高质量发展。</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区民政局、卫健局、医保分局、市场监管局、住建局、消防大队</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1.进一步完善养老事业发展的政策措施</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2.大力推进居家养老服务体系建设</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3.加大对农村养老的扶持力度</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4.着力打造一支服务能力强的养老服务人才队伍建设。</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黄甄轶</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杜丕拼22633731</w:t>
            </w:r>
          </w:p>
        </w:tc>
      </w:tr>
      <w:tr>
        <w:tblPrEx>
          <w:tblCellMar>
            <w:top w:w="0" w:type="dxa"/>
            <w:left w:w="108" w:type="dxa"/>
            <w:bottom w:w="0" w:type="dxa"/>
            <w:right w:w="108" w:type="dxa"/>
          </w:tblCellMar>
        </w:tblPrEx>
        <w:trPr>
          <w:trHeight w:val="82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97</w:t>
            </w:r>
          </w:p>
        </w:tc>
        <w:tc>
          <w:tcPr>
            <w:tcW w:w="1171" w:type="dxa"/>
            <w:vMerge w:val="continue"/>
            <w:tcBorders>
              <w:left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继续落实鼓励产业急需高校毕业生来泉就业创业政策，力争全年引进产业急需高校毕业生</w:t>
            </w:r>
            <w:r>
              <w:rPr>
                <w:rFonts w:hint="eastAsia" w:ascii="仿宋_GB2312" w:eastAsia="仿宋_GB2312"/>
                <w:color w:val="000000"/>
                <w:kern w:val="0"/>
                <w:sz w:val="24"/>
              </w:rPr>
              <w:t>1</w:t>
            </w:r>
            <w:r>
              <w:rPr>
                <w:rFonts w:hint="eastAsia" w:ascii="仿宋_GB2312" w:hAnsi="宋体" w:eastAsia="仿宋_GB2312" w:cs="宋体"/>
                <w:color w:val="000000"/>
                <w:kern w:val="0"/>
                <w:sz w:val="24"/>
              </w:rPr>
              <w:t>万人以上。</w:t>
            </w:r>
          </w:p>
        </w:tc>
        <w:tc>
          <w:tcPr>
            <w:tcW w:w="1134"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区人社局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做好产业急需高校毕业生安居补助和社保补助的审核发放工作。</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唐强先</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张小玲22633516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98</w:t>
            </w:r>
          </w:p>
        </w:tc>
        <w:tc>
          <w:tcPr>
            <w:tcW w:w="1171" w:type="dxa"/>
            <w:vMerge w:val="continue"/>
            <w:tcBorders>
              <w:left w:val="single" w:color="auto" w:sz="4" w:space="0"/>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p>
        </w:tc>
        <w:tc>
          <w:tcPr>
            <w:tcW w:w="4253" w:type="dxa"/>
            <w:gridSpan w:val="5"/>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研究出台泉州市台湾工业设计人才认定标准、建立博士人才联盟、将自主认定高层次人才范围扩展至科研平台。</w:t>
            </w:r>
          </w:p>
        </w:tc>
        <w:tc>
          <w:tcPr>
            <w:tcW w:w="1134"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559"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区人社局</w:t>
            </w:r>
          </w:p>
        </w:tc>
        <w:tc>
          <w:tcPr>
            <w:tcW w:w="4520"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按照市高层次人才认定标准持续推进市高层次人才的申报认定；推进高层次人才自主认定试点单位开展人才自主认定工作。</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唐强先</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张小玲22633516</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962"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7"/>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完成时限</w:t>
            </w:r>
          </w:p>
        </w:tc>
        <w:tc>
          <w:tcPr>
            <w:tcW w:w="1417" w:type="dxa"/>
            <w:gridSpan w:val="8"/>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区牵头部门/责任部门</w:t>
            </w:r>
          </w:p>
        </w:tc>
        <w:tc>
          <w:tcPr>
            <w:tcW w:w="3953" w:type="dxa"/>
            <w:gridSpan w:val="3"/>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96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99</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十八、包容普惠</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创新</w:t>
            </w: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大规模开展职业技能培训，力争全年完成培训</w:t>
            </w:r>
            <w:r>
              <w:rPr>
                <w:rFonts w:hint="eastAsia" w:ascii="仿宋_GB2312" w:eastAsia="仿宋_GB2312"/>
                <w:color w:val="000000"/>
                <w:kern w:val="0"/>
                <w:sz w:val="24"/>
              </w:rPr>
              <w:t>5</w:t>
            </w:r>
            <w:r>
              <w:rPr>
                <w:rFonts w:hint="eastAsia" w:ascii="仿宋_GB2312" w:hAnsi="宋体" w:eastAsia="仿宋_GB2312" w:cs="宋体"/>
                <w:color w:val="000000"/>
                <w:kern w:val="0"/>
                <w:sz w:val="24"/>
              </w:rPr>
              <w:t>万人次，认定市级技能大师（名师）工作室</w:t>
            </w:r>
            <w:r>
              <w:rPr>
                <w:rFonts w:hint="eastAsia" w:ascii="仿宋_GB2312" w:eastAsia="仿宋_GB2312"/>
                <w:color w:val="000000"/>
                <w:kern w:val="0"/>
                <w:sz w:val="24"/>
              </w:rPr>
              <w:t>25</w:t>
            </w:r>
            <w:r>
              <w:rPr>
                <w:rFonts w:hint="eastAsia" w:ascii="仿宋_GB2312" w:hAnsi="宋体" w:eastAsia="仿宋_GB2312" w:cs="宋体"/>
                <w:color w:val="000000"/>
                <w:kern w:val="0"/>
                <w:sz w:val="24"/>
              </w:rPr>
              <w:t>家，评选市技能大师</w:t>
            </w:r>
            <w:r>
              <w:rPr>
                <w:rFonts w:hint="eastAsia" w:ascii="仿宋_GB2312" w:eastAsia="仿宋_GB2312"/>
                <w:color w:val="000000"/>
                <w:kern w:val="0"/>
                <w:sz w:val="24"/>
              </w:rPr>
              <w:t>25</w:t>
            </w:r>
            <w:r>
              <w:rPr>
                <w:rFonts w:hint="eastAsia" w:ascii="仿宋_GB2312" w:hAnsi="宋体" w:eastAsia="仿宋_GB2312" w:cs="宋体"/>
                <w:color w:val="000000"/>
                <w:kern w:val="0"/>
                <w:sz w:val="24"/>
              </w:rPr>
              <w:t>人，举办各类职业技能竞赛</w:t>
            </w:r>
            <w:r>
              <w:rPr>
                <w:rFonts w:hint="eastAsia" w:ascii="仿宋_GB2312" w:eastAsia="仿宋_GB2312"/>
                <w:color w:val="000000"/>
                <w:kern w:val="0"/>
                <w:sz w:val="24"/>
              </w:rPr>
              <w:t>30</w:t>
            </w:r>
            <w:r>
              <w:rPr>
                <w:rFonts w:hint="eastAsia" w:ascii="仿宋_GB2312" w:hAnsi="宋体" w:eastAsia="仿宋_GB2312" w:cs="宋体"/>
                <w:color w:val="000000"/>
                <w:kern w:val="0"/>
                <w:sz w:val="24"/>
              </w:rPr>
              <w:t>场。</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区人社局</w:t>
            </w:r>
          </w:p>
        </w:tc>
        <w:tc>
          <w:tcPr>
            <w:tcW w:w="39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全年完成2000人次，推荐市级技能大师（名师）工作室3家，评选市技能大师3人，组织辖区企业参加各类职业技能竞赛。</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cs="宋体"/>
                <w:color w:val="000000"/>
                <w:kern w:val="0"/>
                <w:sz w:val="24"/>
              </w:rPr>
            </w:pPr>
            <w:r>
              <w:rPr>
                <w:rFonts w:hint="eastAsia" w:ascii="仿宋_GB2312" w:hAnsi="宋体" w:eastAsia="仿宋_GB2312" w:cs="宋体"/>
                <w:color w:val="000000"/>
                <w:kern w:val="0"/>
                <w:sz w:val="24"/>
              </w:rPr>
              <w:t>唐强先</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陈  </w:t>
            </w:r>
            <w:r>
              <w:rPr>
                <w:rFonts w:hint="eastAsia" w:ascii="仿宋_GB2312" w:hAnsi="宋体" w:cs="宋体"/>
                <w:color w:val="000000"/>
                <w:kern w:val="0"/>
                <w:sz w:val="24"/>
              </w:rPr>
              <w:t>劼</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22633823</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100</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推进职业资格评价工作，新增</w:t>
            </w:r>
            <w:r>
              <w:rPr>
                <w:rFonts w:hint="eastAsia" w:ascii="仿宋_GB2312" w:eastAsia="仿宋_GB2312"/>
                <w:color w:val="000000"/>
                <w:kern w:val="0"/>
                <w:sz w:val="24"/>
              </w:rPr>
              <w:t>10</w:t>
            </w:r>
            <w:r>
              <w:rPr>
                <w:rFonts w:hint="eastAsia" w:ascii="仿宋_GB2312" w:hAnsi="宋体" w:eastAsia="仿宋_GB2312" w:cs="宋体"/>
                <w:color w:val="000000"/>
                <w:kern w:val="0"/>
                <w:sz w:val="24"/>
              </w:rPr>
              <w:t>家技能等级认定评价单位，技能等级认定</w:t>
            </w:r>
            <w:r>
              <w:rPr>
                <w:rFonts w:hint="eastAsia" w:ascii="仿宋_GB2312" w:eastAsia="仿宋_GB2312"/>
                <w:color w:val="000000"/>
                <w:kern w:val="0"/>
                <w:sz w:val="24"/>
              </w:rPr>
              <w:t>1</w:t>
            </w:r>
            <w:r>
              <w:rPr>
                <w:rFonts w:hint="eastAsia" w:ascii="仿宋_GB2312" w:hAnsi="宋体" w:eastAsia="仿宋_GB2312" w:cs="宋体"/>
                <w:color w:val="000000"/>
                <w:kern w:val="0"/>
                <w:sz w:val="24"/>
              </w:rPr>
              <w:t>万人次以上；继续做好网络招聘服务工作，争取全年举办网络招聘会</w:t>
            </w:r>
            <w:r>
              <w:rPr>
                <w:rFonts w:hint="eastAsia" w:ascii="仿宋_GB2312" w:eastAsia="仿宋_GB2312"/>
                <w:color w:val="000000"/>
                <w:kern w:val="0"/>
                <w:sz w:val="24"/>
              </w:rPr>
              <w:t>300</w:t>
            </w:r>
            <w:r>
              <w:rPr>
                <w:rFonts w:hint="eastAsia" w:ascii="仿宋_GB2312" w:hAnsi="宋体" w:eastAsia="仿宋_GB2312" w:cs="宋体"/>
                <w:color w:val="000000"/>
                <w:kern w:val="0"/>
                <w:sz w:val="24"/>
              </w:rPr>
              <w:t>场以上，助力企业招工引才。</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区人社局</w:t>
            </w:r>
          </w:p>
        </w:tc>
        <w:tc>
          <w:tcPr>
            <w:tcW w:w="39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全年举办网络招聘会12场以上，助力企业招工引才。</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cs="宋体"/>
                <w:color w:val="000000"/>
                <w:kern w:val="0"/>
                <w:sz w:val="24"/>
              </w:rPr>
            </w:pPr>
            <w:r>
              <w:rPr>
                <w:rFonts w:hint="eastAsia" w:ascii="仿宋_GB2312" w:hAnsi="宋体" w:eastAsia="仿宋_GB2312" w:cs="宋体"/>
                <w:color w:val="000000"/>
                <w:kern w:val="0"/>
                <w:sz w:val="24"/>
              </w:rPr>
              <w:t>唐强先</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 xml:space="preserve">陈  </w:t>
            </w:r>
            <w:r>
              <w:rPr>
                <w:rFonts w:hint="eastAsia" w:ascii="仿宋_GB2312" w:hAnsi="宋体" w:cs="宋体"/>
                <w:color w:val="000000"/>
                <w:kern w:val="0"/>
                <w:sz w:val="24"/>
              </w:rPr>
              <w:t xml:space="preserve">劼 </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22633823</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101</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建立泉州市投资信息服务平台；发布英文版投资促进有关政策文件；编制外商投资工作指引；完善外商投资企业投诉机制；推进境内国际合作园区（中意产业园）建设；完善服务贸易进出口统计制度；推进全市省级以上开发区高质量发展高水平开放。</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区商务局</w:t>
            </w:r>
          </w:p>
        </w:tc>
        <w:tc>
          <w:tcPr>
            <w:tcW w:w="39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逢单月上报投诉件情况。目前无投诉件。</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田  珍</w:t>
            </w:r>
            <w:r>
              <w:rPr>
                <w:rFonts w:hint="eastAsia" w:ascii="仿宋_GB2312" w:hAnsi="宋体" w:eastAsia="仿宋_GB2312" w:cs="宋体"/>
                <w:color w:val="000000"/>
                <w:kern w:val="0"/>
                <w:sz w:val="24"/>
              </w:rPr>
              <w:br w:type="page"/>
            </w:r>
            <w:r>
              <w:rPr>
                <w:rFonts w:hint="eastAsia" w:ascii="仿宋_GB2312" w:hAnsi="宋体" w:eastAsia="仿宋_GB2312" w:cs="宋体"/>
                <w:color w:val="000000"/>
                <w:kern w:val="0"/>
                <w:sz w:val="24"/>
              </w:rPr>
              <w:t xml:space="preserve"> </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张泽瑜22630156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102</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开展</w:t>
            </w:r>
            <w:r>
              <w:rPr>
                <w:rFonts w:hint="eastAsia" w:ascii="仿宋_GB2312" w:eastAsia="仿宋_GB2312"/>
                <w:color w:val="000000"/>
                <w:kern w:val="0"/>
                <w:sz w:val="24"/>
              </w:rPr>
              <w:t>“</w:t>
            </w:r>
            <w:r>
              <w:rPr>
                <w:rFonts w:hint="eastAsia" w:ascii="仿宋_GB2312" w:hAnsi="宋体" w:eastAsia="仿宋_GB2312" w:cs="宋体"/>
                <w:color w:val="000000"/>
                <w:kern w:val="0"/>
                <w:sz w:val="24"/>
              </w:rPr>
              <w:t>提质增量</w:t>
            </w:r>
            <w:r>
              <w:rPr>
                <w:rFonts w:hint="eastAsia" w:ascii="仿宋_GB2312" w:eastAsia="仿宋_GB2312"/>
                <w:color w:val="000000"/>
                <w:kern w:val="0"/>
                <w:sz w:val="24"/>
              </w:rPr>
              <w:t>”</w:t>
            </w:r>
            <w:r>
              <w:rPr>
                <w:rFonts w:hint="eastAsia" w:ascii="仿宋_GB2312" w:hAnsi="宋体" w:eastAsia="仿宋_GB2312" w:cs="宋体"/>
                <w:color w:val="000000"/>
                <w:kern w:val="0"/>
                <w:sz w:val="24"/>
              </w:rPr>
              <w:t>三年行动，设定培育目标和规模，积极引导工业园区整合产业优势资源，加大对区域内企业特别是规模以上企业的高企培育工作。</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区科技局</w:t>
            </w:r>
          </w:p>
        </w:tc>
        <w:tc>
          <w:tcPr>
            <w:tcW w:w="39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实施高新技术企业群体“增量扩面”专项行动，鼓励符合条件的企业申报高新技术企业。</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张志明13505042542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陈伟清</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15980765201</w:t>
            </w:r>
          </w:p>
        </w:tc>
      </w:tr>
      <w:tr>
        <w:tblPrEx>
          <w:tblCellMar>
            <w:top w:w="0" w:type="dxa"/>
            <w:left w:w="108" w:type="dxa"/>
            <w:bottom w:w="0" w:type="dxa"/>
            <w:right w:w="108" w:type="dxa"/>
          </w:tblCellMar>
        </w:tblPrEx>
        <w:trPr>
          <w:trHeight w:val="126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103</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对规上企业、科技小巨人企业、瞪羚企业科技型中小企业、战略性新兴产业成长型企业中未申报高新技术企业名单进行分类动态统计，建立高企培育库，加快建立高企后备梯队。</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区科技局</w:t>
            </w:r>
          </w:p>
        </w:tc>
        <w:tc>
          <w:tcPr>
            <w:tcW w:w="39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建</w:t>
            </w:r>
            <w:r>
              <w:rPr>
                <w:rFonts w:hint="eastAsia" w:ascii="仿宋_GB2312" w:hAnsi="宋体" w:eastAsia="仿宋_GB2312" w:cs="宋体"/>
                <w:color w:val="000000"/>
                <w:spacing w:val="-4"/>
                <w:kern w:val="0"/>
                <w:sz w:val="24"/>
              </w:rPr>
              <w:t>立高企后备库，大力实施“小升高“培育行动，夯实高新技术企业认定工作基础，开展针对性强的培育服务，推动一批科技型企业加快成长为高新技术企业。</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张志明13505042542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陈伟清</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15980765201</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104</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全力抓高企培育，力争</w:t>
            </w:r>
            <w:r>
              <w:rPr>
                <w:rFonts w:hint="eastAsia" w:ascii="仿宋_GB2312" w:eastAsia="仿宋_GB2312"/>
                <w:color w:val="000000"/>
                <w:kern w:val="0"/>
                <w:sz w:val="24"/>
              </w:rPr>
              <w:t>2021</w:t>
            </w:r>
            <w:r>
              <w:rPr>
                <w:rFonts w:hint="eastAsia" w:ascii="仿宋_GB2312" w:hAnsi="宋体" w:eastAsia="仿宋_GB2312" w:cs="宋体"/>
                <w:color w:val="000000"/>
                <w:kern w:val="0"/>
                <w:sz w:val="24"/>
              </w:rPr>
              <w:t>年新增</w:t>
            </w:r>
            <w:r>
              <w:rPr>
                <w:rFonts w:hint="eastAsia" w:ascii="仿宋_GB2312" w:eastAsia="仿宋_GB2312"/>
                <w:color w:val="000000"/>
                <w:kern w:val="0"/>
                <w:sz w:val="24"/>
              </w:rPr>
              <w:t>300</w:t>
            </w:r>
            <w:r>
              <w:rPr>
                <w:rFonts w:hint="eastAsia" w:ascii="仿宋_GB2312" w:hAnsi="宋体" w:eastAsia="仿宋_GB2312" w:cs="宋体"/>
                <w:color w:val="000000"/>
                <w:kern w:val="0"/>
                <w:sz w:val="24"/>
              </w:rPr>
              <w:t>家国家高企，保有量超</w:t>
            </w:r>
            <w:r>
              <w:rPr>
                <w:rFonts w:hint="eastAsia" w:ascii="仿宋_GB2312" w:eastAsia="仿宋_GB2312"/>
                <w:color w:val="000000"/>
                <w:kern w:val="0"/>
                <w:sz w:val="24"/>
              </w:rPr>
              <w:t>1300</w:t>
            </w:r>
            <w:r>
              <w:rPr>
                <w:rFonts w:hint="eastAsia" w:ascii="仿宋_GB2312" w:hAnsi="宋体" w:eastAsia="仿宋_GB2312" w:cs="宋体"/>
                <w:color w:val="000000"/>
                <w:kern w:val="0"/>
                <w:sz w:val="24"/>
              </w:rPr>
              <w:t>家。</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8"/>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区科技局</w:t>
            </w:r>
          </w:p>
        </w:tc>
        <w:tc>
          <w:tcPr>
            <w:tcW w:w="3953" w:type="dxa"/>
            <w:gridSpan w:val="3"/>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全力抓高企培育，力争2021年新增12家国家高企，保有量达60家。</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张志明13505042542</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陈伟清</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15980765201</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105</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市级、区县级公共图书馆数量、建筑面积、藏书、购置费、借阅量等指标持续发展；市级、区县级文化馆（站）、国家级各等级文化馆（站）及村（社区）综合文化服务中心等指标持续发展。</w:t>
            </w:r>
          </w:p>
        </w:tc>
        <w:tc>
          <w:tcPr>
            <w:tcW w:w="1134" w:type="dxa"/>
            <w:gridSpan w:val="7"/>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417" w:type="dxa"/>
            <w:gridSpan w:val="8"/>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spacing w:val="-10"/>
                <w:kern w:val="0"/>
                <w:sz w:val="24"/>
              </w:rPr>
            </w:pPr>
            <w:r>
              <w:rPr>
                <w:rFonts w:hint="eastAsia" w:ascii="仿宋_GB2312" w:hAnsi="宋体" w:eastAsia="仿宋_GB2312" w:cs="宋体"/>
                <w:color w:val="000000"/>
                <w:spacing w:val="-10"/>
                <w:kern w:val="0"/>
                <w:sz w:val="24"/>
              </w:rPr>
              <w:t>区文体旅游局</w:t>
            </w:r>
          </w:p>
        </w:tc>
        <w:tc>
          <w:tcPr>
            <w:tcW w:w="3953" w:type="dxa"/>
            <w:gridSpan w:val="3"/>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继续运营好区级文化馆、图书馆；改建提升2个村级综合文化服务中心。</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吕翔宇</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吴木能22631056</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962"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1134" w:type="dxa"/>
            <w:gridSpan w:val="7"/>
            <w:tcBorders>
              <w:top w:val="single" w:color="auto" w:sz="12" w:space="0"/>
              <w:left w:val="nil"/>
              <w:bottom w:val="single" w:color="auto" w:sz="4" w:space="0"/>
              <w:right w:val="single" w:color="auto" w:sz="4" w:space="0"/>
            </w:tcBorders>
            <w:shd w:val="clear" w:color="auto" w:fill="auto"/>
            <w:noWrap/>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完成时限</w:t>
            </w:r>
          </w:p>
        </w:tc>
        <w:tc>
          <w:tcPr>
            <w:tcW w:w="1701"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区牵头部门/</w:t>
            </w:r>
          </w:p>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责任部门</w:t>
            </w:r>
          </w:p>
        </w:tc>
        <w:tc>
          <w:tcPr>
            <w:tcW w:w="3669" w:type="dxa"/>
            <w:gridSpan w:val="2"/>
            <w:tcBorders>
              <w:top w:val="single" w:color="auto" w:sz="12"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牵头部门分管领导和经办人姓名、联系方式</w:t>
            </w:r>
          </w:p>
        </w:tc>
      </w:tr>
      <w:tr>
        <w:tblPrEx>
          <w:tblCellMar>
            <w:top w:w="0" w:type="dxa"/>
            <w:left w:w="108" w:type="dxa"/>
            <w:bottom w:w="0" w:type="dxa"/>
            <w:right w:w="108" w:type="dxa"/>
          </w:tblCellMar>
        </w:tblPrEx>
        <w:trPr>
          <w:trHeight w:val="105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106</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十八、包容普惠</w:t>
            </w:r>
          </w:p>
          <w:p>
            <w:pPr>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创新</w:t>
            </w: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持续推进文艺重点作品、经费创作与人才培育；发展文化产业、规模以上文化及相关产业企业经营单位及文化产业示范园区基地、激发文化消费；推进文化志愿服务发展；优化公共文化云平台功能。</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持续推进</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区文体旅游局</w:t>
            </w:r>
          </w:p>
        </w:tc>
        <w:tc>
          <w:tcPr>
            <w:tcW w:w="366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依托公共图书馆、文化馆打造志愿服务队伍。</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吕翔宇</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吴木能22631056</w:t>
            </w:r>
          </w:p>
        </w:tc>
      </w:tr>
      <w:tr>
        <w:tblPrEx>
          <w:tblCellMar>
            <w:top w:w="0" w:type="dxa"/>
            <w:left w:w="108" w:type="dxa"/>
            <w:bottom w:w="0" w:type="dxa"/>
            <w:right w:w="108" w:type="dxa"/>
          </w:tblCellMar>
        </w:tblPrEx>
        <w:trPr>
          <w:trHeight w:val="70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107</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落实中央、省级补助资金下达和各场馆免费低收费开放情况。</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区文体旅游局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区财政局</w:t>
            </w:r>
          </w:p>
        </w:tc>
        <w:tc>
          <w:tcPr>
            <w:tcW w:w="366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7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洛江区各公共文化服务场所均实行免费开放。</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吕翔宇</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吴木能22631056</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108</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spacing w:line="270" w:lineRule="exact"/>
              <w:jc w:val="center"/>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继续实施省、市全民健身设施为民办实事建设项目，中心市区和各县（市、区）新建或改扩建若干个体育公园。</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区文体旅游局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区财政局</w:t>
            </w:r>
          </w:p>
        </w:tc>
        <w:tc>
          <w:tcPr>
            <w:tcW w:w="366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向上级部门积极争取对应指标。</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薛朝军</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林敬托22631072</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109</w:t>
            </w:r>
          </w:p>
        </w:tc>
        <w:tc>
          <w:tcPr>
            <w:tcW w:w="11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70" w:lineRule="exact"/>
              <w:jc w:val="center"/>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深化重点行业企业污染整治。实施一批大气减排精准治理项目，持续推进</w:t>
            </w:r>
            <w:r>
              <w:rPr>
                <w:rFonts w:hint="eastAsia" w:ascii="仿宋_GB2312" w:eastAsia="仿宋_GB2312"/>
                <w:color w:val="000000"/>
                <w:kern w:val="0"/>
                <w:sz w:val="24"/>
              </w:rPr>
              <w:t>65</w:t>
            </w:r>
            <w:r>
              <w:rPr>
                <w:rFonts w:hint="eastAsia" w:ascii="仿宋_GB2312" w:hAnsi="宋体" w:eastAsia="仿宋_GB2312" w:cs="宋体"/>
                <w:color w:val="000000"/>
                <w:kern w:val="0"/>
                <w:sz w:val="24"/>
              </w:rPr>
              <w:t>蒸吨及以上燃煤锅炉超低排放改造、</w:t>
            </w:r>
            <w:r>
              <w:rPr>
                <w:rFonts w:hint="eastAsia" w:ascii="仿宋_GB2312" w:eastAsia="仿宋_GB2312"/>
                <w:color w:val="000000"/>
                <w:kern w:val="0"/>
                <w:sz w:val="24"/>
              </w:rPr>
              <w:t>38</w:t>
            </w:r>
            <w:r>
              <w:rPr>
                <w:rFonts w:hint="eastAsia" w:ascii="仿宋_GB2312" w:hAnsi="宋体" w:eastAsia="仿宋_GB2312" w:cs="宋体"/>
                <w:color w:val="000000"/>
                <w:kern w:val="0"/>
                <w:sz w:val="24"/>
              </w:rPr>
              <w:t>个工业炉窑治理及闽光钢铁超低排放改造，不断深化建陶、石化行业污染整治。</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spacing w:val="-6"/>
                <w:kern w:val="0"/>
                <w:sz w:val="24"/>
              </w:rPr>
            </w:pPr>
            <w:r>
              <w:rPr>
                <w:rFonts w:hint="eastAsia" w:ascii="仿宋_GB2312" w:hAnsi="宋体" w:eastAsia="仿宋_GB2312" w:cs="宋体"/>
                <w:spacing w:val="-6"/>
                <w:kern w:val="0"/>
                <w:sz w:val="24"/>
              </w:rPr>
              <w:t>洛江生态环境局</w:t>
            </w:r>
          </w:p>
        </w:tc>
        <w:tc>
          <w:tcPr>
            <w:tcW w:w="366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spacing w:val="-14"/>
                <w:kern w:val="0"/>
                <w:sz w:val="24"/>
              </w:rPr>
            </w:pPr>
            <w:r>
              <w:rPr>
                <w:rFonts w:hint="eastAsia" w:ascii="仿宋_GB2312" w:hAnsi="宋体" w:eastAsia="仿宋_GB2312" w:cs="宋体"/>
                <w:kern w:val="0"/>
                <w:sz w:val="24"/>
              </w:rPr>
              <w:t>1.</w:t>
            </w:r>
            <w:r>
              <w:rPr>
                <w:rFonts w:hint="eastAsia" w:ascii="仿宋_GB2312" w:hAnsi="宋体" w:eastAsia="仿宋_GB2312" w:cs="宋体"/>
                <w:spacing w:val="-14"/>
                <w:kern w:val="0"/>
                <w:sz w:val="24"/>
              </w:rPr>
              <w:t>组织实施5个大气减排精准治理项目；</w:t>
            </w:r>
          </w:p>
          <w:p>
            <w:pPr>
              <w:widowControl/>
              <w:spacing w:line="280" w:lineRule="exact"/>
              <w:rPr>
                <w:rFonts w:ascii="仿宋_GB2312" w:hAnsi="宋体" w:eastAsia="仿宋_GB2312" w:cs="宋体"/>
                <w:kern w:val="0"/>
                <w:sz w:val="24"/>
              </w:rPr>
            </w:pPr>
            <w:r>
              <w:rPr>
                <w:rFonts w:hint="eastAsia" w:ascii="仿宋_GB2312" w:hAnsi="宋体" w:eastAsia="仿宋_GB2312" w:cs="宋体"/>
                <w:kern w:val="0"/>
                <w:sz w:val="24"/>
              </w:rPr>
              <w:t>2.加强工业涂装、包装印刷、制鞋、工艺品制造等重点行业企业 VOCs 治理执法检查，确保废气治理设施配齐并正常运行，废气污染物稳定达标排放。</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kern w:val="0"/>
                <w:sz w:val="24"/>
              </w:rPr>
            </w:pPr>
            <w:r>
              <w:rPr>
                <w:rFonts w:hint="eastAsia" w:ascii="仿宋_GB2312" w:hAnsi="宋体" w:eastAsia="仿宋_GB2312" w:cs="宋体"/>
                <w:kern w:val="0"/>
                <w:sz w:val="24"/>
              </w:rPr>
              <w:t>郑  忠</w:t>
            </w:r>
          </w:p>
          <w:p>
            <w:pPr>
              <w:widowControl/>
              <w:spacing w:line="270" w:lineRule="exact"/>
              <w:jc w:val="center"/>
              <w:rPr>
                <w:rFonts w:ascii="仿宋_GB2312" w:hAnsi="宋体" w:eastAsia="仿宋_GB2312" w:cs="宋体"/>
                <w:kern w:val="0"/>
                <w:sz w:val="24"/>
              </w:rPr>
            </w:pPr>
            <w:r>
              <w:rPr>
                <w:rFonts w:hint="eastAsia" w:ascii="仿宋_GB2312" w:hAnsi="宋体" w:eastAsia="仿宋_GB2312" w:cs="宋体"/>
                <w:kern w:val="0"/>
                <w:sz w:val="24"/>
              </w:rPr>
              <w:br w:type="page"/>
            </w:r>
            <w:r>
              <w:rPr>
                <w:rFonts w:hint="eastAsia" w:ascii="仿宋_GB2312" w:hAnsi="宋体" w:eastAsia="仿宋_GB2312" w:cs="宋体"/>
                <w:kern w:val="0"/>
                <w:sz w:val="24"/>
              </w:rPr>
              <w:t>余雅云22633270</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110</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推进大气污染专项整治。深化</w:t>
            </w:r>
            <w:r>
              <w:rPr>
                <w:rFonts w:hint="eastAsia" w:ascii="仿宋_GB2312" w:eastAsia="仿宋_GB2312"/>
                <w:color w:val="000000"/>
                <w:kern w:val="0"/>
                <w:sz w:val="24"/>
              </w:rPr>
              <w:t>8</w:t>
            </w:r>
            <w:r>
              <w:rPr>
                <w:rFonts w:hint="eastAsia" w:ascii="仿宋_GB2312" w:hAnsi="宋体" w:eastAsia="仿宋_GB2312" w:cs="宋体"/>
                <w:color w:val="000000"/>
                <w:kern w:val="0"/>
                <w:sz w:val="24"/>
              </w:rPr>
              <w:t>个大气污染专项整治行动，进一步减少各类大气污染物排放。继续组织开展</w:t>
            </w:r>
            <w:r>
              <w:rPr>
                <w:rFonts w:hint="eastAsia" w:ascii="仿宋_GB2312" w:eastAsia="仿宋_GB2312"/>
                <w:color w:val="000000"/>
                <w:kern w:val="0"/>
                <w:sz w:val="24"/>
              </w:rPr>
              <w:t>“</w:t>
            </w:r>
            <w:r>
              <w:rPr>
                <w:rFonts w:hint="eastAsia" w:ascii="仿宋_GB2312" w:hAnsi="宋体" w:eastAsia="仿宋_GB2312" w:cs="宋体"/>
                <w:color w:val="000000"/>
                <w:kern w:val="0"/>
                <w:sz w:val="24"/>
              </w:rPr>
              <w:t>长空亮剑</w:t>
            </w:r>
            <w:r>
              <w:rPr>
                <w:rFonts w:hint="eastAsia" w:ascii="仿宋_GB2312" w:eastAsia="仿宋_GB2312"/>
                <w:color w:val="000000"/>
                <w:kern w:val="0"/>
                <w:sz w:val="24"/>
              </w:rPr>
              <w:t>”</w:t>
            </w:r>
            <w:r>
              <w:rPr>
                <w:rFonts w:hint="eastAsia" w:ascii="仿宋_GB2312" w:hAnsi="宋体" w:eastAsia="仿宋_GB2312" w:cs="宋体"/>
                <w:color w:val="000000"/>
                <w:kern w:val="0"/>
                <w:sz w:val="24"/>
              </w:rPr>
              <w:t>强化监督帮扶整治行动，加快推动解决沿海区域大气环境问题。</w:t>
            </w:r>
          </w:p>
        </w:tc>
        <w:tc>
          <w:tcPr>
            <w:tcW w:w="1134" w:type="dxa"/>
            <w:gridSpan w:val="7"/>
            <w:tcBorders>
              <w:top w:val="single" w:color="auto" w:sz="4"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spacing w:val="-6"/>
                <w:kern w:val="0"/>
                <w:sz w:val="24"/>
              </w:rPr>
              <w:t>洛江生态环境局</w:t>
            </w:r>
            <w:r>
              <w:rPr>
                <w:rFonts w:hint="eastAsia" w:ascii="仿宋_GB2312" w:hAnsi="宋体" w:eastAsia="仿宋_GB2312" w:cs="宋体"/>
                <w:spacing w:val="-6"/>
                <w:kern w:val="0"/>
                <w:sz w:val="24"/>
              </w:rPr>
              <w:br w:type="textWrapping"/>
            </w:r>
            <w:r>
              <w:rPr>
                <w:rFonts w:hint="eastAsia" w:ascii="仿宋_GB2312" w:hAnsi="宋体" w:eastAsia="仿宋_GB2312" w:cs="宋体"/>
                <w:kern w:val="0"/>
                <w:sz w:val="24"/>
              </w:rPr>
              <w:t>区发改局、住建局、城管局、应急局、公安分局、商务局</w:t>
            </w:r>
          </w:p>
        </w:tc>
        <w:tc>
          <w:tcPr>
            <w:tcW w:w="3669" w:type="dxa"/>
            <w:gridSpan w:val="2"/>
            <w:tcBorders>
              <w:top w:val="single" w:color="auto" w:sz="4" w:space="0"/>
              <w:left w:val="nil"/>
              <w:bottom w:val="single" w:color="auto" w:sz="4" w:space="0"/>
              <w:right w:val="single" w:color="auto" w:sz="4" w:space="0"/>
            </w:tcBorders>
            <w:shd w:val="clear" w:color="auto" w:fill="auto"/>
            <w:vAlign w:val="center"/>
          </w:tcPr>
          <w:p>
            <w:pPr>
              <w:widowControl/>
              <w:spacing w:line="280" w:lineRule="exact"/>
              <w:rPr>
                <w:rFonts w:ascii="仿宋_GB2312" w:hAnsi="宋体" w:eastAsia="仿宋_GB2312" w:cs="宋体"/>
                <w:kern w:val="0"/>
                <w:sz w:val="24"/>
              </w:rPr>
            </w:pPr>
            <w:r>
              <w:rPr>
                <w:rFonts w:hint="eastAsia" w:ascii="仿宋_GB2312" w:hAnsi="宋体" w:eastAsia="仿宋_GB2312" w:cs="宋体"/>
                <w:kern w:val="0"/>
                <w:sz w:val="24"/>
              </w:rPr>
              <w:t>1.制定并组织实施《洛江区深化提升大气污染治理专项行动工作方案》；2.开展“长空亮剑”强化监督帮扶整治行动，督促、指导企业完成大气污染问题治理。</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70" w:lineRule="exact"/>
              <w:jc w:val="center"/>
              <w:rPr>
                <w:rFonts w:ascii="仿宋_GB2312" w:hAnsi="宋体" w:eastAsia="仿宋_GB2312" w:cs="宋体"/>
                <w:kern w:val="0"/>
                <w:sz w:val="24"/>
              </w:rPr>
            </w:pPr>
            <w:r>
              <w:rPr>
                <w:rFonts w:hint="eastAsia" w:ascii="仿宋_GB2312" w:hAnsi="宋体" w:eastAsia="仿宋_GB2312" w:cs="宋体"/>
                <w:kern w:val="0"/>
                <w:sz w:val="24"/>
              </w:rPr>
              <w:t>郑  忠</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余雅云22633270</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70" w:lineRule="exact"/>
              <w:jc w:val="center"/>
              <w:rPr>
                <w:rFonts w:ascii="仿宋_GB2312" w:eastAsia="仿宋_GB2312"/>
                <w:color w:val="000000"/>
                <w:kern w:val="0"/>
                <w:sz w:val="24"/>
              </w:rPr>
            </w:pPr>
            <w:r>
              <w:rPr>
                <w:rFonts w:hint="eastAsia" w:ascii="仿宋_GB2312" w:eastAsia="仿宋_GB2312"/>
                <w:color w:val="000000"/>
                <w:kern w:val="0"/>
                <w:sz w:val="24"/>
              </w:rPr>
              <w:t>111</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70" w:lineRule="exact"/>
              <w:jc w:val="left"/>
              <w:rPr>
                <w:rFonts w:ascii="仿宋_GB2312" w:hAnsi="宋体" w:eastAsia="仿宋_GB2312" w:cs="宋体"/>
                <w:color w:val="000000"/>
                <w:kern w:val="0"/>
                <w:sz w:val="24"/>
              </w:rPr>
            </w:pPr>
          </w:p>
        </w:tc>
        <w:tc>
          <w:tcPr>
            <w:tcW w:w="4962"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加强移动源污染治理。充分发挥机动车遥感监测系统作用，提升机动车监管能力，不断强化机动车污染整治。加强高排放车辆禁行区、高排放非道路移动机械禁用区的监督管理。</w:t>
            </w:r>
          </w:p>
        </w:tc>
        <w:tc>
          <w:tcPr>
            <w:tcW w:w="1134" w:type="dxa"/>
            <w:gridSpan w:val="7"/>
            <w:tcBorders>
              <w:top w:val="single" w:color="auto" w:sz="4" w:space="0"/>
              <w:left w:val="nil"/>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701"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spacing w:val="-6"/>
                <w:kern w:val="0"/>
                <w:sz w:val="24"/>
              </w:rPr>
              <w:t>洛江生态环境局</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区交警大队、市交通运输综合执法支队执法四大队</w:t>
            </w:r>
          </w:p>
        </w:tc>
        <w:tc>
          <w:tcPr>
            <w:tcW w:w="3669" w:type="dxa"/>
            <w:gridSpan w:val="2"/>
            <w:tcBorders>
              <w:top w:val="single" w:color="auto" w:sz="4" w:space="0"/>
              <w:left w:val="nil"/>
              <w:bottom w:val="single" w:color="auto" w:sz="12" w:space="0"/>
              <w:right w:val="single" w:color="auto" w:sz="4" w:space="0"/>
            </w:tcBorders>
            <w:shd w:val="clear" w:color="auto" w:fill="auto"/>
            <w:vAlign w:val="center"/>
          </w:tcPr>
          <w:p>
            <w:pPr>
              <w:widowControl/>
              <w:spacing w:line="280" w:lineRule="exact"/>
              <w:rPr>
                <w:rFonts w:ascii="仿宋_GB2312" w:hAnsi="宋体" w:eastAsia="仿宋_GB2312" w:cs="宋体"/>
                <w:spacing w:val="-4"/>
                <w:kern w:val="0"/>
                <w:sz w:val="24"/>
              </w:rPr>
            </w:pPr>
            <w:r>
              <w:rPr>
                <w:rFonts w:hint="eastAsia" w:ascii="仿宋_GB2312" w:hAnsi="宋体" w:eastAsia="仿宋_GB2312" w:cs="宋体"/>
                <w:kern w:val="0"/>
                <w:sz w:val="24"/>
              </w:rPr>
              <w:t>1.</w:t>
            </w:r>
            <w:r>
              <w:rPr>
                <w:rFonts w:hint="eastAsia" w:ascii="仿宋_GB2312" w:hAnsi="宋体" w:eastAsia="仿宋_GB2312" w:cs="宋体"/>
                <w:spacing w:val="-4"/>
                <w:kern w:val="0"/>
                <w:sz w:val="24"/>
              </w:rPr>
              <w:t>组织开展柴油货车排放抽查检测工作，加强路检路查和联合执法，严厉打击冒黑烟车和不达标车辆上路行驶等违法行为，减少机动车尾气排放；</w:t>
            </w:r>
          </w:p>
          <w:p>
            <w:pPr>
              <w:widowControl/>
              <w:spacing w:line="280" w:lineRule="exact"/>
              <w:rPr>
                <w:rFonts w:ascii="仿宋_GB2312" w:hAnsi="宋体" w:eastAsia="仿宋_GB2312" w:cs="宋体"/>
                <w:kern w:val="0"/>
                <w:sz w:val="24"/>
              </w:rPr>
            </w:pPr>
            <w:r>
              <w:rPr>
                <w:rFonts w:hint="eastAsia" w:ascii="仿宋_GB2312" w:hAnsi="宋体" w:eastAsia="仿宋_GB2312" w:cs="宋体"/>
                <w:kern w:val="0"/>
                <w:sz w:val="24"/>
              </w:rPr>
              <w:t>2.加强巡查检查，禁止高排放的和无环保标牌的非道路移动机械进入高排放非道路移动机械禁用区。</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70" w:lineRule="exact"/>
              <w:jc w:val="center"/>
              <w:rPr>
                <w:rFonts w:ascii="仿宋_GB2312" w:hAnsi="宋体" w:eastAsia="仿宋_GB2312" w:cs="宋体"/>
                <w:kern w:val="0"/>
                <w:sz w:val="24"/>
              </w:rPr>
            </w:pPr>
            <w:r>
              <w:rPr>
                <w:rFonts w:hint="eastAsia" w:ascii="仿宋_GB2312" w:hAnsi="宋体" w:eastAsia="仿宋_GB2312" w:cs="宋体"/>
                <w:kern w:val="0"/>
                <w:sz w:val="24"/>
              </w:rPr>
              <w:t>郑  忠</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余雅云22633270</w:t>
            </w:r>
          </w:p>
        </w:tc>
      </w:tr>
      <w:tr>
        <w:tblPrEx>
          <w:tblCellMar>
            <w:top w:w="0" w:type="dxa"/>
            <w:left w:w="108" w:type="dxa"/>
            <w:bottom w:w="0" w:type="dxa"/>
            <w:right w:w="108" w:type="dxa"/>
          </w:tblCellMar>
        </w:tblPrEx>
        <w:trPr>
          <w:trHeight w:val="7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3686" w:type="dxa"/>
            <w:gridSpan w:val="4"/>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2" w:type="dxa"/>
            <w:gridSpan w:val="4"/>
            <w:tcBorders>
              <w:top w:val="single" w:color="auto" w:sz="12" w:space="0"/>
              <w:left w:val="nil"/>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843" w:type="dxa"/>
            <w:gridSpan w:val="9"/>
            <w:tcBorders>
              <w:top w:val="single" w:color="auto" w:sz="12" w:space="0"/>
              <w:left w:val="nil"/>
              <w:bottom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区牵头部门/</w:t>
            </w:r>
          </w:p>
          <w:p>
            <w:pPr>
              <w:widowControl/>
              <w:spacing w:line="280" w:lineRule="exact"/>
              <w:jc w:val="center"/>
              <w:rPr>
                <w:rFonts w:ascii="仿宋_GB2312" w:hAnsi="宋体" w:eastAsia="仿宋_GB2312" w:cs="宋体"/>
                <w:kern w:val="0"/>
                <w:sz w:val="24"/>
              </w:rPr>
            </w:pPr>
            <w:r>
              <w:rPr>
                <w:rFonts w:hint="eastAsia" w:ascii="仿宋_GB2312" w:hAnsi="宋体" w:eastAsia="仿宋_GB2312" w:cs="宋体"/>
                <w:kern w:val="0"/>
                <w:sz w:val="24"/>
              </w:rPr>
              <w:t>责任部门</w:t>
            </w:r>
          </w:p>
        </w:tc>
        <w:tc>
          <w:tcPr>
            <w:tcW w:w="4945" w:type="dxa"/>
            <w:gridSpan w:val="10"/>
            <w:tcBorders>
              <w:top w:val="single" w:color="auto" w:sz="12"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40" w:lineRule="exact"/>
              <w:jc w:val="center"/>
              <w:rPr>
                <w:rFonts w:ascii="仿宋_GB2312" w:hAnsi="宋体" w:eastAsia="仿宋_GB2312" w:cs="宋体"/>
                <w:kern w:val="0"/>
                <w:sz w:val="24"/>
              </w:rPr>
            </w:pPr>
            <w:r>
              <w:rPr>
                <w:rFonts w:hint="eastAsia" w:ascii="仿宋_GB2312" w:hAnsi="宋体" w:eastAsia="仿宋_GB2312" w:cs="宋体"/>
                <w:kern w:val="0"/>
                <w:sz w:val="24"/>
              </w:rPr>
              <w:t>牵头部门分管领导和经办人姓名、联系方式</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112</w:t>
            </w:r>
          </w:p>
        </w:tc>
        <w:tc>
          <w:tcPr>
            <w:tcW w:w="1171" w:type="dxa"/>
            <w:vMerge w:val="restart"/>
            <w:tcBorders>
              <w:top w:val="single" w:color="auto" w:sz="4" w:space="0"/>
              <w:left w:val="single" w:color="auto" w:sz="4" w:space="0"/>
              <w:right w:val="single" w:color="auto" w:sz="4" w:space="0"/>
            </w:tcBorders>
            <w:vAlign w:val="center"/>
          </w:tcPr>
          <w:p>
            <w:pPr>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十八、包容普惠</w:t>
            </w:r>
          </w:p>
          <w:p>
            <w:pPr>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创新</w:t>
            </w: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强化污染天气应对和大气污染联防联控联治。强化污染天气预测预警，对重点区域、重点行业的非重点排污企业采取电能监控方式，提升污染天气应急管控成效。</w:t>
            </w:r>
          </w:p>
        </w:tc>
        <w:tc>
          <w:tcPr>
            <w:tcW w:w="99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洛江生态环境局</w:t>
            </w:r>
          </w:p>
        </w:tc>
        <w:tc>
          <w:tcPr>
            <w:tcW w:w="49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密切关注空气质量，及时发布大气污染预警。可能发生或已经发生污染天气时，通过公文、微信、电话等多种手段迅速组织相关部门、街道开展联防联控，采取应急管控措施，及时遏制污染势头。</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郑  忠</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余雅云22633270</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113</w:t>
            </w:r>
          </w:p>
        </w:tc>
        <w:tc>
          <w:tcPr>
            <w:tcW w:w="1171" w:type="dxa"/>
            <w:vMerge w:val="continue"/>
            <w:tcBorders>
              <w:left w:val="single" w:color="auto" w:sz="4" w:space="0"/>
              <w:right w:val="single" w:color="auto" w:sz="4" w:space="0"/>
            </w:tcBorders>
            <w:vAlign w:val="center"/>
          </w:tcPr>
          <w:p>
            <w:pPr>
              <w:spacing w:line="280" w:lineRule="exact"/>
              <w:jc w:val="center"/>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开展第三轮流域水质提升</w:t>
            </w:r>
            <w:r>
              <w:rPr>
                <w:rFonts w:hint="eastAsia" w:ascii="仿宋_GB2312" w:eastAsia="仿宋_GB2312"/>
                <w:color w:val="000000"/>
                <w:kern w:val="0"/>
                <w:sz w:val="24"/>
              </w:rPr>
              <w:t>“</w:t>
            </w:r>
            <w:r>
              <w:rPr>
                <w:rFonts w:hint="eastAsia" w:ascii="仿宋_GB2312" w:hAnsi="宋体" w:eastAsia="仿宋_GB2312" w:cs="宋体"/>
                <w:color w:val="000000"/>
                <w:kern w:val="0"/>
                <w:sz w:val="24"/>
              </w:rPr>
              <w:t>碧水清源</w:t>
            </w:r>
            <w:r>
              <w:rPr>
                <w:rFonts w:hint="eastAsia" w:ascii="仿宋_GB2312" w:eastAsia="仿宋_GB2312"/>
                <w:color w:val="000000"/>
                <w:kern w:val="0"/>
                <w:sz w:val="24"/>
              </w:rPr>
              <w:t>”</w:t>
            </w:r>
            <w:r>
              <w:rPr>
                <w:rFonts w:hint="eastAsia" w:ascii="仿宋_GB2312" w:hAnsi="宋体" w:eastAsia="仿宋_GB2312" w:cs="宋体"/>
                <w:color w:val="000000"/>
                <w:kern w:val="0"/>
                <w:sz w:val="24"/>
              </w:rPr>
              <w:t>专项行动。加快推进主要流域生态治理攻坚和小流域水质提升攻坚。</w:t>
            </w:r>
          </w:p>
        </w:tc>
        <w:tc>
          <w:tcPr>
            <w:tcW w:w="99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洛江生态环境局</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区农水局、城管局、自然资源局</w:t>
            </w:r>
          </w:p>
        </w:tc>
        <w:tc>
          <w:tcPr>
            <w:tcW w:w="49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kern w:val="0"/>
                <w:sz w:val="24"/>
              </w:rPr>
            </w:pPr>
            <w:r>
              <w:rPr>
                <w:rFonts w:hint="eastAsia" w:ascii="仿宋_GB2312" w:hAnsi="宋体" w:eastAsia="仿宋_GB2312" w:cs="宋体"/>
                <w:kern w:val="0"/>
                <w:sz w:val="24"/>
              </w:rPr>
              <w:t>1.2021年2月底前，已完成第三轮流域水质提升“碧水清源”项目筛选、确认13个；2.2021年12月底，完成全部项目建设任务。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陈秀海</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苏志雄22637171</w:t>
            </w:r>
          </w:p>
        </w:tc>
      </w:tr>
      <w:tr>
        <w:tblPrEx>
          <w:tblCellMar>
            <w:top w:w="0" w:type="dxa"/>
            <w:left w:w="108" w:type="dxa"/>
            <w:bottom w:w="0" w:type="dxa"/>
            <w:right w:w="108" w:type="dxa"/>
          </w:tblCellMar>
        </w:tblPrEx>
        <w:trPr>
          <w:trHeight w:val="1072"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114</w:t>
            </w:r>
          </w:p>
        </w:tc>
        <w:tc>
          <w:tcPr>
            <w:tcW w:w="1171" w:type="dxa"/>
            <w:vMerge w:val="continue"/>
            <w:tcBorders>
              <w:left w:val="single" w:color="auto" w:sz="4" w:space="0"/>
              <w:right w:val="single" w:color="auto" w:sz="4" w:space="0"/>
            </w:tcBorders>
            <w:vAlign w:val="center"/>
          </w:tcPr>
          <w:p>
            <w:pPr>
              <w:spacing w:line="280" w:lineRule="exact"/>
              <w:jc w:val="center"/>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6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强化饮用水水源地保护。启动农村饮用水水源地生态环境专项整治，建立农村饮用水水源地问题清单。</w:t>
            </w:r>
          </w:p>
        </w:tc>
        <w:tc>
          <w:tcPr>
            <w:tcW w:w="99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 xml:space="preserve">持续 </w:t>
            </w:r>
          </w:p>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推进</w:t>
            </w:r>
          </w:p>
        </w:tc>
        <w:tc>
          <w:tcPr>
            <w:tcW w:w="1843"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洛江生态环境局</w:t>
            </w:r>
            <w:r>
              <w:rPr>
                <w:rFonts w:hint="eastAsia" w:ascii="仿宋_GB2312" w:hAnsi="宋体" w:eastAsia="仿宋_GB2312" w:cs="宋体"/>
                <w:kern w:val="0"/>
                <w:sz w:val="24"/>
              </w:rPr>
              <w:br w:type="page"/>
            </w:r>
            <w:r>
              <w:rPr>
                <w:rFonts w:hint="eastAsia" w:ascii="仿宋_GB2312" w:hAnsi="宋体" w:eastAsia="仿宋_GB2312" w:cs="宋体"/>
                <w:kern w:val="0"/>
                <w:sz w:val="24"/>
              </w:rPr>
              <w:t>区农水局、城管局、自然资源局、卫健局</w:t>
            </w:r>
          </w:p>
        </w:tc>
        <w:tc>
          <w:tcPr>
            <w:tcW w:w="49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1.2月底前，已形成农村“千吨万人”集中式饮用水水源地和千人以上农村集中供水饮用水水源地名录；</w:t>
            </w:r>
          </w:p>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br w:type="page"/>
            </w:r>
            <w:r>
              <w:rPr>
                <w:rFonts w:hint="eastAsia" w:ascii="仿宋_GB2312" w:hAnsi="宋体" w:eastAsia="仿宋_GB2312" w:cs="宋体"/>
                <w:kern w:val="0"/>
                <w:sz w:val="24"/>
              </w:rPr>
              <w:t>2.11月15日前，形成千人以上农村集中供水饮用水水源地生态环境问题台账；</w:t>
            </w:r>
            <w:r>
              <w:rPr>
                <w:rFonts w:hint="eastAsia" w:ascii="仿宋_GB2312" w:hAnsi="宋体" w:eastAsia="仿宋_GB2312" w:cs="宋体"/>
                <w:kern w:val="0"/>
                <w:sz w:val="24"/>
              </w:rPr>
              <w:br w:type="page"/>
            </w:r>
            <w:r>
              <w:rPr>
                <w:rFonts w:hint="eastAsia" w:ascii="仿宋_GB2312" w:hAnsi="宋体" w:eastAsia="仿宋_GB2312" w:cs="宋体"/>
                <w:kern w:val="0"/>
                <w:sz w:val="24"/>
              </w:rPr>
              <w:t>3.12月15日前，形成千人以下农村分散式饮用水水源地名录和生态环境问题台账；</w:t>
            </w:r>
            <w:r>
              <w:rPr>
                <w:rFonts w:hint="eastAsia" w:ascii="仿宋_GB2312" w:hAnsi="宋体" w:eastAsia="仿宋_GB2312" w:cs="宋体"/>
                <w:kern w:val="0"/>
                <w:sz w:val="24"/>
              </w:rPr>
              <w:br w:type="page"/>
            </w:r>
            <w:r>
              <w:rPr>
                <w:rFonts w:hint="eastAsia" w:ascii="仿宋_GB2312" w:hAnsi="宋体" w:eastAsia="仿宋_GB2312" w:cs="宋体"/>
                <w:kern w:val="0"/>
                <w:sz w:val="24"/>
              </w:rPr>
              <w:t>4.到2023年底，基本完成千人以下农村分散式饮用水水源地生态环境整治，实现对农村饮用水水源地生态环境排查整治全覆盖；</w:t>
            </w:r>
            <w:r>
              <w:rPr>
                <w:rFonts w:hint="eastAsia" w:ascii="仿宋_GB2312" w:hAnsi="宋体" w:eastAsia="仿宋_GB2312" w:cs="宋体"/>
                <w:kern w:val="0"/>
                <w:sz w:val="24"/>
              </w:rPr>
              <w:br w:type="page"/>
            </w:r>
            <w:r>
              <w:rPr>
                <w:rFonts w:hint="eastAsia" w:ascii="仿宋_GB2312" w:hAnsi="宋体" w:eastAsia="仿宋_GB2312" w:cs="宋体"/>
                <w:kern w:val="0"/>
                <w:sz w:val="24"/>
              </w:rPr>
              <w:t>5.摸底排查工作及“划、立、治”三项重点任务同步开展，实行动态管理。</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陈秀海、万志刚           吴庆贤、苏志雄              22633280、22637171</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115</w:t>
            </w:r>
          </w:p>
        </w:tc>
        <w:tc>
          <w:tcPr>
            <w:tcW w:w="1171" w:type="dxa"/>
            <w:vMerge w:val="continue"/>
            <w:tcBorders>
              <w:left w:val="single" w:color="auto" w:sz="4" w:space="0"/>
              <w:right w:val="single" w:color="auto" w:sz="4" w:space="0"/>
            </w:tcBorders>
            <w:shd w:val="clear" w:color="auto" w:fill="auto"/>
            <w:vAlign w:val="center"/>
          </w:tcPr>
          <w:p>
            <w:pPr>
              <w:widowControl/>
              <w:spacing w:line="280" w:lineRule="exact"/>
              <w:jc w:val="center"/>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推进城镇污水处理提质增效。着力解决断头管、管道空白区、错接、漏接等各类管道病害问题，减少污水直排。继续推动城镇黑臭水体排查整治。</w:t>
            </w:r>
          </w:p>
        </w:tc>
        <w:tc>
          <w:tcPr>
            <w:tcW w:w="99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区城管局、发改局、洛江生态环境局</w:t>
            </w:r>
          </w:p>
        </w:tc>
        <w:tc>
          <w:tcPr>
            <w:tcW w:w="49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2021年全年新建（改造）城镇污水管网15公里，6月底前完成30%建设任务，9月底前完成50%建设任务，12月底前全面完成建设任务。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黄聪云13850777757</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王会武15059736058</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116</w:t>
            </w:r>
          </w:p>
        </w:tc>
        <w:tc>
          <w:tcPr>
            <w:tcW w:w="1171" w:type="dxa"/>
            <w:vMerge w:val="continue"/>
            <w:tcBorders>
              <w:left w:val="single" w:color="auto" w:sz="4"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color w:val="000000"/>
                <w:kern w:val="0"/>
                <w:sz w:val="24"/>
              </w:rPr>
            </w:pPr>
            <w:r>
              <w:rPr>
                <w:rFonts w:hint="eastAsia" w:ascii="仿宋_GB2312" w:hAnsi="宋体" w:eastAsia="仿宋_GB2312" w:cs="宋体"/>
                <w:color w:val="000000"/>
                <w:kern w:val="0"/>
                <w:sz w:val="24"/>
              </w:rPr>
              <w:t>完成禁止和限制排污区内入河排污口整治，推进入海排污口分类整治试点，规模以上海水养殖主体实现尾水达标排放或循环利用。</w:t>
            </w:r>
          </w:p>
        </w:tc>
        <w:tc>
          <w:tcPr>
            <w:tcW w:w="992" w:type="dxa"/>
            <w:gridSpan w:val="4"/>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9"/>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洛江生态环境局</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区农水局、城管局、自然资源局</w:t>
            </w:r>
          </w:p>
        </w:tc>
        <w:tc>
          <w:tcPr>
            <w:tcW w:w="4945" w:type="dxa"/>
            <w:gridSpan w:val="10"/>
            <w:tcBorders>
              <w:top w:val="single" w:color="auto" w:sz="4" w:space="0"/>
              <w:left w:val="nil"/>
              <w:bottom w:val="single" w:color="auto" w:sz="4"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kern w:val="0"/>
                <w:sz w:val="24"/>
              </w:rPr>
              <w:t>1.6月底前，入河排污口整治完成率均达全省平均水平以上；</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w:t>
            </w:r>
            <w:r>
              <w:rPr>
                <w:rFonts w:hint="eastAsia" w:ascii="仿宋_GB2312" w:hAnsi="宋体" w:eastAsia="仿宋_GB2312" w:cs="宋体"/>
                <w:spacing w:val="-4"/>
                <w:kern w:val="0"/>
                <w:sz w:val="24"/>
              </w:rPr>
              <w:t>3月底完成入海排污口排查并建立台账；按照市局工作安排，通过分类处置，一口一策，做到“取缔一批、整改一批、规范一批”，有效控制入海排污，防治水污染，促进水质持续改善。</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陈秀海</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苏志雄22637171</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80" w:lineRule="exact"/>
              <w:jc w:val="center"/>
              <w:rPr>
                <w:rFonts w:ascii="仿宋_GB2312" w:eastAsia="仿宋_GB2312"/>
                <w:color w:val="000000"/>
                <w:kern w:val="0"/>
                <w:sz w:val="24"/>
              </w:rPr>
            </w:pPr>
            <w:r>
              <w:rPr>
                <w:rFonts w:hint="eastAsia" w:ascii="仿宋_GB2312" w:eastAsia="仿宋_GB2312"/>
                <w:color w:val="000000"/>
                <w:kern w:val="0"/>
                <w:sz w:val="24"/>
              </w:rPr>
              <w:t>117</w:t>
            </w:r>
          </w:p>
        </w:tc>
        <w:tc>
          <w:tcPr>
            <w:tcW w:w="1171" w:type="dxa"/>
            <w:vMerge w:val="continue"/>
            <w:tcBorders>
              <w:left w:val="single" w:color="auto" w:sz="4" w:space="0"/>
              <w:bottom w:val="single" w:color="auto" w:sz="12" w:space="0"/>
              <w:right w:val="single" w:color="auto" w:sz="4" w:space="0"/>
            </w:tcBorders>
            <w:vAlign w:val="center"/>
          </w:tcPr>
          <w:p>
            <w:pPr>
              <w:widowControl/>
              <w:spacing w:line="280" w:lineRule="exact"/>
              <w:jc w:val="left"/>
              <w:rPr>
                <w:rFonts w:ascii="仿宋_GB2312" w:hAnsi="宋体" w:eastAsia="仿宋_GB2312" w:cs="宋体"/>
                <w:color w:val="000000"/>
                <w:kern w:val="0"/>
                <w:sz w:val="24"/>
              </w:rPr>
            </w:pPr>
          </w:p>
        </w:tc>
        <w:tc>
          <w:tcPr>
            <w:tcW w:w="3686" w:type="dxa"/>
            <w:gridSpan w:val="4"/>
            <w:tcBorders>
              <w:top w:val="single" w:color="auto" w:sz="4" w:space="0"/>
              <w:left w:val="nil"/>
              <w:bottom w:val="single" w:color="auto" w:sz="12" w:space="0"/>
              <w:right w:val="single" w:color="auto" w:sz="4" w:space="0"/>
            </w:tcBorders>
            <w:shd w:val="clear" w:color="auto" w:fill="auto"/>
            <w:vAlign w:val="center"/>
          </w:tcPr>
          <w:p>
            <w:pPr>
              <w:widowControl/>
              <w:spacing w:line="240" w:lineRule="exact"/>
              <w:rPr>
                <w:rFonts w:ascii="仿宋_GB2312" w:hAnsi="宋体" w:eastAsia="仿宋_GB2312" w:cs="宋体"/>
                <w:color w:val="000000"/>
                <w:spacing w:val="-4"/>
                <w:kern w:val="0"/>
                <w:sz w:val="24"/>
              </w:rPr>
            </w:pPr>
            <w:r>
              <w:rPr>
                <w:rFonts w:hint="eastAsia" w:ascii="仿宋_GB2312" w:hAnsi="宋体" w:eastAsia="仿宋_GB2312" w:cs="宋体"/>
                <w:color w:val="000000"/>
                <w:spacing w:val="-4"/>
                <w:kern w:val="0"/>
                <w:sz w:val="24"/>
              </w:rPr>
              <w:t>开展海漂垃圾综合治理，落实</w:t>
            </w:r>
            <w:r>
              <w:rPr>
                <w:rFonts w:hint="eastAsia" w:ascii="仿宋_GB2312" w:eastAsia="仿宋_GB2312"/>
                <w:color w:val="000000"/>
                <w:spacing w:val="-4"/>
                <w:kern w:val="0"/>
                <w:sz w:val="24"/>
              </w:rPr>
              <w:t>“</w:t>
            </w:r>
            <w:r>
              <w:rPr>
                <w:rFonts w:hint="eastAsia" w:ascii="仿宋_GB2312" w:hAnsi="宋体" w:eastAsia="仿宋_GB2312" w:cs="宋体"/>
                <w:color w:val="000000"/>
                <w:spacing w:val="-4"/>
                <w:kern w:val="0"/>
                <w:sz w:val="24"/>
              </w:rPr>
              <w:t>海上环卫</w:t>
            </w:r>
            <w:r>
              <w:rPr>
                <w:rFonts w:hint="eastAsia" w:ascii="仿宋_GB2312" w:eastAsia="仿宋_GB2312"/>
                <w:color w:val="000000"/>
                <w:spacing w:val="-4"/>
                <w:kern w:val="0"/>
                <w:sz w:val="24"/>
              </w:rPr>
              <w:t>”</w:t>
            </w:r>
            <w:r>
              <w:rPr>
                <w:rFonts w:hint="eastAsia" w:ascii="仿宋_GB2312" w:hAnsi="宋体" w:eastAsia="仿宋_GB2312" w:cs="宋体"/>
                <w:color w:val="000000"/>
                <w:spacing w:val="-4"/>
                <w:kern w:val="0"/>
                <w:sz w:val="24"/>
              </w:rPr>
              <w:t>机制，完成垃圾分布密度年度目标任务，近岸海面和岸滩存量垃圾明显减少。</w:t>
            </w:r>
          </w:p>
        </w:tc>
        <w:tc>
          <w:tcPr>
            <w:tcW w:w="992" w:type="dxa"/>
            <w:gridSpan w:val="4"/>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843" w:type="dxa"/>
            <w:gridSpan w:val="9"/>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洛江生态环境局</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区城管局、自然资源局</w:t>
            </w:r>
          </w:p>
        </w:tc>
        <w:tc>
          <w:tcPr>
            <w:tcW w:w="4945" w:type="dxa"/>
            <w:gridSpan w:val="10"/>
            <w:tcBorders>
              <w:top w:val="single" w:color="auto" w:sz="4" w:space="0"/>
              <w:left w:val="nil"/>
              <w:bottom w:val="single" w:color="auto" w:sz="12" w:space="0"/>
              <w:right w:val="single" w:color="auto" w:sz="4" w:space="0"/>
            </w:tcBorders>
            <w:shd w:val="clear" w:color="auto" w:fill="auto"/>
            <w:vAlign w:val="center"/>
          </w:tcPr>
          <w:p>
            <w:pPr>
              <w:widowControl/>
              <w:spacing w:line="240" w:lineRule="exact"/>
              <w:rPr>
                <w:rFonts w:ascii="仿宋_GB2312" w:hAnsi="宋体" w:eastAsia="仿宋_GB2312" w:cs="宋体"/>
                <w:kern w:val="0"/>
                <w:sz w:val="24"/>
              </w:rPr>
            </w:pPr>
            <w:r>
              <w:rPr>
                <w:rFonts w:hint="eastAsia" w:ascii="仿宋_GB2312" w:hAnsi="宋体" w:eastAsia="仿宋_GB2312" w:cs="宋体"/>
                <w:spacing w:val="-4"/>
                <w:kern w:val="0"/>
                <w:sz w:val="24"/>
              </w:rPr>
              <w:t>1.6月底前，我区近岸海域开展既有垃圾清理、转运和处置，近岸海面和岸滩存量垃圾明显减少；</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2.2021年底，建立海上环委队伍，基本构建海漂垃圾收集、打捞、运输、处理体系。</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陈秀海</w:t>
            </w:r>
            <w:r>
              <w:rPr>
                <w:rFonts w:hint="eastAsia" w:ascii="仿宋_GB2312" w:hAnsi="宋体" w:eastAsia="仿宋_GB2312" w:cs="宋体"/>
                <w:kern w:val="0"/>
                <w:sz w:val="24"/>
              </w:rPr>
              <w:br w:type="textWrapping"/>
            </w:r>
            <w:r>
              <w:rPr>
                <w:rFonts w:hint="eastAsia" w:ascii="仿宋_GB2312" w:hAnsi="宋体" w:eastAsia="仿宋_GB2312" w:cs="宋体"/>
                <w:kern w:val="0"/>
                <w:sz w:val="24"/>
              </w:rPr>
              <w:t>苏志雄22637171</w:t>
            </w:r>
          </w:p>
        </w:tc>
      </w:tr>
      <w:tr>
        <w:tblPrEx>
          <w:tblCellMar>
            <w:top w:w="0" w:type="dxa"/>
            <w:left w:w="108" w:type="dxa"/>
            <w:bottom w:w="0" w:type="dxa"/>
            <w:right w:w="108" w:type="dxa"/>
          </w:tblCellMar>
        </w:tblPrEx>
        <w:trPr>
          <w:trHeight w:val="50" w:hRule="atLeast"/>
        </w:trPr>
        <w:tc>
          <w:tcPr>
            <w:tcW w:w="672" w:type="dxa"/>
            <w:tcBorders>
              <w:top w:val="single" w:color="auto" w:sz="12"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br w:type="page"/>
            </w:r>
            <w: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ascii="仿宋_GB2312" w:eastAsia="仿宋_GB2312"/>
                <w:color w:val="000000"/>
                <w:kern w:val="0"/>
                <w:sz w:val="24"/>
              </w:rPr>
              <w:br w:type="page"/>
            </w:r>
            <w:r>
              <w:rPr>
                <w:rFonts w:hint="eastAsia" w:ascii="仿宋_GB2312" w:eastAsia="仿宋_GB2312"/>
                <w:color w:val="000000"/>
                <w:kern w:val="0"/>
                <w:sz w:val="24"/>
              </w:rPr>
              <w:t>序号</w:t>
            </w:r>
          </w:p>
        </w:tc>
        <w:tc>
          <w:tcPr>
            <w:tcW w:w="1171" w:type="dxa"/>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事项名称</w:t>
            </w:r>
          </w:p>
        </w:tc>
        <w:tc>
          <w:tcPr>
            <w:tcW w:w="4536"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市级目标任务</w:t>
            </w:r>
          </w:p>
        </w:tc>
        <w:tc>
          <w:tcPr>
            <w:tcW w:w="993" w:type="dxa"/>
            <w:gridSpan w:val="6"/>
            <w:tcBorders>
              <w:top w:val="single" w:color="auto" w:sz="12"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完成</w:t>
            </w:r>
          </w:p>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时限</w:t>
            </w:r>
          </w:p>
        </w:tc>
        <w:tc>
          <w:tcPr>
            <w:tcW w:w="1417"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区牵头部门/责任部门</w:t>
            </w:r>
          </w:p>
        </w:tc>
        <w:tc>
          <w:tcPr>
            <w:tcW w:w="4520" w:type="dxa"/>
            <w:gridSpan w:val="7"/>
            <w:tcBorders>
              <w:top w:val="single" w:color="auto" w:sz="12"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spacing w:val="-4"/>
                <w:kern w:val="0"/>
                <w:sz w:val="24"/>
              </w:rPr>
            </w:pPr>
            <w:r>
              <w:rPr>
                <w:rFonts w:hint="eastAsia" w:ascii="仿宋_GB2312" w:hAnsi="宋体" w:eastAsia="仿宋_GB2312" w:cs="宋体"/>
                <w:spacing w:val="-4"/>
                <w:kern w:val="0"/>
                <w:sz w:val="24"/>
              </w:rPr>
              <w:t>落实措施、倒排计划</w:t>
            </w:r>
          </w:p>
        </w:tc>
        <w:tc>
          <w:tcPr>
            <w:tcW w:w="1717" w:type="dxa"/>
            <w:tcBorders>
              <w:top w:val="single" w:color="auto" w:sz="12"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牵头部门分管领导和经办人姓名、联系方式</w:t>
            </w:r>
          </w:p>
        </w:tc>
      </w:tr>
      <w:tr>
        <w:tblPrEx>
          <w:tblCellMar>
            <w:top w:w="0" w:type="dxa"/>
            <w:left w:w="108" w:type="dxa"/>
            <w:bottom w:w="0" w:type="dxa"/>
            <w:right w:w="108" w:type="dxa"/>
          </w:tblCellMar>
        </w:tblPrEx>
        <w:trPr>
          <w:trHeight w:val="1580"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spacing w:line="260" w:lineRule="exact"/>
              <w:jc w:val="center"/>
              <w:rPr>
                <w:rFonts w:ascii="仿宋_GB2312" w:eastAsia="仿宋_GB2312"/>
                <w:color w:val="000000"/>
                <w:kern w:val="0"/>
                <w:sz w:val="24"/>
              </w:rPr>
            </w:pPr>
            <w:r>
              <w:rPr>
                <w:rFonts w:hint="eastAsia" w:ascii="仿宋_GB2312" w:eastAsia="仿宋_GB2312"/>
                <w:color w:val="000000"/>
                <w:kern w:val="0"/>
                <w:sz w:val="24"/>
              </w:rPr>
              <w:t>118</w:t>
            </w:r>
          </w:p>
        </w:tc>
        <w:tc>
          <w:tcPr>
            <w:tcW w:w="1171"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十八、包容普惠</w:t>
            </w:r>
          </w:p>
          <w:p>
            <w:pPr>
              <w:spacing w:line="28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创新</w:t>
            </w: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spacing w:line="260" w:lineRule="exact"/>
              <w:jc w:val="left"/>
              <w:rPr>
                <w:rFonts w:ascii="仿宋_GB2312" w:hAnsi="宋体" w:eastAsia="仿宋_GB2312" w:cs="宋体"/>
                <w:color w:val="000000"/>
                <w:spacing w:val="-4"/>
                <w:kern w:val="0"/>
                <w:sz w:val="24"/>
              </w:rPr>
            </w:pPr>
            <w:r>
              <w:rPr>
                <w:rFonts w:hint="eastAsia" w:ascii="仿宋_GB2312" w:hAnsi="宋体" w:eastAsia="仿宋_GB2312" w:cs="宋体"/>
                <w:color w:val="000000"/>
                <w:kern w:val="0"/>
                <w:sz w:val="24"/>
              </w:rPr>
              <w:t>加强建设用地土壤污染状况调查管理。建立全市建设用地土壤污染风险管控和修复名录并向社会公开。加强土壤污染源头监管。</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7"/>
            <w:tcBorders>
              <w:top w:val="single" w:color="auto" w:sz="4" w:space="0"/>
              <w:left w:val="nil"/>
              <w:bottom w:val="single" w:color="auto" w:sz="4" w:space="0"/>
              <w:right w:val="single" w:color="auto" w:sz="4" w:space="0"/>
            </w:tcBorders>
            <w:shd w:val="clear" w:color="auto" w:fill="auto"/>
            <w:vAlign w:val="center"/>
          </w:tcPr>
          <w:p>
            <w:pPr>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洛江生态环境局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spacing w:line="240" w:lineRule="exact"/>
              <w:jc w:val="left"/>
              <w:rPr>
                <w:rFonts w:ascii="仿宋_GB2312" w:hAnsi="宋体" w:eastAsia="仿宋_GB2312" w:cs="宋体"/>
                <w:kern w:val="0"/>
                <w:sz w:val="24"/>
              </w:rPr>
            </w:pPr>
            <w:r>
              <w:rPr>
                <w:rFonts w:hint="eastAsia" w:ascii="仿宋_GB2312" w:hAnsi="宋体" w:eastAsia="仿宋_GB2312" w:cs="宋体"/>
                <w:kern w:val="0"/>
                <w:sz w:val="24"/>
              </w:rPr>
              <w:t>1.4月底前，配合市局完成土壤重点监管企业周边土壤环境质量监测；</w:t>
            </w:r>
          </w:p>
          <w:p>
            <w:pPr>
              <w:spacing w:line="240" w:lineRule="exact"/>
              <w:jc w:val="left"/>
              <w:rPr>
                <w:rFonts w:ascii="仿宋_GB2312" w:hAnsi="宋体" w:eastAsia="仿宋_GB2312" w:cs="宋体"/>
                <w:kern w:val="0"/>
                <w:sz w:val="24"/>
              </w:rPr>
            </w:pPr>
            <w:r>
              <w:rPr>
                <w:rFonts w:hint="eastAsia" w:ascii="仿宋_GB2312" w:hAnsi="宋体" w:eastAsia="仿宋_GB2312" w:cs="宋体"/>
                <w:kern w:val="0"/>
                <w:sz w:val="24"/>
              </w:rPr>
              <w:br w:type="page"/>
            </w:r>
            <w:r>
              <w:rPr>
                <w:rFonts w:hint="eastAsia" w:ascii="仿宋_GB2312" w:hAnsi="宋体" w:eastAsia="仿宋_GB2312" w:cs="宋体"/>
                <w:kern w:val="0"/>
                <w:sz w:val="24"/>
              </w:rPr>
              <w:t>2.2021年底前，按照市局工作安排，做好我区土壤重点监管企业的土壤自行监测工作；</w:t>
            </w:r>
          </w:p>
          <w:p>
            <w:pPr>
              <w:spacing w:line="240" w:lineRule="exact"/>
              <w:jc w:val="left"/>
              <w:rPr>
                <w:rFonts w:ascii="仿宋_GB2312" w:hAnsi="宋体" w:eastAsia="仿宋_GB2312" w:cs="宋体"/>
                <w:kern w:val="0"/>
                <w:sz w:val="24"/>
              </w:rPr>
            </w:pPr>
            <w:r>
              <w:rPr>
                <w:rFonts w:hint="eastAsia" w:ascii="仿宋_GB2312" w:hAnsi="宋体" w:eastAsia="仿宋_GB2312" w:cs="宋体"/>
                <w:kern w:val="0"/>
                <w:sz w:val="24"/>
              </w:rPr>
              <w:t>3.督促已停产大华蓄电池有限公司落实污染地块“三防一控”工作，按计划开展污染地块土壤修复。</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陈秀海</w:t>
            </w:r>
            <w:r>
              <w:rPr>
                <w:rFonts w:hint="eastAsia" w:ascii="仿宋_GB2312" w:hAnsi="宋体" w:eastAsia="仿宋_GB2312" w:cs="宋体"/>
                <w:kern w:val="0"/>
                <w:sz w:val="24"/>
              </w:rPr>
              <w:br w:type="page"/>
            </w:r>
          </w:p>
          <w:p>
            <w:pPr>
              <w:spacing w:line="260" w:lineRule="exact"/>
              <w:jc w:val="center"/>
              <w:rPr>
                <w:rFonts w:ascii="仿宋_GB2312" w:hAnsi="宋体" w:eastAsia="仿宋_GB2312" w:cs="宋体"/>
                <w:kern w:val="0"/>
                <w:sz w:val="24"/>
              </w:rPr>
            </w:pPr>
            <w:r>
              <w:rPr>
                <w:rFonts w:hint="eastAsia" w:ascii="仿宋_GB2312" w:hAnsi="宋体" w:eastAsia="仿宋_GB2312" w:cs="宋体"/>
                <w:kern w:val="0"/>
                <w:sz w:val="24"/>
              </w:rPr>
              <w:t>苏志雄22637171</w:t>
            </w:r>
          </w:p>
        </w:tc>
      </w:tr>
      <w:tr>
        <w:tblPrEx>
          <w:tblCellMar>
            <w:top w:w="0" w:type="dxa"/>
            <w:left w:w="108" w:type="dxa"/>
            <w:bottom w:w="0" w:type="dxa"/>
            <w:right w:w="108" w:type="dxa"/>
          </w:tblCellMar>
        </w:tblPrEx>
        <w:trPr>
          <w:trHeight w:val="148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119</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加强卫技人才资源建设。制定</w:t>
            </w:r>
            <w:r>
              <w:rPr>
                <w:rFonts w:hint="eastAsia" w:ascii="仿宋_GB2312" w:eastAsia="仿宋_GB2312"/>
                <w:color w:val="000000"/>
                <w:kern w:val="0"/>
                <w:sz w:val="24"/>
              </w:rPr>
              <w:t>2021</w:t>
            </w:r>
            <w:r>
              <w:rPr>
                <w:rFonts w:hint="eastAsia" w:ascii="仿宋_GB2312" w:hAnsi="宋体" w:eastAsia="仿宋_GB2312" w:cs="宋体"/>
                <w:color w:val="000000"/>
                <w:kern w:val="0"/>
                <w:sz w:val="24"/>
              </w:rPr>
              <w:t>～</w:t>
            </w:r>
            <w:r>
              <w:rPr>
                <w:rFonts w:hint="eastAsia" w:ascii="仿宋_GB2312" w:eastAsia="仿宋_GB2312"/>
                <w:color w:val="000000"/>
                <w:kern w:val="0"/>
                <w:sz w:val="24"/>
              </w:rPr>
              <w:t>2022</w:t>
            </w:r>
            <w:r>
              <w:rPr>
                <w:rFonts w:hint="eastAsia" w:ascii="仿宋_GB2312" w:hAnsi="宋体" w:eastAsia="仿宋_GB2312" w:cs="宋体"/>
                <w:color w:val="000000"/>
                <w:kern w:val="0"/>
                <w:sz w:val="24"/>
              </w:rPr>
              <w:t>年度泉州市医疗卫生单位紧缺急需人才引进指导目录。指导公立医疗卫生机构制定更有针对性的公开招聘方式。推动分批下放县级及以下公立医疗卫生机构人员公开招聘方案由县级人社部门核准的权限。</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区卫健局</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区人社局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加强卫技人才资源建设。开展更有针对性的公立医疗卫生机构公开招聘方式。</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李奕琳</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赖梅花22633801</w:t>
            </w:r>
          </w:p>
        </w:tc>
      </w:tr>
      <w:tr>
        <w:tblPrEx>
          <w:tblCellMar>
            <w:top w:w="0" w:type="dxa"/>
            <w:left w:w="108" w:type="dxa"/>
            <w:bottom w:w="0" w:type="dxa"/>
            <w:right w:w="108" w:type="dxa"/>
          </w:tblCellMar>
        </w:tblPrEx>
        <w:trPr>
          <w:trHeight w:val="124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120</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优化人才奖励补助办法。采取项目化方式实施人才精准培养，对新引进的博士给予人才奖励，对新引进的紧缺专业硕士的给予生活补助。设置继续教育专项奖励，支持中青年医学人才到国内外一流医疗机构进修学习。</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区卫健局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实施人才精准培养，支持中青年医学人才到上级医疗卫生机构进修学习。</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李奕琳</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赖梅花22633801</w:t>
            </w:r>
          </w:p>
        </w:tc>
      </w:tr>
      <w:tr>
        <w:tblPrEx>
          <w:tblCellMar>
            <w:top w:w="0" w:type="dxa"/>
            <w:left w:w="108" w:type="dxa"/>
            <w:bottom w:w="0" w:type="dxa"/>
            <w:right w:w="108" w:type="dxa"/>
          </w:tblCellMar>
        </w:tblPrEx>
        <w:trPr>
          <w:trHeight w:val="1425" w:hRule="atLeast"/>
        </w:trPr>
        <w:tc>
          <w:tcPr>
            <w:tcW w:w="672" w:type="dxa"/>
            <w:tcBorders>
              <w:top w:val="single" w:color="auto" w:sz="4" w:space="0"/>
              <w:left w:val="single" w:color="auto" w:sz="12" w:space="0"/>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121</w:t>
            </w:r>
          </w:p>
        </w:tc>
        <w:tc>
          <w:tcPr>
            <w:tcW w:w="117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完善紧密型县域医共体。推进</w:t>
            </w:r>
            <w:r>
              <w:rPr>
                <w:rFonts w:hint="eastAsia" w:ascii="仿宋_GB2312" w:eastAsia="仿宋_GB2312"/>
                <w:color w:val="000000"/>
                <w:kern w:val="0"/>
                <w:sz w:val="24"/>
              </w:rPr>
              <w:t>8</w:t>
            </w:r>
            <w:r>
              <w:rPr>
                <w:rFonts w:hint="eastAsia" w:ascii="仿宋_GB2312" w:hAnsi="宋体" w:eastAsia="仿宋_GB2312" w:cs="宋体"/>
                <w:color w:val="000000"/>
                <w:kern w:val="0"/>
                <w:sz w:val="24"/>
              </w:rPr>
              <w:t>个县（市、区）县域医共体完善内部运行机制和利益共享机制，鼓励县域医共体设施设备建设，县域医疗卫生服务资源深度融合。提升县域医疗信息一体化服务能力，到</w:t>
            </w:r>
            <w:r>
              <w:rPr>
                <w:rFonts w:hint="eastAsia" w:ascii="仿宋_GB2312" w:eastAsia="仿宋_GB2312"/>
                <w:color w:val="000000"/>
                <w:kern w:val="0"/>
                <w:sz w:val="24"/>
              </w:rPr>
              <w:t>2021</w:t>
            </w:r>
            <w:r>
              <w:rPr>
                <w:rFonts w:hint="eastAsia" w:ascii="仿宋_GB2312" w:hAnsi="宋体" w:eastAsia="仿宋_GB2312" w:cs="宋体"/>
                <w:color w:val="000000"/>
                <w:kern w:val="0"/>
                <w:sz w:val="24"/>
              </w:rPr>
              <w:t>年底，全市</w:t>
            </w:r>
            <w:r>
              <w:rPr>
                <w:rFonts w:hint="eastAsia" w:ascii="仿宋_GB2312" w:eastAsia="仿宋_GB2312"/>
                <w:color w:val="000000"/>
                <w:kern w:val="0"/>
                <w:sz w:val="24"/>
              </w:rPr>
              <w:t>8</w:t>
            </w:r>
            <w:r>
              <w:rPr>
                <w:rFonts w:hint="eastAsia" w:ascii="仿宋_GB2312" w:hAnsi="宋体" w:eastAsia="仿宋_GB2312" w:cs="宋体"/>
                <w:color w:val="000000"/>
                <w:kern w:val="0"/>
                <w:sz w:val="24"/>
              </w:rPr>
              <w:t>家县级综合医院达到电子病历系统应用水平分级评价</w:t>
            </w:r>
            <w:r>
              <w:rPr>
                <w:rFonts w:hint="eastAsia" w:ascii="仿宋_GB2312" w:eastAsia="仿宋_GB2312"/>
                <w:color w:val="000000"/>
                <w:kern w:val="0"/>
                <w:sz w:val="24"/>
              </w:rPr>
              <w:t>3</w:t>
            </w:r>
            <w:r>
              <w:rPr>
                <w:rFonts w:hint="eastAsia" w:ascii="仿宋_GB2312" w:hAnsi="宋体" w:eastAsia="仿宋_GB2312" w:cs="宋体"/>
                <w:color w:val="000000"/>
                <w:kern w:val="0"/>
                <w:sz w:val="24"/>
              </w:rPr>
              <w:t>级以上。</w:t>
            </w:r>
          </w:p>
        </w:tc>
        <w:tc>
          <w:tcPr>
            <w:tcW w:w="993" w:type="dxa"/>
            <w:gridSpan w:val="6"/>
            <w:tcBorders>
              <w:top w:val="single" w:color="auto" w:sz="4" w:space="0"/>
              <w:left w:val="nil"/>
              <w:bottom w:val="single" w:color="auto" w:sz="4"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区卫健局</w:t>
            </w:r>
          </w:p>
        </w:tc>
        <w:tc>
          <w:tcPr>
            <w:tcW w:w="4520" w:type="dxa"/>
            <w:gridSpan w:val="7"/>
            <w:tcBorders>
              <w:top w:val="single" w:color="auto" w:sz="4" w:space="0"/>
              <w:left w:val="nil"/>
              <w:bottom w:val="single" w:color="auto" w:sz="4"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洛江区无县域医共体建设任务。</w:t>
            </w:r>
          </w:p>
        </w:tc>
        <w:tc>
          <w:tcPr>
            <w:tcW w:w="1717" w:type="dxa"/>
            <w:tcBorders>
              <w:top w:val="single" w:color="auto" w:sz="4" w:space="0"/>
              <w:left w:val="nil"/>
              <w:bottom w:val="single" w:color="auto" w:sz="4"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曾素虹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  辉22631909</w:t>
            </w:r>
          </w:p>
        </w:tc>
      </w:tr>
      <w:tr>
        <w:tblPrEx>
          <w:tblCellMar>
            <w:top w:w="0" w:type="dxa"/>
            <w:left w:w="108" w:type="dxa"/>
            <w:bottom w:w="0" w:type="dxa"/>
            <w:right w:w="108" w:type="dxa"/>
          </w:tblCellMar>
        </w:tblPrEx>
        <w:trPr>
          <w:trHeight w:val="70" w:hRule="atLeast"/>
        </w:trPr>
        <w:tc>
          <w:tcPr>
            <w:tcW w:w="672" w:type="dxa"/>
            <w:tcBorders>
              <w:top w:val="single" w:color="auto" w:sz="4" w:space="0"/>
              <w:left w:val="single" w:color="auto" w:sz="12" w:space="0"/>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122</w:t>
            </w:r>
          </w:p>
        </w:tc>
        <w:tc>
          <w:tcPr>
            <w:tcW w:w="1171" w:type="dxa"/>
            <w:vMerge w:val="continue"/>
            <w:tcBorders>
              <w:top w:val="single" w:color="auto" w:sz="4" w:space="0"/>
              <w:left w:val="single" w:color="auto" w:sz="4" w:space="0"/>
              <w:bottom w:val="single" w:color="auto" w:sz="12" w:space="0"/>
              <w:right w:val="single" w:color="auto" w:sz="4" w:space="0"/>
            </w:tcBorders>
            <w:vAlign w:val="center"/>
          </w:tcPr>
          <w:p>
            <w:pPr>
              <w:widowControl/>
              <w:spacing w:line="260" w:lineRule="exact"/>
              <w:jc w:val="left"/>
              <w:rPr>
                <w:rFonts w:ascii="仿宋_GB2312" w:hAnsi="宋体" w:eastAsia="仿宋_GB2312" w:cs="宋体"/>
                <w:color w:val="000000"/>
                <w:kern w:val="0"/>
                <w:sz w:val="24"/>
              </w:rPr>
            </w:pPr>
          </w:p>
        </w:tc>
        <w:tc>
          <w:tcPr>
            <w:tcW w:w="4536"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提升基层医疗卫生服务能力。力争到</w:t>
            </w:r>
            <w:r>
              <w:rPr>
                <w:rFonts w:hint="eastAsia" w:ascii="仿宋_GB2312" w:eastAsia="仿宋_GB2312"/>
                <w:color w:val="000000"/>
                <w:kern w:val="0"/>
                <w:sz w:val="24"/>
              </w:rPr>
              <w:t>2021</w:t>
            </w:r>
            <w:r>
              <w:rPr>
                <w:rFonts w:hint="eastAsia" w:ascii="仿宋_GB2312" w:hAnsi="宋体" w:eastAsia="仿宋_GB2312" w:cs="宋体"/>
                <w:color w:val="000000"/>
                <w:kern w:val="0"/>
                <w:sz w:val="24"/>
              </w:rPr>
              <w:t>年底，服务能力达到</w:t>
            </w:r>
            <w:r>
              <w:rPr>
                <w:rFonts w:hint="eastAsia" w:ascii="仿宋_GB2312" w:eastAsia="仿宋_GB2312"/>
                <w:color w:val="000000"/>
                <w:kern w:val="0"/>
                <w:sz w:val="24"/>
              </w:rPr>
              <w:t>“</w:t>
            </w:r>
            <w:r>
              <w:rPr>
                <w:rFonts w:hint="eastAsia" w:ascii="仿宋_GB2312" w:hAnsi="宋体" w:eastAsia="仿宋_GB2312" w:cs="宋体"/>
                <w:color w:val="000000"/>
                <w:kern w:val="0"/>
                <w:sz w:val="24"/>
              </w:rPr>
              <w:t>国家基本标准</w:t>
            </w:r>
            <w:r>
              <w:rPr>
                <w:rFonts w:hint="eastAsia" w:ascii="仿宋_GB2312" w:eastAsia="仿宋_GB2312"/>
                <w:color w:val="000000"/>
                <w:kern w:val="0"/>
                <w:sz w:val="24"/>
              </w:rPr>
              <w:t>”</w:t>
            </w:r>
            <w:r>
              <w:rPr>
                <w:rFonts w:hint="eastAsia" w:ascii="仿宋_GB2312" w:hAnsi="宋体" w:eastAsia="仿宋_GB2312" w:cs="宋体"/>
                <w:color w:val="000000"/>
                <w:kern w:val="0"/>
                <w:sz w:val="24"/>
              </w:rPr>
              <w:t>的乡镇卫生院、社区卫生服务中心占比提高到</w:t>
            </w:r>
            <w:r>
              <w:rPr>
                <w:rFonts w:hint="eastAsia" w:ascii="仿宋_GB2312" w:eastAsia="仿宋_GB2312"/>
                <w:color w:val="000000"/>
                <w:kern w:val="0"/>
                <w:sz w:val="24"/>
              </w:rPr>
              <w:t>70%</w:t>
            </w:r>
            <w:r>
              <w:rPr>
                <w:rFonts w:hint="eastAsia" w:ascii="仿宋_GB2312" w:hAnsi="宋体" w:eastAsia="仿宋_GB2312" w:cs="宋体"/>
                <w:color w:val="000000"/>
                <w:kern w:val="0"/>
                <w:sz w:val="24"/>
              </w:rPr>
              <w:t>，部分能力较强的达到</w:t>
            </w:r>
            <w:r>
              <w:rPr>
                <w:rFonts w:hint="eastAsia" w:ascii="仿宋_GB2312" w:eastAsia="仿宋_GB2312"/>
                <w:color w:val="000000"/>
                <w:kern w:val="0"/>
                <w:sz w:val="24"/>
              </w:rPr>
              <w:t>“</w:t>
            </w:r>
            <w:r>
              <w:rPr>
                <w:rFonts w:hint="eastAsia" w:ascii="仿宋_GB2312" w:hAnsi="宋体" w:eastAsia="仿宋_GB2312" w:cs="宋体"/>
                <w:color w:val="000000"/>
                <w:kern w:val="0"/>
                <w:sz w:val="24"/>
              </w:rPr>
              <w:t>国家推荐标准</w:t>
            </w:r>
            <w:r>
              <w:rPr>
                <w:rFonts w:hint="eastAsia" w:ascii="仿宋_GB2312" w:eastAsia="仿宋_GB2312"/>
                <w:color w:val="000000"/>
                <w:kern w:val="0"/>
                <w:sz w:val="24"/>
              </w:rPr>
              <w:t>”</w:t>
            </w:r>
            <w:r>
              <w:rPr>
                <w:rFonts w:hint="eastAsia" w:ascii="仿宋_GB2312" w:hAnsi="宋体" w:eastAsia="仿宋_GB2312" w:cs="宋体"/>
                <w:color w:val="000000"/>
                <w:kern w:val="0"/>
                <w:sz w:val="24"/>
              </w:rPr>
              <w:t>。遴选一批具备较强服务能力、服务一定规模人口的基层医疗卫生机构，建设城市社区医院，合理设置康复、护理和安宁疗护等床位。</w:t>
            </w:r>
          </w:p>
        </w:tc>
        <w:tc>
          <w:tcPr>
            <w:tcW w:w="993" w:type="dxa"/>
            <w:gridSpan w:val="6"/>
            <w:tcBorders>
              <w:top w:val="single" w:color="auto" w:sz="4" w:space="0"/>
              <w:left w:val="nil"/>
              <w:bottom w:val="single" w:color="auto" w:sz="12" w:space="0"/>
              <w:right w:val="single" w:color="auto" w:sz="4" w:space="0"/>
            </w:tcBorders>
            <w:shd w:val="clear" w:color="auto" w:fill="auto"/>
            <w:noWrap/>
            <w:vAlign w:val="center"/>
          </w:tcPr>
          <w:p>
            <w:pPr>
              <w:widowControl/>
              <w:spacing w:line="260" w:lineRule="exact"/>
              <w:jc w:val="center"/>
              <w:rPr>
                <w:rFonts w:ascii="仿宋_GB2312" w:eastAsia="仿宋_GB2312"/>
                <w:color w:val="000000"/>
                <w:kern w:val="0"/>
                <w:sz w:val="24"/>
              </w:rPr>
            </w:pPr>
            <w:r>
              <w:rPr>
                <w:rFonts w:hint="eastAsia" w:ascii="仿宋_GB2312" w:eastAsia="仿宋_GB2312"/>
                <w:color w:val="000000"/>
                <w:kern w:val="0"/>
                <w:sz w:val="24"/>
              </w:rPr>
              <w:t>12月底</w:t>
            </w:r>
          </w:p>
        </w:tc>
        <w:tc>
          <w:tcPr>
            <w:tcW w:w="1417"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区卫健局</w:t>
            </w:r>
          </w:p>
        </w:tc>
        <w:tc>
          <w:tcPr>
            <w:tcW w:w="4520" w:type="dxa"/>
            <w:gridSpan w:val="7"/>
            <w:tcBorders>
              <w:top w:val="single" w:color="auto" w:sz="4" w:space="0"/>
              <w:left w:val="nil"/>
              <w:bottom w:val="single" w:color="auto" w:sz="12" w:space="0"/>
              <w:right w:val="single" w:color="auto" w:sz="4" w:space="0"/>
            </w:tcBorders>
            <w:shd w:val="clear" w:color="auto" w:fill="auto"/>
            <w:vAlign w:val="center"/>
          </w:tcPr>
          <w:p>
            <w:pPr>
              <w:widowControl/>
              <w:spacing w:line="260" w:lineRule="exact"/>
              <w:jc w:val="left"/>
              <w:rPr>
                <w:rFonts w:ascii="仿宋_GB2312" w:hAnsi="宋体" w:eastAsia="仿宋_GB2312" w:cs="宋体"/>
                <w:color w:val="000000"/>
                <w:kern w:val="0"/>
                <w:sz w:val="24"/>
              </w:rPr>
            </w:pPr>
            <w:r>
              <w:rPr>
                <w:rFonts w:hint="eastAsia" w:ascii="仿宋_GB2312" w:hAnsi="宋体" w:eastAsia="仿宋_GB2312" w:cs="宋体"/>
                <w:color w:val="000000"/>
                <w:kern w:val="0"/>
                <w:sz w:val="24"/>
              </w:rPr>
              <w:t>洛江区目前辖区6家基层医疗卫生机构，其中4家基层医疗卫生机构服务能力达到“国家基本标准”、马甲中心卫生院达到“国家推荐标准”。</w:t>
            </w:r>
          </w:p>
        </w:tc>
        <w:tc>
          <w:tcPr>
            <w:tcW w:w="1717" w:type="dxa"/>
            <w:tcBorders>
              <w:top w:val="single" w:color="auto" w:sz="4" w:space="0"/>
              <w:left w:val="nil"/>
              <w:bottom w:val="single" w:color="auto" w:sz="12" w:space="0"/>
              <w:right w:val="single" w:color="auto" w:sz="12" w:space="0"/>
            </w:tcBorders>
            <w:shd w:val="clear" w:color="auto" w:fill="auto"/>
            <w:vAlign w:val="center"/>
          </w:tcPr>
          <w:p>
            <w:pPr>
              <w:widowControl/>
              <w:spacing w:line="2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曾素虹</w:t>
            </w:r>
            <w:r>
              <w:rPr>
                <w:rFonts w:hint="eastAsia" w:ascii="仿宋_GB2312" w:hAnsi="宋体" w:eastAsia="仿宋_GB2312" w:cs="宋体"/>
                <w:color w:val="000000"/>
                <w:kern w:val="0"/>
                <w:sz w:val="24"/>
              </w:rPr>
              <w:br w:type="textWrapping"/>
            </w:r>
            <w:r>
              <w:rPr>
                <w:rFonts w:hint="eastAsia" w:ascii="仿宋_GB2312" w:hAnsi="宋体" w:eastAsia="仿宋_GB2312" w:cs="宋体"/>
                <w:color w:val="000000"/>
                <w:kern w:val="0"/>
                <w:sz w:val="24"/>
              </w:rPr>
              <w:t>黄  辉22631909</w:t>
            </w:r>
          </w:p>
        </w:tc>
      </w:tr>
    </w:tbl>
    <w:p>
      <w:pPr>
        <w:rPr>
          <w:rFonts w:ascii="仿宋_GB2312" w:eastAsia="仿宋_GB2312"/>
          <w:sz w:val="32"/>
        </w:rPr>
        <w:sectPr>
          <w:footerReference r:id="rId5" w:type="first"/>
          <w:footerReference r:id="rId3" w:type="default"/>
          <w:footerReference r:id="rId4" w:type="even"/>
          <w:pgSz w:w="16838" w:h="11906" w:orient="landscape"/>
          <w:pgMar w:top="1134" w:right="1134" w:bottom="1134" w:left="1134" w:header="851" w:footer="1418" w:gutter="0"/>
          <w:pgNumType w:fmt="numberInDash"/>
          <w:cols w:space="425" w:num="1"/>
          <w:titlePg/>
          <w:docGrid w:type="linesAndChars" w:linePitch="600" w:charSpace="-4256"/>
        </w:sectPr>
      </w:pPr>
    </w:p>
    <w:p>
      <w:pPr>
        <w:rPr>
          <w:rFonts w:ascii="仿宋_GB2312" w:eastAsia="仿宋_GB2312"/>
          <w:sz w:val="28"/>
          <w:szCs w:val="28"/>
        </w:rPr>
      </w:pPr>
      <w:bookmarkStart w:id="0" w:name="_GoBack"/>
      <w:bookmarkEnd w:id="0"/>
    </w:p>
    <w:sectPr>
      <w:pgSz w:w="11906" w:h="16838"/>
      <w:pgMar w:top="1871" w:right="1304" w:bottom="1531" w:left="1531" w:header="851" w:footer="1418" w:gutter="0"/>
      <w:pgNumType w:fmt="numberInDash"/>
      <w:cols w:space="425" w:num="1"/>
      <w:titlePg/>
      <w:docGrid w:type="linesAndChars" w:linePitch="600" w:charSpace="2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6635688"/>
      <w:docPartObj>
        <w:docPartGallery w:val="AutoText"/>
      </w:docPartObj>
    </w:sdtPr>
    <w:sdtEndPr>
      <w:rPr>
        <w:rFonts w:asciiTheme="minorEastAsia" w:hAnsiTheme="minorEastAsia" w:eastAsiaTheme="minorEastAsia"/>
        <w:sz w:val="28"/>
        <w:szCs w:val="28"/>
      </w:rPr>
    </w:sdtEndPr>
    <w:sdtContent>
      <w:p>
        <w:pPr>
          <w:pStyle w:val="2"/>
          <w:jc w:val="right"/>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1 -</w:t>
        </w:r>
        <w:r>
          <w:rPr>
            <w:rFonts w:asciiTheme="minorEastAsia" w:hAnsiTheme="minorEastAsia" w:eastAsiaTheme="minorEastAsia"/>
            <w:sz w:val="28"/>
            <w:szCs w:val="28"/>
          </w:rPr>
          <w:fldChar w:fldCharType="end"/>
        </w:r>
      </w:p>
    </w:sdtContent>
  </w:sdt>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46" w:y="-2"/>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- 56 -</w:t>
    </w:r>
    <w:r>
      <w:rPr>
        <w:rStyle w:val="6"/>
        <w:rFonts w:ascii="宋体" w:hAnsi="宋体"/>
        <w:sz w:val="28"/>
        <w:szCs w:val="28"/>
      </w:rPr>
      <w:fldChar w:fldCharType="end"/>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heme="minorEastAsia" w:hAnsiTheme="minorEastAsia" w:eastAsiaTheme="minorEastAsia"/>
        <w:sz w:val="28"/>
        <w:szCs w:val="28"/>
      </w:rPr>
      <w:id w:val="516635690"/>
      <w:docPartObj>
        <w:docPartGallery w:val="AutoText"/>
      </w:docPartObj>
    </w:sdtPr>
    <w:sdtEndPr>
      <w:rPr>
        <w:rFonts w:asciiTheme="minorEastAsia" w:hAnsiTheme="minorEastAsia" w:eastAsiaTheme="minorEastAsia"/>
        <w:sz w:val="28"/>
        <w:szCs w:val="28"/>
      </w:rPr>
    </w:sdtEndPr>
    <w:sdtContent>
      <w:p>
        <w:pPr>
          <w:pStyle w:val="2"/>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58 -</w:t>
        </w:r>
        <w:r>
          <w:rPr>
            <w:rFonts w:asciiTheme="minorEastAsia" w:hAnsiTheme="minorEastAsia" w:eastAsiaTheme="minorEastAsia"/>
            <w:sz w:val="28"/>
            <w:szCs w:val="28"/>
          </w:rP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evenAndOddHeaders w:val="1"/>
  <w:drawingGridHorizontalSpacing w:val="211"/>
  <w:drawingGridVerticalSpacing w:val="3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433ED"/>
    <w:rsid w:val="00014391"/>
    <w:rsid w:val="0004345A"/>
    <w:rsid w:val="00081B59"/>
    <w:rsid w:val="000D07DD"/>
    <w:rsid w:val="000E633E"/>
    <w:rsid w:val="000F37AF"/>
    <w:rsid w:val="00103722"/>
    <w:rsid w:val="0014311F"/>
    <w:rsid w:val="001816DC"/>
    <w:rsid w:val="001B6427"/>
    <w:rsid w:val="002150FA"/>
    <w:rsid w:val="0029317E"/>
    <w:rsid w:val="002B752A"/>
    <w:rsid w:val="002D2369"/>
    <w:rsid w:val="002E36AD"/>
    <w:rsid w:val="002E4036"/>
    <w:rsid w:val="00327D1A"/>
    <w:rsid w:val="00341BBD"/>
    <w:rsid w:val="003953DD"/>
    <w:rsid w:val="004662D2"/>
    <w:rsid w:val="004B2624"/>
    <w:rsid w:val="004B40B2"/>
    <w:rsid w:val="004E5D25"/>
    <w:rsid w:val="00512B01"/>
    <w:rsid w:val="00523D2F"/>
    <w:rsid w:val="005433ED"/>
    <w:rsid w:val="005715C8"/>
    <w:rsid w:val="00591F1D"/>
    <w:rsid w:val="005A59D9"/>
    <w:rsid w:val="005C1042"/>
    <w:rsid w:val="0061183D"/>
    <w:rsid w:val="006445AB"/>
    <w:rsid w:val="00684E5F"/>
    <w:rsid w:val="006D21AB"/>
    <w:rsid w:val="00732128"/>
    <w:rsid w:val="0074628D"/>
    <w:rsid w:val="00754BEF"/>
    <w:rsid w:val="00797A07"/>
    <w:rsid w:val="007B0B8D"/>
    <w:rsid w:val="007F6C91"/>
    <w:rsid w:val="00805E1C"/>
    <w:rsid w:val="008253D7"/>
    <w:rsid w:val="0083680B"/>
    <w:rsid w:val="008622C0"/>
    <w:rsid w:val="008751CD"/>
    <w:rsid w:val="008C7A11"/>
    <w:rsid w:val="008F661F"/>
    <w:rsid w:val="008F7DDE"/>
    <w:rsid w:val="00904929"/>
    <w:rsid w:val="009075D4"/>
    <w:rsid w:val="00913887"/>
    <w:rsid w:val="00915848"/>
    <w:rsid w:val="00943B14"/>
    <w:rsid w:val="0095457A"/>
    <w:rsid w:val="00984921"/>
    <w:rsid w:val="0098563D"/>
    <w:rsid w:val="009A760C"/>
    <w:rsid w:val="00A34343"/>
    <w:rsid w:val="00A347E4"/>
    <w:rsid w:val="00AB3E07"/>
    <w:rsid w:val="00AE2F6F"/>
    <w:rsid w:val="00B26C66"/>
    <w:rsid w:val="00B368AF"/>
    <w:rsid w:val="00B53120"/>
    <w:rsid w:val="00B664F0"/>
    <w:rsid w:val="00B84387"/>
    <w:rsid w:val="00B97990"/>
    <w:rsid w:val="00BE5B90"/>
    <w:rsid w:val="00C157AB"/>
    <w:rsid w:val="00C33B33"/>
    <w:rsid w:val="00C62026"/>
    <w:rsid w:val="00C94013"/>
    <w:rsid w:val="00C9499A"/>
    <w:rsid w:val="00CD3BD2"/>
    <w:rsid w:val="00CE4B0B"/>
    <w:rsid w:val="00D569B2"/>
    <w:rsid w:val="00D970B5"/>
    <w:rsid w:val="00DA6EFD"/>
    <w:rsid w:val="00DC2590"/>
    <w:rsid w:val="00DF5909"/>
    <w:rsid w:val="00E5322A"/>
    <w:rsid w:val="00E5756D"/>
    <w:rsid w:val="00E93D43"/>
    <w:rsid w:val="00F41978"/>
    <w:rsid w:val="00F45EF3"/>
    <w:rsid w:val="3A42471A"/>
    <w:rsid w:val="42871E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Char"/>
    <w:basedOn w:val="5"/>
    <w:link w:val="2"/>
    <w:qFormat/>
    <w:uiPriority w:val="99"/>
    <w:rPr>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AppData\Roaming\Microsoft\Templates\&#27849;&#27931;&#25919;&#209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297357-7CE1-45B9-8911-DD9E26EB3BDF}">
  <ds:schemaRefs/>
</ds:datastoreItem>
</file>

<file path=docProps/app.xml><?xml version="1.0" encoding="utf-8"?>
<Properties xmlns="http://schemas.openxmlformats.org/officeDocument/2006/extended-properties" xmlns:vt="http://schemas.openxmlformats.org/officeDocument/2006/docPropsVTypes">
  <Template>泉洛政函</Template>
  <Company>微软中国</Company>
  <Pages>58</Pages>
  <Words>6496</Words>
  <Characters>37033</Characters>
  <Lines>308</Lines>
  <Paragraphs>86</Paragraphs>
  <TotalTime>243</TotalTime>
  <ScaleCrop>false</ScaleCrop>
  <LinksUpToDate>false</LinksUpToDate>
  <CharactersWithSpaces>43443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2021-03-23T04:08:00Z</dcterms:created>
  <dc:creator>林</dc:creator>
  <cp:lastModifiedBy>am河 </cp:lastModifiedBy>
  <cp:lastPrinted>2021-03-25T08:42:00Z</cp:lastPrinted>
  <dcterms:modified xsi:type="dcterms:W3CDTF">2021-03-25T10:05:55Z</dcterms:modified>
  <dc:title>泉洛政文〔20  〕  号</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73601623AD1A4B4BAC0A99F2A71C18E5</vt:lpwstr>
  </property>
</Properties>
</file>