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附件4</w:t>
      </w:r>
    </w:p>
    <w:bookmarkEnd w:id="0"/>
    <w:p>
      <w:pPr>
        <w:spacing w:line="60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eastAsia="方正小标宋简体"/>
          <w:sz w:val="44"/>
          <w:szCs w:val="44"/>
        </w:rPr>
        <w:t>泉州市洛江区XX乡镇（街道）小散工程日常巡查记录表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585"/>
        <w:gridCol w:w="1121"/>
        <w:gridCol w:w="2647"/>
        <w:gridCol w:w="1925"/>
        <w:gridCol w:w="2203"/>
        <w:gridCol w:w="325"/>
        <w:gridCol w:w="893"/>
        <w:gridCol w:w="24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小散工程基本概况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工程名称</w:t>
            </w:r>
          </w:p>
        </w:tc>
        <w:tc>
          <w:tcPr>
            <w:tcW w:w="1810" w:type="pct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工程地点</w:t>
            </w:r>
          </w:p>
        </w:tc>
        <w:tc>
          <w:tcPr>
            <w:tcW w:w="1984" w:type="pct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建设规模</w:t>
            </w:r>
          </w:p>
        </w:tc>
        <w:tc>
          <w:tcPr>
            <w:tcW w:w="4445" w:type="pct"/>
            <w:gridSpan w:val="8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总投资              万元；建筑面积          平方米（市政工程长度        米）；层数    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工程类别</w:t>
            </w:r>
          </w:p>
        </w:tc>
        <w:tc>
          <w:tcPr>
            <w:tcW w:w="4445" w:type="pct"/>
            <w:gridSpan w:val="8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建设单位名称</w:t>
            </w:r>
          </w:p>
        </w:tc>
        <w:tc>
          <w:tcPr>
            <w:tcW w:w="1810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建设单位负责人</w:t>
            </w:r>
          </w:p>
        </w:tc>
        <w:tc>
          <w:tcPr>
            <w:tcW w:w="74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82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施工单位名称</w:t>
            </w:r>
          </w:p>
        </w:tc>
        <w:tc>
          <w:tcPr>
            <w:tcW w:w="1810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施工单位负责人</w:t>
            </w:r>
          </w:p>
        </w:tc>
        <w:tc>
          <w:tcPr>
            <w:tcW w:w="74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82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一、信息登记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信息登记情况</w:t>
            </w:r>
          </w:p>
        </w:tc>
        <w:tc>
          <w:tcPr>
            <w:tcW w:w="915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□已办理；□未办理</w:t>
            </w:r>
          </w:p>
        </w:tc>
        <w:tc>
          <w:tcPr>
            <w:tcW w:w="895" w:type="pct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未办理信息登记处置方式</w:t>
            </w:r>
          </w:p>
        </w:tc>
        <w:tc>
          <w:tcPr>
            <w:tcW w:w="2635" w:type="pct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□立即制止下发停工整改通知书；□督促建设单位办理；□向属地社区报告。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二、安全措施巡查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巡查类型</w:t>
            </w:r>
          </w:p>
        </w:tc>
        <w:tc>
          <w:tcPr>
            <w:tcW w:w="536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巡查项目</w:t>
            </w:r>
          </w:p>
        </w:tc>
        <w:tc>
          <w:tcPr>
            <w:tcW w:w="2780" w:type="pct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巡查主要内容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其他存在问题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55" w:type="pct"/>
            <w:vMerge w:val="restart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工程实体安全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（符合要求的在对应巡查内容前□打√；不符合打×）</w:t>
            </w:r>
          </w:p>
        </w:tc>
        <w:tc>
          <w:tcPr>
            <w:tcW w:w="536" w:type="pct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</w:rPr>
              <w:t>作业脚手架</w:t>
            </w:r>
          </w:p>
        </w:tc>
        <w:tc>
          <w:tcPr>
            <w:tcW w:w="2780" w:type="pct"/>
            <w:gridSpan w:val="5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□1.作业脚手架是否使用竹架等淘汰产品；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□2.脚手架采用的钢管外径或壁厚是否符合规范要求；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□3.建筑架子工是否具有特种操作资格证书上岗作业；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□4.立杆、横杆纵横向间距或步距是否规范要求；连墙件数量是否按照规范要求设置；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□5.是否按照规范要求设置纵、横向扫地杆；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□6.是否按规定由底至顶连续设置剪刀撑；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□7.落地式钢管脚手架基础是否硬化处理。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6" w:type="pct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</w:rPr>
              <w:t>临时施工用电</w:t>
            </w:r>
          </w:p>
        </w:tc>
        <w:tc>
          <w:tcPr>
            <w:tcW w:w="2780" w:type="pct"/>
            <w:gridSpan w:val="5"/>
          </w:tcPr>
          <w:p>
            <w:pPr>
              <w:spacing w:line="360" w:lineRule="exact"/>
              <w:ind w:left="438" w:hanging="440" w:hanging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□1.施工现场专用的电源中性点直接接地的低压配电系统是否采用TN-S接零保护系统或施工临时用电采用三级配电、两级漏电保护系统；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□2.电动建筑机械设备是否采用PE线连接或末级箱；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□3.配电箱或开关箱是否按规定安装漏电保护器或漏电保护器失效。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6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</w:rPr>
              <w:t>高处作业</w:t>
            </w:r>
          </w:p>
        </w:tc>
        <w:tc>
          <w:tcPr>
            <w:tcW w:w="2780" w:type="pct"/>
            <w:gridSpan w:val="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□1.外脚手架密目式安全立网是否按规定采用阻燃产品；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□2.洞口作业防坠落措施是否符合要求；</w:t>
            </w:r>
          </w:p>
          <w:p>
            <w:pPr>
              <w:spacing w:line="300" w:lineRule="exact"/>
              <w:ind w:left="438" w:hanging="440" w:hanging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□3.楼梯段、楼层边等临边作业处或外架边缘与建筑物间隙大于150mm是否采取防护措施；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□4.现场作业人员是否按规定配备安全帽或安全带就上岗作业；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□5.施工现场人员进出的通道口是否按规定搭设安全防护棚；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□6.电梯井口是否按规定设置防护门，或电梯井道内是否按规定设置安全平网；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安全文明施工（符合要求的在对应巡查内容前□打√；不符合打×）</w:t>
            </w:r>
          </w:p>
        </w:tc>
        <w:tc>
          <w:tcPr>
            <w:tcW w:w="536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场容场貌、临时设施及消防安全</w:t>
            </w:r>
          </w:p>
        </w:tc>
        <w:tc>
          <w:tcPr>
            <w:tcW w:w="2780" w:type="pct"/>
            <w:gridSpan w:val="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□1.施工现场是否按规定设置连续封闭围墙或围挡；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□2.焊割现场及高空焊割作业下方是否存在堆放油类、木材、氧气瓶、乙炔瓶、保温材料等易燃易爆物品；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</w:rPr>
              <w:t>□3.在建工程是否当作为员工集体宿舍；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三、违法建设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违法建设行为类别</w:t>
            </w:r>
          </w:p>
        </w:tc>
        <w:tc>
          <w:tcPr>
            <w:tcW w:w="320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违法建设行为内容</w:t>
            </w:r>
          </w:p>
        </w:tc>
        <w:tc>
          <w:tcPr>
            <w:tcW w:w="1239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其他问题说明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（在对应项目上打√）</w:t>
            </w:r>
          </w:p>
        </w:tc>
        <w:tc>
          <w:tcPr>
            <w:tcW w:w="3206" w:type="pct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（）未涉及违法建设行为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（）将非住宅建筑改为住宅、酒店式公寓；</w:t>
            </w:r>
          </w:p>
          <w:p>
            <w:pPr>
              <w:spacing w:line="300" w:lineRule="exact"/>
              <w:ind w:left="438" w:hanging="440" w:hanging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（）利用住宅建筑改为有生产安全事故隐患、噪声、光、油烟污染问题、严重影响周边环境的项目（包括：餐饮、机械加工、建材库房、宠物医院、娱乐场所、健身房、游泳馆等业态）；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（）将建筑用途转为易燃易爆、危化品生产加工存储、危废存储等功能；</w:t>
            </w:r>
          </w:p>
          <w:p>
            <w:pPr>
              <w:spacing w:line="300" w:lineRule="exact"/>
              <w:ind w:left="438" w:hanging="440" w:hanging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（）将村（社区）用房、物管用房、农贸市场以及公共文化、教育、体育、公园等配套建筑改做他用；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（）将地下车库、交通通道改做他用的；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（）封闭架空层、增加隔层等增加建筑面积进行使用；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（）将工业建筑改为住宅、商业建筑；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（）利用违法建设整体或部分进行使用；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（）其他明显与建设工程规划许可用途不符。</w:t>
            </w:r>
          </w:p>
        </w:tc>
        <w:tc>
          <w:tcPr>
            <w:tcW w:w="1239" w:type="pct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numPr>
          <w:ilvl w:val="1"/>
          <w:numId w:val="0"/>
        </w:numPr>
        <w:spacing w:line="360" w:lineRule="exact"/>
        <w:ind w:firstLine="220" w:firstLineChars="100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检查人员签字：                                              检查时间：</w:t>
      </w:r>
    </w:p>
    <w:p>
      <w:pPr>
        <w:ind w:firstLine="220" w:firstLineChars="100"/>
        <w:rPr>
          <w:rFonts w:ascii="黑体" w:hAnsi="黑体" w:eastAsia="黑体"/>
          <w:sz w:val="32"/>
        </w:rPr>
        <w:sectPr>
          <w:pgSz w:w="16838" w:h="11906" w:orient="landscape"/>
          <w:pgMar w:top="1134" w:right="1134" w:bottom="1134" w:left="1134" w:header="851" w:footer="1247" w:gutter="0"/>
          <w:pgNumType w:fmt="numberInDash"/>
          <w:cols w:space="425" w:num="1"/>
          <w:docGrid w:type="linesAndChars" w:linePitch="292" w:charSpace="-4256"/>
        </w:sectPr>
      </w:pPr>
      <w:r>
        <w:rPr>
          <w:rFonts w:hint="eastAsia" w:ascii="楷体_GB2312" w:eastAsia="楷体_GB2312"/>
          <w:b/>
          <w:sz w:val="24"/>
        </w:rPr>
        <w:t>建设单位负责人签字：                                        施工单位负责人签字：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ljN2U3NTY5ODk5YzRjNzg1M2QwNWZjZjU1NzMifQ=="/>
  </w:docVars>
  <w:rsids>
    <w:rsidRoot w:val="1AC179F2"/>
    <w:rsid w:val="1AC1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2024-01-24T03:51:00Z</dcterms:created>
  <dc:creator>哆唻哆唻哆咪咪</dc:creator>
  <cp:lastModifiedBy>哆唻哆唻哆咪咪</cp:lastModifiedBy>
  <dcterms:modified xsi:type="dcterms:W3CDTF">2024-01-24T03:52:07Z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26EB6288047144C68B2DEC2DD41C76E7_11</vt:lpwstr>
  </property>
</Properties>
</file>