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15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关于洛江区六届人大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kern w:val="0"/>
          <w:sz w:val="44"/>
          <w:szCs w:val="44"/>
        </w:rPr>
        <w:t>次会议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6057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夏小青</w:t>
      </w:r>
      <w:r>
        <w:rPr>
          <w:rFonts w:hint="eastAsia" w:ascii="仿宋_GB2312" w:eastAsia="仿宋_GB2312"/>
          <w:kern w:val="0"/>
          <w:sz w:val="32"/>
        </w:rPr>
        <w:t>（等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</w:rPr>
        <w:t>位）代表：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您</w:t>
      </w:r>
      <w:r>
        <w:rPr>
          <w:rFonts w:hint="eastAsia" w:ascii="仿宋_GB2312" w:eastAsia="仿宋_GB2312"/>
          <w:kern w:val="0"/>
          <w:sz w:val="32"/>
        </w:rPr>
        <w:t>们提出的《关于</w:t>
      </w:r>
      <w:r>
        <w:rPr>
          <w:rFonts w:hint="eastAsia" w:ascii="仿宋_GB2312" w:eastAsia="仿宋_GB2312"/>
          <w:kern w:val="0"/>
          <w:sz w:val="32"/>
          <w:lang w:eastAsia="zh-CN"/>
        </w:rPr>
        <w:t>盘活洛江区乡村文旅资源的</w:t>
      </w:r>
      <w:r>
        <w:rPr>
          <w:rFonts w:hint="eastAsia" w:ascii="仿宋_GB2312" w:eastAsia="仿宋_GB2312"/>
          <w:kern w:val="0"/>
          <w:sz w:val="32"/>
        </w:rPr>
        <w:t>建议》收悉。现答复如下：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近年来，洛江区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借助青山绿水的生态优势，整合“名山、名桥、名人、名传说”的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文旅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资源，借生态搭台、以文化赋能，唱响 “悠游洛江”文旅品牌，推动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乡村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旅游高质量发展。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kern w:val="0"/>
          <w:sz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统筹规划，打造乡村旅游功能区。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  <w:lang w:val="en-US" w:eastAsia="zh-CN"/>
        </w:rPr>
        <w:t>合理规划文旅产业发展方向，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制定《洛江区“十四五”文化和旅游发展专项规划》，结合洛江区发展现状，提出未来5年洛江区文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  <w:lang w:val="en-US" w:eastAsia="zh-CN"/>
        </w:rPr>
        <w:t>化和旅游发展的总体要求、重点任务和实施举措。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整合“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梧凤小镇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彩虹之乡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”“悠美河市 生态东溪”等资源，打造北部山地生态康养旅游区、中部人文研学旅游区、南部海丝文化旅游区，形成洛阳古桥海丝旅游、印尼风情旅游、河市乡村康养旅游、马甲祁梦文化旅游、罗溪红色生态旅游、虹山全域六大特色旅游板块，打造绿色生态健康休闲旅游旅游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提质强基，完善乡村旅游设施建设。投入建设资金，先后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规范提升9个乡村旅游点游客中心，新建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及提升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旅游厕所36座，建设全区旅游导览图17块、完善省级旅游村内标识导览59块、7个景区停车场、新增712个车位、完成交通道路旅游交通标识牌增设22块、设充电桩8个等，丰富旅游业态，推动旅游质量提升。，不断优化“吃、住、行、游、购、娱”等旅游要素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推动洛江大自然四季酒店申报评定四星级旅游饭店，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以落实为民办实事项目为载体，加快虹山乡游客中心建设。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指导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跟踪服务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仙公山景区改造提升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、玉叶山森林公园文旅开发、陆歌休闲农业旅游、乡韵鹿境休闲旅游度假区等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乡村旅游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项目建设。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以文促旅，打造乡村文旅资源产品。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  <w:lang w:val="en-US" w:eastAsia="zh-CN"/>
        </w:rPr>
        <w:t>秉承洛江区生态、历史与文化融合的理念，深入实施“四名”工程（“名山（仙公山）、名桥（洛阳桥）、名人（俞大猷）、名传说（陈三五娘传说）”）和“四传文化”（诗歌传颂、英雄传承、书法传情、IP传动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实施南音、俞家棍、掌中木偶、妆糕人等文艺展演常态化演出。鼓励文化场馆以多元化的方式，引进精品演艺剧目，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推动创编舞蹈《俞大猷》、南音《荔镜奇缘》等文艺精品10余个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。推出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漫游田园 寻迹乡土洛江”乡村旅游主题路线，编制以研学、工业、遗产等主题的多条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精品线路，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甄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选“洛阳桥”酱酒、罗溪米粉、绿豆汤、加锥山野山茶油、印尼千层糕、虹山红心地瓜干、洪岩酸茶等二十余款精品伴手礼，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有效强化“悠游洛江”品牌塑造，提升“悠游洛江”知名度和美誉度。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强化宣传，做好乡村文旅资源推介。挖掘整合全区的旅游景区、乡村旅游点、美食、伴手礼和特色餐馆等旅游资源。组织乡村旅游企业参加闽西南协同发展区（江浙）联合文旅宣传推广、“海丝泉州”数字文创博览会、海峡旅游博览会。旅游交易会、文化产业博览会等活动。在虹山油菜花节，“5.19中国旅游日”等节庆活动，进行旅游伴手礼展销。拍摄洛江文旅招商宣传片，充分利用“悠游洛江文旅之声”微信公众平台的优势，大力宣传我区乡村旅游资源，提高我区旅游资源美誉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下一步我们将着重做好以下几个方面的工作：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方位开展宣传促销。将引导乡村旅游企业提升主动营销推广意识，开展自主营销、联合营销，提升客源市场占有率。积极做好洛江区优质乡村旅游资源整合，打造旅游精品线路，拓宽乡村旅游客源市场。整合乡村旅游点，重新设计美丽乡村游线路，举办具有区域特色又有文化内涵的文化旅游节庆活动。通过抖音、小红书、微信、微博等网络媒体加强宣传，提升我区美丽乡村游的知名度。</w:t>
      </w:r>
    </w:p>
    <w:p>
      <w:pPr>
        <w:keepNext w:val="0"/>
        <w:keepLines w:val="0"/>
        <w:pageBreakBefore w:val="0"/>
        <w:tabs>
          <w:tab w:val="left" w:pos="8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重点培养乡村旅游专业人才。加大我区乡村旅游人才培养力度，强化我区人才队伍素质。加强对乡村游景区（点）服务人员的服务水平培训；把培育乡村旅游人才作为发展乡村旅游的基础工程抓，壮大乡村旅游人才队伍。并且以举办各类旅游活动为契机，促进旅游行业重点人才沟通交流，提升旅游人才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积极进行项目跟踪。主动对接赛石集团重点旅游企业，力争推动马甲花卉度假区文旅重点项目按时落地。注重业态提升，实施仙公山智慧旅游景区建设、俞大猷公园景区综合开发，推动文旅产业转型升级。按照省“金牌旅游村”、“全域生态旅游小镇”的标准指导新告村、洪四村、虹山乡等完善旅游基础设施，丰富旅游业态，提升旅游服务供给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你们</w:t>
      </w:r>
      <w:r>
        <w:rPr>
          <w:rFonts w:hint="eastAsia" w:ascii="仿宋_GB2312" w:hAnsi="仿宋_GB2312" w:eastAsia="仿宋_GB2312" w:cs="仿宋_GB2312"/>
          <w:sz w:val="32"/>
          <w:szCs w:val="32"/>
        </w:rPr>
        <w:t>对洛江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文旅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事业的关心、关注和支持！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主要领导：</w:t>
      </w:r>
      <w:r>
        <w:rPr>
          <w:rFonts w:hint="eastAsia" w:ascii="仿宋_GB2312" w:eastAsia="仿宋_GB2312"/>
          <w:kern w:val="0"/>
          <w:sz w:val="32"/>
          <w:lang w:eastAsia="zh-CN"/>
        </w:rPr>
        <w:t>吕培基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分管领导：</w:t>
      </w:r>
      <w:r>
        <w:rPr>
          <w:rFonts w:hint="eastAsia" w:ascii="仿宋_GB2312" w:eastAsia="仿宋_GB2312"/>
          <w:kern w:val="0"/>
          <w:sz w:val="32"/>
          <w:lang w:eastAsia="zh-CN"/>
        </w:rPr>
        <w:t>林晓玲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经办人员：</w:t>
      </w:r>
      <w:r>
        <w:rPr>
          <w:rFonts w:hint="eastAsia" w:ascii="仿宋_GB2312" w:eastAsia="仿宋_GB2312"/>
          <w:kern w:val="0"/>
          <w:sz w:val="32"/>
          <w:lang w:eastAsia="zh-CN"/>
        </w:rPr>
        <w:t>张联狮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联系电话：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18559488315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kern w:val="0"/>
          <w:sz w:val="32"/>
        </w:rPr>
        <w:t>泉州市洛江区文化体育和旅游局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</w:rPr>
        <w:t>4年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</w:rPr>
        <w:t>月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17</w:t>
      </w:r>
      <w:r>
        <w:rPr>
          <w:rFonts w:hint="eastAsia" w:ascii="仿宋_GB2312" w:eastAsia="仿宋_GB2312"/>
          <w:kern w:val="0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ind w:firstLine="640" w:firstLineChars="200"/>
        <w:jc w:val="left"/>
        <w:rPr>
          <w:rFonts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12" w:space="1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抄送：</w:t>
      </w:r>
      <w:r>
        <w:rPr>
          <w:rFonts w:hint="eastAsia" w:ascii="仿宋" w:hAnsi="仿宋" w:eastAsia="仿宋" w:cs="仿宋"/>
          <w:spacing w:val="-6"/>
          <w:kern w:val="0"/>
          <w:sz w:val="28"/>
          <w:szCs w:val="28"/>
        </w:rPr>
        <w:t>区人大人事代表工委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</w:rPr>
        <w:t>、区政府督查室</w:t>
      </w: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eastAsia="zh-CN"/>
        </w:rPr>
        <w:t>，河市镇、马甲镇、罗溪镇、</w:t>
      </w:r>
    </w:p>
    <w:p>
      <w:pPr>
        <w:keepNext w:val="0"/>
        <w:keepLines w:val="0"/>
        <w:pageBreakBefore w:val="0"/>
        <w:widowControl w:val="0"/>
        <w:pBdr>
          <w:top w:val="single" w:color="auto" w:sz="12" w:space="1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虹山乡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pBdr>
          <w:top w:val="single" w:color="auto" w:sz="8" w:space="1"/>
          <w:bottom w:val="single" w:color="auto" w:sz="12" w:space="1"/>
        </w:pBd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425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86" w:y="7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280" w:firstLineChars="100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211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  <w:docVar w:name="KSO_WPS_MARK_KEY" w:val="5644a888-36e2-4268-9d8c-e742654873ba"/>
  </w:docVars>
  <w:rsids>
    <w:rsidRoot w:val="00F14572"/>
    <w:rsid w:val="000238B7"/>
    <w:rsid w:val="00060A05"/>
    <w:rsid w:val="00065B70"/>
    <w:rsid w:val="0006688A"/>
    <w:rsid w:val="000737B9"/>
    <w:rsid w:val="000A6FD5"/>
    <w:rsid w:val="000D07DD"/>
    <w:rsid w:val="000F37AF"/>
    <w:rsid w:val="0019583A"/>
    <w:rsid w:val="00197E69"/>
    <w:rsid w:val="001F447F"/>
    <w:rsid w:val="0026406D"/>
    <w:rsid w:val="00275073"/>
    <w:rsid w:val="002D1A38"/>
    <w:rsid w:val="002D2CE9"/>
    <w:rsid w:val="002E7160"/>
    <w:rsid w:val="002F34E8"/>
    <w:rsid w:val="003010DA"/>
    <w:rsid w:val="00336FB3"/>
    <w:rsid w:val="003500A0"/>
    <w:rsid w:val="00363CDE"/>
    <w:rsid w:val="003757E1"/>
    <w:rsid w:val="003B4120"/>
    <w:rsid w:val="003F2643"/>
    <w:rsid w:val="00425E6F"/>
    <w:rsid w:val="00467061"/>
    <w:rsid w:val="004726D6"/>
    <w:rsid w:val="00483539"/>
    <w:rsid w:val="004C08F4"/>
    <w:rsid w:val="004F769B"/>
    <w:rsid w:val="0050115F"/>
    <w:rsid w:val="0050500A"/>
    <w:rsid w:val="00540391"/>
    <w:rsid w:val="005715C8"/>
    <w:rsid w:val="005E5AFE"/>
    <w:rsid w:val="006826DF"/>
    <w:rsid w:val="0068742B"/>
    <w:rsid w:val="00693780"/>
    <w:rsid w:val="00696E54"/>
    <w:rsid w:val="006D3DAC"/>
    <w:rsid w:val="00771757"/>
    <w:rsid w:val="007C037F"/>
    <w:rsid w:val="007F211E"/>
    <w:rsid w:val="007F27E0"/>
    <w:rsid w:val="00807125"/>
    <w:rsid w:val="008127D1"/>
    <w:rsid w:val="00813B99"/>
    <w:rsid w:val="00820DFB"/>
    <w:rsid w:val="00820E96"/>
    <w:rsid w:val="00843CAD"/>
    <w:rsid w:val="008567BA"/>
    <w:rsid w:val="008A2FBA"/>
    <w:rsid w:val="00902D83"/>
    <w:rsid w:val="009664BF"/>
    <w:rsid w:val="00990F46"/>
    <w:rsid w:val="009E6C8B"/>
    <w:rsid w:val="00A113B0"/>
    <w:rsid w:val="00A82FC3"/>
    <w:rsid w:val="00AB7BA3"/>
    <w:rsid w:val="00AF1430"/>
    <w:rsid w:val="00B33475"/>
    <w:rsid w:val="00B45C15"/>
    <w:rsid w:val="00B766C6"/>
    <w:rsid w:val="00BB7C70"/>
    <w:rsid w:val="00C22318"/>
    <w:rsid w:val="00C43598"/>
    <w:rsid w:val="00C44DAE"/>
    <w:rsid w:val="00D034AD"/>
    <w:rsid w:val="00D447F4"/>
    <w:rsid w:val="00D72CF0"/>
    <w:rsid w:val="00DB13CE"/>
    <w:rsid w:val="00DB39C9"/>
    <w:rsid w:val="00DC2590"/>
    <w:rsid w:val="00DC36DC"/>
    <w:rsid w:val="00DD1B8E"/>
    <w:rsid w:val="00DE2C27"/>
    <w:rsid w:val="00DE6D07"/>
    <w:rsid w:val="00E1213C"/>
    <w:rsid w:val="00ED114A"/>
    <w:rsid w:val="00F14572"/>
    <w:rsid w:val="00F218AA"/>
    <w:rsid w:val="00F24589"/>
    <w:rsid w:val="00FC0624"/>
    <w:rsid w:val="00FE1A90"/>
    <w:rsid w:val="01160E34"/>
    <w:rsid w:val="169B7D1C"/>
    <w:rsid w:val="248C08A3"/>
    <w:rsid w:val="28917D96"/>
    <w:rsid w:val="2C7E3817"/>
    <w:rsid w:val="32C96DEC"/>
    <w:rsid w:val="498F2852"/>
    <w:rsid w:val="4A312FCB"/>
    <w:rsid w:val="4C375F55"/>
    <w:rsid w:val="5B9570A9"/>
    <w:rsid w:val="6BD810B3"/>
    <w:rsid w:val="75F80C49"/>
    <w:rsid w:val="75F9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745;\AppData\Roaming\Microsoft\Templates\&#27849;&#27931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9891C-5F50-4956-9C28-C5E541073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泉洛政办.dot</Template>
  <Company>微软中国</Company>
  <Pages>4</Pages>
  <Words>206</Words>
  <Characters>215</Characters>
  <Lines>46</Lines>
  <Paragraphs>13</Paragraphs>
  <TotalTime>4</TotalTime>
  <ScaleCrop>false</ScaleCrop>
  <LinksUpToDate>false</LinksUpToDate>
  <CharactersWithSpaces>245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2023-12-25T03:30:00Z</dcterms:created>
  <dc:creator>静</dc:creator>
  <cp:lastModifiedBy>Administrator</cp:lastModifiedBy>
  <cp:lastPrinted>2024-04-17T07:02:45Z</cp:lastPrinted>
  <dcterms:modified xsi:type="dcterms:W3CDTF">2024-04-17T07:03:17Z</dcterms:modified>
  <dc:title>泉洛政文〔20  〕  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9BA50A08678A4505998D1FE00727E099_13</vt:lpwstr>
  </property>
</Properties>
</file>