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pBdr>
          <w:bottom w:val="single" w:color="auto" w:sz="12" w:space="1"/>
        </w:pBdr>
        <w:kinsoku/>
        <w:wordWrap/>
        <w:overflowPunct/>
        <w:topLinePunct w:val="0"/>
        <w:autoSpaceDE w:val="0"/>
        <w:autoSpaceDN w:val="0"/>
        <w:bidi w:val="0"/>
        <w:adjustRightInd w:val="0"/>
        <w:spacing w:line="560" w:lineRule="atLeast"/>
        <w:jc w:val="center"/>
        <w:textAlignment w:val="auto"/>
        <w:rPr>
          <w:rFonts w:ascii="方正小标宋简体" w:eastAsia="方正小标宋简体"/>
          <w:kern w:val="0"/>
          <w:sz w:val="44"/>
        </w:rPr>
      </w:pPr>
      <w:r>
        <w:rPr>
          <w:rFonts w:hint="eastAsia" w:ascii="方正小标宋简体" w:eastAsia="方正小标宋简体"/>
          <w:kern w:val="0"/>
          <w:sz w:val="44"/>
        </w:rPr>
        <w:t>泉州市洛江区文化体育和旅游局（函）</w:t>
      </w:r>
    </w:p>
    <w:p>
      <w:pPr>
        <w:keepNext w:val="0"/>
        <w:keepLines w:val="0"/>
        <w:pageBreakBefore w:val="0"/>
        <w:widowControl w:val="0"/>
        <w:kinsoku/>
        <w:wordWrap/>
        <w:overflowPunct/>
        <w:topLinePunct w:val="0"/>
        <w:autoSpaceDE w:val="0"/>
        <w:autoSpaceDN w:val="0"/>
        <w:bidi w:val="0"/>
        <w:adjustRightInd w:val="0"/>
        <w:snapToGrid w:val="0"/>
        <w:spacing w:line="560" w:lineRule="exact"/>
        <w:jc w:val="right"/>
        <w:textAlignment w:val="auto"/>
        <w:rPr>
          <w:rFonts w:hint="eastAsia" w:ascii="仿宋_GB2312" w:eastAsia="仿宋_GB2312"/>
          <w:kern w:val="0"/>
          <w:sz w:val="32"/>
        </w:rPr>
      </w:pPr>
      <w:r>
        <w:rPr>
          <w:rFonts w:hint="eastAsia" w:ascii="仿宋_GB2312" w:eastAsia="仿宋_GB2312"/>
          <w:kern w:val="0"/>
          <w:sz w:val="32"/>
          <w:lang w:eastAsia="zh-CN"/>
        </w:rPr>
        <w:t>泉洛政文体旅</w:t>
      </w:r>
      <w:r>
        <w:rPr>
          <w:rFonts w:hint="eastAsia" w:ascii="仿宋_GB2312" w:eastAsia="仿宋_GB2312"/>
          <w:kern w:val="0"/>
          <w:sz w:val="32"/>
        </w:rPr>
        <w:t>函〔</w:t>
      </w:r>
      <w:r>
        <w:rPr>
          <w:rFonts w:ascii="仿宋_GB2312" w:eastAsia="仿宋_GB2312"/>
          <w:kern w:val="0"/>
          <w:sz w:val="32"/>
        </w:rPr>
        <w:t>202</w:t>
      </w:r>
      <w:r>
        <w:rPr>
          <w:rFonts w:hint="eastAsia" w:ascii="仿宋_GB2312" w:eastAsia="仿宋_GB2312"/>
          <w:kern w:val="0"/>
          <w:sz w:val="32"/>
          <w:lang w:val="en-US" w:eastAsia="zh-CN"/>
        </w:rPr>
        <w:t>6</w:t>
      </w:r>
      <w:r>
        <w:rPr>
          <w:rFonts w:hint="eastAsia" w:ascii="仿宋_GB2312" w:eastAsia="仿宋_GB2312"/>
          <w:kern w:val="0"/>
          <w:sz w:val="32"/>
        </w:rPr>
        <w:t>〕</w:t>
      </w:r>
      <w:r>
        <w:rPr>
          <w:rFonts w:hint="eastAsia" w:ascii="仿宋_GB2312" w:eastAsia="仿宋_GB2312"/>
          <w:kern w:val="0"/>
          <w:sz w:val="32"/>
          <w:lang w:val="en-US" w:eastAsia="zh-CN"/>
        </w:rPr>
        <w:t>24</w:t>
      </w:r>
      <w:r>
        <w:rPr>
          <w:rFonts w:hint="eastAsia" w:ascii="仿宋_GB2312" w:eastAsia="仿宋_GB2312"/>
          <w:kern w:val="0"/>
          <w:sz w:val="32"/>
        </w:rPr>
        <w:t>号</w:t>
      </w: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rPr>
          <w:rFonts w:hint="eastAsia" w:ascii="仿宋_GB2312" w:eastAsia="仿宋_GB2312"/>
          <w:color w:val="FF0000"/>
          <w:kern w:val="0"/>
          <w:sz w:val="32"/>
          <w:szCs w:val="32"/>
          <w:lang w:val="en-US" w:eastAsia="zh-CN"/>
        </w:rPr>
      </w:pPr>
      <w:r>
        <w:rPr>
          <w:rFonts w:hint="eastAsia" w:ascii="仿宋_GB2312" w:eastAsia="仿宋_GB2312"/>
          <w:kern w:val="0"/>
          <w:sz w:val="32"/>
          <w:lang w:val="en-US" w:eastAsia="zh-CN"/>
        </w:rPr>
        <w:t xml:space="preserve">                                </w:t>
      </w:r>
      <w:r>
        <w:rPr>
          <w:rFonts w:hint="eastAsia" w:ascii="仿宋_GB2312" w:eastAsia="仿宋_GB2312"/>
          <w:kern w:val="0"/>
          <w:sz w:val="32"/>
        </w:rPr>
        <w:t>答复类别：</w:t>
      </w:r>
      <w:r>
        <w:rPr>
          <w:rFonts w:hint="eastAsia" w:ascii="仿宋_GB2312" w:eastAsia="仿宋_GB2312"/>
          <w:color w:val="auto"/>
          <w:kern w:val="0"/>
          <w:sz w:val="32"/>
          <w:szCs w:val="32"/>
          <w:lang w:val="en-US" w:eastAsia="zh-CN"/>
        </w:rPr>
        <w:t>A</w:t>
      </w: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rPr>
          <w:rFonts w:hint="eastAsia" w:ascii="仿宋_GB2312" w:eastAsia="仿宋_GB2312"/>
          <w:color w:val="FF0000"/>
          <w:kern w:val="0"/>
          <w:sz w:val="32"/>
          <w:szCs w:val="32"/>
          <w:lang w:val="en-US" w:eastAsia="zh-CN"/>
        </w:rPr>
      </w:pPr>
    </w:p>
    <w:p>
      <w:pPr>
        <w:autoSpaceDE w:val="0"/>
        <w:autoSpaceDN w:val="0"/>
        <w:adjustRightInd w:val="0"/>
        <w:spacing w:line="640" w:lineRule="exact"/>
        <w:jc w:val="center"/>
        <w:rPr>
          <w:rFonts w:ascii="方正小标宋简体" w:eastAsia="方正小标宋简体"/>
          <w:kern w:val="0"/>
          <w:sz w:val="44"/>
          <w:szCs w:val="44"/>
        </w:rPr>
      </w:pPr>
      <w:bookmarkStart w:id="0" w:name="_GoBack"/>
      <w:r>
        <w:rPr>
          <w:rFonts w:hint="eastAsia" w:ascii="方正小标宋简体" w:eastAsia="方正小标宋简体"/>
          <w:kern w:val="0"/>
          <w:sz w:val="44"/>
          <w:szCs w:val="44"/>
        </w:rPr>
        <w:t>关于洛江区六届人大五次会议</w:t>
      </w:r>
    </w:p>
    <w:p>
      <w:pPr>
        <w:autoSpaceDE w:val="0"/>
        <w:autoSpaceDN w:val="0"/>
        <w:adjustRightInd w:val="0"/>
        <w:spacing w:after="360" w:line="640" w:lineRule="exact"/>
        <w:jc w:val="center"/>
        <w:rPr>
          <w:rFonts w:ascii="方正小标宋简体" w:eastAsia="方正小标宋简体"/>
          <w:kern w:val="0"/>
          <w:sz w:val="44"/>
          <w:szCs w:val="44"/>
        </w:rPr>
      </w:pPr>
      <w:r>
        <w:rPr>
          <w:rFonts w:hint="eastAsia" w:ascii="方正小标宋简体" w:eastAsia="方正小标宋简体"/>
          <w:kern w:val="0"/>
          <w:sz w:val="44"/>
          <w:szCs w:val="44"/>
        </w:rPr>
        <w:t>第</w:t>
      </w:r>
      <w:r>
        <w:rPr>
          <w:rFonts w:hint="eastAsia" w:ascii="方正小标宋简体" w:eastAsia="方正小标宋简体"/>
          <w:kern w:val="0"/>
          <w:sz w:val="44"/>
          <w:szCs w:val="44"/>
          <w:lang w:val="en-US" w:eastAsia="zh-CN"/>
        </w:rPr>
        <w:t>6108</w:t>
      </w:r>
      <w:r>
        <w:rPr>
          <w:rFonts w:hint="eastAsia" w:ascii="方正小标宋简体" w:eastAsia="方正小标宋简体"/>
          <w:kern w:val="0"/>
          <w:sz w:val="44"/>
          <w:szCs w:val="44"/>
        </w:rPr>
        <w:t>号建议答复的函</w:t>
      </w:r>
    </w:p>
    <w:bookmarkEnd w:id="0"/>
    <w:p>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许奕智</w:t>
      </w:r>
      <w:r>
        <w:rPr>
          <w:rFonts w:hint="eastAsia" w:ascii="仿宋_GB2312" w:hAnsi="仿宋_GB2312" w:eastAsia="仿宋_GB2312" w:cs="仿宋_GB2312"/>
          <w:kern w:val="0"/>
          <w:sz w:val="32"/>
          <w:szCs w:val="32"/>
        </w:rPr>
        <w:t>等</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位代表：</w:t>
      </w:r>
    </w:p>
    <w:p>
      <w:pPr>
        <w:keepNext w:val="0"/>
        <w:keepLines w:val="0"/>
        <w:pageBreakBefore w:val="0"/>
        <w:kinsoku/>
        <w:wordWrap/>
        <w:overflowPunct/>
        <w:topLinePunct w:val="0"/>
        <w:autoSpaceDE w:val="0"/>
        <w:autoSpaceDN w:val="0"/>
        <w:bidi w:val="0"/>
        <w:adjustRightInd w:val="0"/>
        <w:snapToGrid/>
        <w:spacing w:line="5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您</w:t>
      </w:r>
      <w:r>
        <w:rPr>
          <w:rFonts w:hint="eastAsia" w:ascii="仿宋_GB2312" w:hAnsi="仿宋_GB2312" w:eastAsia="仿宋_GB2312" w:cs="仿宋_GB2312"/>
          <w:kern w:val="0"/>
          <w:sz w:val="32"/>
          <w:szCs w:val="32"/>
        </w:rPr>
        <w:t>们提出的《</w:t>
      </w:r>
      <w:r>
        <w:rPr>
          <w:rFonts w:hint="eastAsia" w:ascii="仿宋_GB2312" w:hAnsi="仿宋_GB2312" w:eastAsia="仿宋_GB2312" w:cs="仿宋_GB2312"/>
          <w:kern w:val="0"/>
          <w:sz w:val="32"/>
          <w:szCs w:val="32"/>
          <w:lang w:val="en-US" w:eastAsia="zh-CN"/>
        </w:rPr>
        <w:t>关于支持龟峰关公信俗非遗申报</w:t>
      </w:r>
      <w:r>
        <w:rPr>
          <w:rFonts w:hint="eastAsia" w:ascii="仿宋_GB2312" w:hAnsi="仿宋_GB2312" w:eastAsia="仿宋_GB2312" w:cs="仿宋_GB2312"/>
          <w:kern w:val="0"/>
          <w:sz w:val="32"/>
          <w:szCs w:val="32"/>
        </w:rPr>
        <w:t>的建议》收悉。现答复如下：</w:t>
      </w:r>
    </w:p>
    <w:p>
      <w:pPr>
        <w:keepNext w:val="0"/>
        <w:keepLines w:val="0"/>
        <w:pageBreakBefore w:val="0"/>
        <w:widowControl/>
        <w:suppressLineNumbers w:val="0"/>
        <w:kinsoku/>
        <w:wordWrap/>
        <w:overflowPunct/>
        <w:topLinePunct w:val="0"/>
        <w:bidi w:val="0"/>
        <w:snapToGrid/>
        <w:spacing w:line="500" w:lineRule="exact"/>
        <w:ind w:firstLine="640" w:firstLineChars="200"/>
        <w:jc w:val="left"/>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一、明确非遗申报程序，规范申报流程</w:t>
      </w:r>
    </w:p>
    <w:p>
      <w:pPr>
        <w:keepNext w:val="0"/>
        <w:keepLines w:val="0"/>
        <w:pageBreakBefore w:val="0"/>
        <w:widowControl/>
        <w:suppressLineNumbers w:val="0"/>
        <w:kinsoku/>
        <w:wordWrap/>
        <w:overflowPunct/>
        <w:topLinePunct w:val="0"/>
        <w:bidi w:val="0"/>
        <w:snapToGrid/>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根据《福建省非物质文化遗产名录申报评审管理暂行办法》第八条第一项规定，非遗项目名录申报需遵循以下程序：申报主体向所在县（市、区）文化行政部门提出项目申请，经县（市、区）人民政府按照规定程序批准后，列入所在县（市、区）非物质文化遗产项目名录。结合洛江区实际，区级非遗项目申报由区政府根据工作需要发布相关文件，由区文体旅游局指导罗溪按照区政府发布的申报通知，严格按照文件要求整理、提交相关申报材料，并在规定时限内向洛江区文化体育和旅游局完成申报工作。</w:t>
      </w:r>
    </w:p>
    <w:p>
      <w:pPr>
        <w:keepNext w:val="0"/>
        <w:keepLines w:val="0"/>
        <w:pageBreakBefore w:val="0"/>
        <w:widowControl/>
        <w:suppressLineNumbers w:val="0"/>
        <w:kinsoku/>
        <w:wordWrap/>
        <w:overflowPunct/>
        <w:topLinePunct w:val="0"/>
        <w:bidi w:val="0"/>
        <w:snapToGrid/>
        <w:spacing w:line="500" w:lineRule="exact"/>
        <w:ind w:firstLine="640" w:firstLineChars="200"/>
        <w:jc w:val="left"/>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二、参考现有同类项目，积极争取发展空间</w:t>
      </w:r>
    </w:p>
    <w:p>
      <w:pPr>
        <w:keepNext w:val="0"/>
        <w:keepLines w:val="0"/>
        <w:pageBreakBefore w:val="0"/>
        <w:widowControl/>
        <w:suppressLineNumbers w:val="0"/>
        <w:kinsoku/>
        <w:wordWrap/>
        <w:overflowPunct/>
        <w:topLinePunct w:val="0"/>
        <w:bidi w:val="0"/>
        <w:snapToGrid/>
        <w:spacing w:line="50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目前，泉州市列入非物质文化遗产保护名录的关帝信俗类项目共2处，分别为鲤城区关帝信俗、安溪铜锣庙关帝信俗，均为省级非物质文化遗产项目。其中鲤城区关帝信俗已参与关圣文化相关联合申遗工作，安溪铜锣庙关帝信俗暂未参与联合申遗。建议罗溪镇相关单位立足龟峰关公信俗自身历史底蕴与地域独特价值，主动对标市内同类非遗项目保护路径，积极向上争取申报更高层级非物质文化遗产代表性项目名录，联合安溪铜锣庙关帝信俗参与申遗，持续挖掘传承、活化弘扬优秀传统民俗文化。</w:t>
      </w:r>
    </w:p>
    <w:p>
      <w:pPr>
        <w:keepNext w:val="0"/>
        <w:keepLines w:val="0"/>
        <w:pageBreakBefore w:val="0"/>
        <w:widowControl/>
        <w:suppressLineNumbers w:val="0"/>
        <w:kinsoku/>
        <w:wordWrap/>
        <w:overflowPunct/>
        <w:topLinePunct w:val="0"/>
        <w:bidi w:val="0"/>
        <w:snapToGrid/>
        <w:spacing w:line="500" w:lineRule="exact"/>
        <w:ind w:firstLine="640" w:firstLineChars="200"/>
        <w:jc w:val="left"/>
        <w:textAlignment w:val="auto"/>
        <w:rPr>
          <w:rFonts w:hint="default" w:ascii="仿宋_GB2312" w:eastAsia="仿宋_GB2312"/>
          <w:kern w:val="0"/>
          <w:sz w:val="32"/>
          <w:lang w:val="en-US" w:eastAsia="zh-CN"/>
        </w:rPr>
      </w:pPr>
      <w:r>
        <w:rPr>
          <w:rFonts w:hint="eastAsia" w:ascii="仿宋_GB2312" w:hAnsi="仿宋_GB2312" w:eastAsia="仿宋_GB2312" w:cs="仿宋_GB2312"/>
          <w:kern w:val="0"/>
          <w:sz w:val="32"/>
          <w:szCs w:val="32"/>
          <w:lang w:val="en-US" w:eastAsia="zh-CN" w:bidi="ar"/>
        </w:rPr>
        <w:t>下一步，我局将以您的建议为契机，持续加大龟峰关公信俗非遗申报与保护工作力度，严格按照“保护为主、抢救第一、合理利用、传承发展”的工作方针，扎实推进各项工作。</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持续做好非遗申报指导工作，进一步完善申报材料、优化申报流程，全力推进区级、市级非遗申报工作，力争早日将其成功列入各级非遗名录；</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积极配合罗溪镇人民政府、区委党史和地方志研究室等相关单位，协同推进龟峰关公信俗相关保护工作，切实守护好珍贵文化遗产，助力洛江区非遗传承保护工作再上新台阶。</w:t>
      </w:r>
    </w:p>
    <w:p>
      <w:pPr>
        <w:keepNext w:val="0"/>
        <w:keepLines w:val="0"/>
        <w:pageBreakBefore w:val="0"/>
        <w:kinsoku/>
        <w:wordWrap/>
        <w:overflowPunct/>
        <w:topLinePunct w:val="0"/>
        <w:autoSpaceDE w:val="0"/>
        <w:autoSpaceDN w:val="0"/>
        <w:bidi w:val="0"/>
        <w:adjustRightInd w:val="0"/>
        <w:snapToGrid/>
        <w:spacing w:line="500" w:lineRule="exact"/>
        <w:ind w:firstLine="640" w:firstLineChars="200"/>
        <w:jc w:val="left"/>
        <w:textAlignment w:val="auto"/>
        <w:rPr>
          <w:rFonts w:hint="eastAsia" w:ascii="仿宋_GB2312" w:eastAsia="仿宋_GB2312"/>
          <w:kern w:val="0"/>
          <w:sz w:val="32"/>
          <w:lang w:eastAsia="zh-CN"/>
        </w:rPr>
      </w:pPr>
      <w:r>
        <w:rPr>
          <w:rFonts w:hint="eastAsia" w:ascii="仿宋_GB2312" w:eastAsia="仿宋_GB2312"/>
          <w:kern w:val="0"/>
          <w:sz w:val="32"/>
        </w:rPr>
        <w:t>主要领导：</w:t>
      </w:r>
      <w:r>
        <w:rPr>
          <w:rFonts w:hint="eastAsia" w:ascii="仿宋_GB2312" w:eastAsia="仿宋_GB2312"/>
          <w:kern w:val="0"/>
          <w:sz w:val="32"/>
          <w:lang w:eastAsia="zh-CN"/>
        </w:rPr>
        <w:t>吕培基</w:t>
      </w:r>
    </w:p>
    <w:p>
      <w:pPr>
        <w:keepNext w:val="0"/>
        <w:keepLines w:val="0"/>
        <w:pageBreakBefore w:val="0"/>
        <w:kinsoku/>
        <w:wordWrap/>
        <w:overflowPunct/>
        <w:topLinePunct w:val="0"/>
        <w:autoSpaceDE w:val="0"/>
        <w:autoSpaceDN w:val="0"/>
        <w:bidi w:val="0"/>
        <w:adjustRightInd w:val="0"/>
        <w:snapToGrid/>
        <w:spacing w:line="500" w:lineRule="exact"/>
        <w:ind w:firstLine="640" w:firstLineChars="200"/>
        <w:jc w:val="left"/>
        <w:textAlignment w:val="auto"/>
        <w:rPr>
          <w:rFonts w:hint="eastAsia" w:ascii="仿宋_GB2312" w:eastAsia="仿宋_GB2312"/>
          <w:kern w:val="0"/>
          <w:sz w:val="32"/>
          <w:lang w:eastAsia="zh-CN"/>
        </w:rPr>
      </w:pPr>
      <w:r>
        <w:rPr>
          <w:rFonts w:hint="eastAsia" w:ascii="仿宋_GB2312" w:eastAsia="仿宋_GB2312"/>
          <w:kern w:val="0"/>
          <w:sz w:val="32"/>
        </w:rPr>
        <w:t>分管领导：</w:t>
      </w:r>
      <w:r>
        <w:rPr>
          <w:rFonts w:hint="eastAsia" w:ascii="仿宋_GB2312" w:eastAsia="仿宋_GB2312"/>
          <w:kern w:val="0"/>
          <w:sz w:val="32"/>
          <w:lang w:eastAsia="zh-CN"/>
        </w:rPr>
        <w:t>林晓玲</w:t>
      </w:r>
    </w:p>
    <w:p>
      <w:pPr>
        <w:keepNext w:val="0"/>
        <w:keepLines w:val="0"/>
        <w:pageBreakBefore w:val="0"/>
        <w:kinsoku/>
        <w:wordWrap/>
        <w:overflowPunct/>
        <w:topLinePunct w:val="0"/>
        <w:autoSpaceDE w:val="0"/>
        <w:autoSpaceDN w:val="0"/>
        <w:bidi w:val="0"/>
        <w:adjustRightInd w:val="0"/>
        <w:snapToGrid/>
        <w:spacing w:line="500" w:lineRule="exact"/>
        <w:ind w:firstLine="640" w:firstLineChars="200"/>
        <w:jc w:val="left"/>
        <w:textAlignment w:val="auto"/>
        <w:rPr>
          <w:rFonts w:hint="eastAsia" w:ascii="仿宋_GB2312" w:eastAsia="仿宋_GB2312"/>
          <w:kern w:val="0"/>
          <w:sz w:val="32"/>
          <w:lang w:eastAsia="zh-CN"/>
        </w:rPr>
      </w:pPr>
      <w:r>
        <w:rPr>
          <w:rFonts w:hint="eastAsia" w:ascii="仿宋_GB2312" w:eastAsia="仿宋_GB2312"/>
          <w:kern w:val="0"/>
          <w:sz w:val="32"/>
        </w:rPr>
        <w:t>经办人员：</w:t>
      </w:r>
      <w:r>
        <w:rPr>
          <w:rFonts w:hint="eastAsia" w:ascii="仿宋_GB2312" w:eastAsia="仿宋_GB2312"/>
          <w:kern w:val="0"/>
          <w:sz w:val="32"/>
          <w:lang w:eastAsia="zh-CN"/>
        </w:rPr>
        <w:t>周剑宝</w:t>
      </w:r>
    </w:p>
    <w:p>
      <w:pPr>
        <w:keepNext w:val="0"/>
        <w:keepLines w:val="0"/>
        <w:pageBreakBefore w:val="0"/>
        <w:kinsoku/>
        <w:wordWrap/>
        <w:overflowPunct/>
        <w:topLinePunct w:val="0"/>
        <w:autoSpaceDE w:val="0"/>
        <w:autoSpaceDN w:val="0"/>
        <w:bidi w:val="0"/>
        <w:adjustRightInd w:val="0"/>
        <w:snapToGrid/>
        <w:spacing w:line="500" w:lineRule="exact"/>
        <w:ind w:firstLine="640" w:firstLineChars="200"/>
        <w:jc w:val="left"/>
        <w:textAlignment w:val="auto"/>
        <w:rPr>
          <w:rFonts w:hint="default" w:ascii="仿宋_GB2312" w:eastAsia="仿宋_GB2312"/>
          <w:kern w:val="0"/>
          <w:sz w:val="32"/>
          <w:lang w:val="en-US" w:eastAsia="zh-CN"/>
        </w:rPr>
      </w:pPr>
      <w:r>
        <w:rPr>
          <w:rFonts w:hint="eastAsia" w:ascii="仿宋_GB2312" w:eastAsia="仿宋_GB2312"/>
          <w:kern w:val="0"/>
          <w:sz w:val="32"/>
        </w:rPr>
        <w:t>联系电话：</w:t>
      </w:r>
      <w:r>
        <w:rPr>
          <w:rFonts w:hint="eastAsia" w:ascii="仿宋_GB2312" w:eastAsia="仿宋_GB2312"/>
          <w:kern w:val="0"/>
          <w:sz w:val="32"/>
          <w:lang w:val="en-US" w:eastAsia="zh-CN"/>
        </w:rPr>
        <w:t>22631072</w:t>
      </w:r>
    </w:p>
    <w:p>
      <w:pPr>
        <w:keepNext w:val="0"/>
        <w:keepLines w:val="0"/>
        <w:pageBreakBefore w:val="0"/>
        <w:kinsoku/>
        <w:wordWrap/>
        <w:overflowPunct/>
        <w:topLinePunct w:val="0"/>
        <w:autoSpaceDE w:val="0"/>
        <w:autoSpaceDN w:val="0"/>
        <w:bidi w:val="0"/>
        <w:adjustRightInd w:val="0"/>
        <w:snapToGrid/>
        <w:spacing w:line="500" w:lineRule="exact"/>
        <w:ind w:firstLine="640" w:firstLineChars="200"/>
        <w:jc w:val="left"/>
        <w:textAlignment w:val="auto"/>
        <w:rPr>
          <w:rFonts w:hint="eastAsia" w:ascii="仿宋_GB2312" w:eastAsia="仿宋_GB2312"/>
          <w:kern w:val="0"/>
          <w:sz w:val="32"/>
        </w:rPr>
      </w:pPr>
    </w:p>
    <w:p>
      <w:pPr>
        <w:keepNext w:val="0"/>
        <w:keepLines w:val="0"/>
        <w:pageBreakBefore w:val="0"/>
        <w:kinsoku/>
        <w:wordWrap/>
        <w:overflowPunct/>
        <w:topLinePunct w:val="0"/>
        <w:autoSpaceDE w:val="0"/>
        <w:autoSpaceDN w:val="0"/>
        <w:bidi w:val="0"/>
        <w:adjustRightInd w:val="0"/>
        <w:snapToGrid/>
        <w:spacing w:line="500" w:lineRule="exact"/>
        <w:ind w:firstLine="640" w:firstLineChars="2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napToGrid/>
        <w:spacing w:line="500" w:lineRule="exact"/>
        <w:ind w:firstLine="4160" w:firstLineChars="1300"/>
        <w:jc w:val="left"/>
        <w:textAlignment w:val="auto"/>
        <w:rPr>
          <w:rFonts w:hint="eastAsia" w:ascii="仿宋_GB2312" w:eastAsia="仿宋_GB2312"/>
          <w:kern w:val="0"/>
          <w:sz w:val="32"/>
          <w:lang w:val="en-US" w:eastAsia="zh-CN"/>
        </w:rPr>
      </w:pPr>
      <w:r>
        <w:rPr>
          <w:rFonts w:hint="eastAsia" w:ascii="仿宋_GB2312" w:eastAsia="仿宋_GB2312"/>
          <w:kern w:val="0"/>
          <w:sz w:val="32"/>
        </w:rPr>
        <w:t>泉州市洛江区文化体育和旅游</w:t>
      </w:r>
      <w:r>
        <w:rPr>
          <w:rFonts w:hint="eastAsia" w:ascii="仿宋_GB2312" w:eastAsia="仿宋_GB2312"/>
          <w:kern w:val="0"/>
          <w:sz w:val="32"/>
          <w:lang w:eastAsia="zh-CN"/>
        </w:rPr>
        <w:t>局</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080" w:firstLineChars="1900"/>
        <w:jc w:val="left"/>
        <w:textAlignment w:val="auto"/>
        <w:rPr>
          <w:rFonts w:hint="eastAsia" w:ascii="仿宋_GB2312" w:eastAsia="仿宋_GB2312"/>
          <w:kern w:val="0"/>
          <w:sz w:val="32"/>
        </w:rPr>
      </w:pPr>
      <w:r>
        <w:rPr>
          <w:rFonts w:hint="eastAsia" w:ascii="仿宋_GB2312" w:eastAsia="仿宋_GB2312"/>
          <w:kern w:val="0"/>
          <w:sz w:val="32"/>
        </w:rPr>
        <w:t>202</w:t>
      </w:r>
      <w:r>
        <w:rPr>
          <w:rFonts w:hint="eastAsia" w:ascii="仿宋_GB2312" w:eastAsia="仿宋_GB2312"/>
          <w:kern w:val="0"/>
          <w:sz w:val="32"/>
          <w:lang w:val="en-US" w:eastAsia="zh-CN"/>
        </w:rPr>
        <w:t>6</w:t>
      </w:r>
      <w:r>
        <w:rPr>
          <w:rFonts w:hint="eastAsia" w:ascii="仿宋_GB2312" w:eastAsia="仿宋_GB2312"/>
          <w:kern w:val="0"/>
          <w:sz w:val="32"/>
        </w:rPr>
        <w:t>年</w:t>
      </w:r>
      <w:r>
        <w:rPr>
          <w:rFonts w:hint="eastAsia" w:ascii="仿宋_GB2312" w:eastAsia="仿宋_GB2312"/>
          <w:kern w:val="0"/>
          <w:sz w:val="32"/>
          <w:lang w:val="en-US" w:eastAsia="zh-CN"/>
        </w:rPr>
        <w:t>5</w:t>
      </w:r>
      <w:r>
        <w:rPr>
          <w:rFonts w:hint="eastAsia" w:ascii="仿宋_GB2312" w:eastAsia="仿宋_GB2312"/>
          <w:kern w:val="0"/>
          <w:sz w:val="32"/>
        </w:rPr>
        <w:t>月</w:t>
      </w:r>
      <w:r>
        <w:rPr>
          <w:rFonts w:hint="eastAsia" w:ascii="仿宋_GB2312" w:eastAsia="仿宋_GB2312"/>
          <w:kern w:val="0"/>
          <w:sz w:val="32"/>
          <w:lang w:val="en-US" w:eastAsia="zh-CN"/>
        </w:rPr>
        <w:t>15</w:t>
      </w:r>
      <w:r>
        <w:rPr>
          <w:rFonts w:hint="eastAsia" w:ascii="仿宋_GB2312" w:eastAsia="仿宋_GB2312"/>
          <w:kern w:val="0"/>
          <w:sz w:val="32"/>
        </w:rPr>
        <w:t>日</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napToGrid/>
        <w:spacing w:line="50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napToGrid/>
        <w:spacing w:line="50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napToGrid/>
        <w:spacing w:line="500" w:lineRule="exact"/>
        <w:ind w:firstLine="6400" w:firstLineChars="2000"/>
        <w:jc w:val="left"/>
        <w:textAlignment w:val="auto"/>
        <w:rPr>
          <w:rFonts w:hint="eastAsia" w:ascii="仿宋_GB2312" w:eastAsia="仿宋_GB2312"/>
          <w:kern w:val="0"/>
          <w:sz w:val="32"/>
        </w:rPr>
      </w:pPr>
    </w:p>
    <w:p>
      <w:pPr>
        <w:keepNext w:val="0"/>
        <w:keepLines w:val="0"/>
        <w:pageBreakBefore w:val="0"/>
        <w:pBdr>
          <w:top w:val="single" w:color="auto" w:sz="12" w:space="1"/>
        </w:pBdr>
        <w:tabs>
          <w:tab w:val="left" w:pos="720"/>
        </w:tabs>
        <w:kinsoku/>
        <w:wordWrap/>
        <w:overflowPunct/>
        <w:topLinePunct w:val="0"/>
        <w:bidi w:val="0"/>
        <w:spacing w:line="560" w:lineRule="atLeast"/>
        <w:ind w:firstLine="280" w:firstLineChars="1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抄送：</w:t>
      </w:r>
      <w:r>
        <w:rPr>
          <w:rFonts w:hint="eastAsia" w:ascii="仿宋_GB2312" w:eastAsia="仿宋_GB2312"/>
          <w:kern w:val="0"/>
          <w:sz w:val="28"/>
          <w:szCs w:val="28"/>
        </w:rPr>
        <w:t>区人大代表工委、</w:t>
      </w:r>
      <w:r>
        <w:rPr>
          <w:rFonts w:hint="eastAsia" w:ascii="仿宋_GB2312" w:hAnsi="仿宋_GB2312" w:eastAsia="仿宋_GB2312" w:cs="仿宋_GB2312"/>
          <w:color w:val="000000"/>
          <w:sz w:val="28"/>
          <w:szCs w:val="28"/>
        </w:rPr>
        <w:t>区政府督查室</w:t>
      </w:r>
      <w:r>
        <w:rPr>
          <w:rFonts w:hint="eastAsia" w:ascii="仿宋_GB2312" w:eastAsia="仿宋_GB2312"/>
          <w:kern w:val="0"/>
          <w:sz w:val="28"/>
          <w:szCs w:val="28"/>
        </w:rPr>
        <w:t>、</w:t>
      </w:r>
      <w:r>
        <w:rPr>
          <w:rFonts w:hint="eastAsia" w:ascii="仿宋_GB2312" w:eastAsia="仿宋_GB2312"/>
          <w:kern w:val="0"/>
          <w:sz w:val="28"/>
          <w:szCs w:val="28"/>
          <w:lang w:val="en-US" w:eastAsia="zh-CN"/>
        </w:rPr>
        <w:t>区方志办、罗溪镇政府</w:t>
      </w:r>
      <w:r>
        <w:rPr>
          <w:rFonts w:hint="eastAsia" w:ascii="仿宋_GB2312" w:eastAsia="仿宋_GB2312"/>
          <w:kern w:val="0"/>
          <w:sz w:val="28"/>
          <w:szCs w:val="28"/>
        </w:rPr>
        <w:t>。</w:t>
      </w:r>
    </w:p>
    <w:p>
      <w:pPr>
        <w:keepNext w:val="0"/>
        <w:keepLines w:val="0"/>
        <w:pageBreakBefore w:val="0"/>
        <w:pBdr>
          <w:top w:val="single" w:color="auto" w:sz="8" w:space="1"/>
          <w:bottom w:val="single" w:color="auto" w:sz="12" w:space="1"/>
        </w:pBdr>
        <w:kinsoku/>
        <w:wordWrap/>
        <w:overflowPunct/>
        <w:topLinePunct w:val="0"/>
        <w:bidi w:val="0"/>
        <w:spacing w:line="560" w:lineRule="atLeast"/>
        <w:textAlignment w:val="auto"/>
        <w:rPr>
          <w:rFonts w:ascii="楷体_GB2312" w:eastAsia="楷体_GB2312"/>
          <w:sz w:val="28"/>
        </w:rPr>
      </w:pPr>
      <w:r>
        <w:rPr>
          <w:rFonts w:hint="eastAsia" w:ascii="仿宋_GB2312" w:hAnsi="仿宋_GB2312" w:eastAsia="仿宋_GB2312" w:cs="仿宋_GB2312"/>
          <w:color w:val="000000"/>
          <w:sz w:val="28"/>
          <w:szCs w:val="28"/>
        </w:rPr>
        <w:t xml:space="preserve">  泉州市洛江区文化体育和旅游局办公室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rPr>
        <w:t>日印发</w:t>
      </w:r>
    </w:p>
    <w:sectPr>
      <w:footerReference r:id="rId3" w:type="default"/>
      <w:footerReference r:id="rId4" w:type="even"/>
      <w:pgSz w:w="11906" w:h="16838"/>
      <w:pgMar w:top="1871" w:right="1304" w:bottom="1531" w:left="1304" w:header="851" w:footer="1247" w:gutter="0"/>
      <w:pgNumType w:fmt="numberInDash"/>
      <w:cols w:space="425" w:num="1"/>
      <w:docGrid w:type="linesAndChars" w:linePitch="610" w:charSpace="1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9586" w:y="7"/>
      <w:rPr>
        <w:rStyle w:val="8"/>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- 15 -</w:t>
    </w:r>
    <w:r>
      <w:rPr>
        <w:rStyle w:val="8"/>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firstLine="280" w:firstLineChars="100"/>
      <w:rPr>
        <w:rStyle w:val="8"/>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- 16 -</w:t>
    </w:r>
    <w:r>
      <w:rPr>
        <w:rStyle w:val="8"/>
        <w:rFonts w:ascii="宋体" w:hAnsi="宋体"/>
        <w:sz w:val="28"/>
        <w:szCs w:val="28"/>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HorizontalSpacing w:val="211"/>
  <w:drawingGridVerticalSpacing w:val="30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4ED"/>
    <w:rsid w:val="000737B9"/>
    <w:rsid w:val="000A6FD5"/>
    <w:rsid w:val="000D07DD"/>
    <w:rsid w:val="000E7ED6"/>
    <w:rsid w:val="000F37AF"/>
    <w:rsid w:val="001324ED"/>
    <w:rsid w:val="00142B64"/>
    <w:rsid w:val="001448BD"/>
    <w:rsid w:val="00197E69"/>
    <w:rsid w:val="00275073"/>
    <w:rsid w:val="002D1A38"/>
    <w:rsid w:val="002F34E8"/>
    <w:rsid w:val="003010DA"/>
    <w:rsid w:val="00336FB3"/>
    <w:rsid w:val="00363CDE"/>
    <w:rsid w:val="00384C3D"/>
    <w:rsid w:val="003B4120"/>
    <w:rsid w:val="003B6F44"/>
    <w:rsid w:val="00467061"/>
    <w:rsid w:val="00483539"/>
    <w:rsid w:val="004C08F4"/>
    <w:rsid w:val="005715C8"/>
    <w:rsid w:val="005E5AFE"/>
    <w:rsid w:val="00674B4D"/>
    <w:rsid w:val="00696E54"/>
    <w:rsid w:val="006F36CB"/>
    <w:rsid w:val="007F27E0"/>
    <w:rsid w:val="00807125"/>
    <w:rsid w:val="00813B99"/>
    <w:rsid w:val="00820DFB"/>
    <w:rsid w:val="00820E96"/>
    <w:rsid w:val="00843CAD"/>
    <w:rsid w:val="00881DC1"/>
    <w:rsid w:val="00A113B0"/>
    <w:rsid w:val="00AB7BA3"/>
    <w:rsid w:val="00B45C15"/>
    <w:rsid w:val="00B766C6"/>
    <w:rsid w:val="00BB7C70"/>
    <w:rsid w:val="00C22318"/>
    <w:rsid w:val="00C43598"/>
    <w:rsid w:val="00C44DAE"/>
    <w:rsid w:val="00C714C1"/>
    <w:rsid w:val="00D034AD"/>
    <w:rsid w:val="00D447F4"/>
    <w:rsid w:val="00D72CF0"/>
    <w:rsid w:val="00DB39C9"/>
    <w:rsid w:val="00DC2590"/>
    <w:rsid w:val="00DC36DC"/>
    <w:rsid w:val="00EB1CAB"/>
    <w:rsid w:val="00ED114A"/>
    <w:rsid w:val="00F24589"/>
    <w:rsid w:val="00FB7457"/>
    <w:rsid w:val="2FBDED07"/>
    <w:rsid w:val="2FE7382E"/>
    <w:rsid w:val="3EDFF71C"/>
    <w:rsid w:val="3FFF5100"/>
    <w:rsid w:val="5BADD8D0"/>
    <w:rsid w:val="6A510550"/>
    <w:rsid w:val="7A7F5170"/>
    <w:rsid w:val="9FFFDF0C"/>
    <w:rsid w:val="AAFFEBE4"/>
    <w:rsid w:val="BCFF7B36"/>
    <w:rsid w:val="DF1D9487"/>
    <w:rsid w:val="DFFFE59E"/>
    <w:rsid w:val="EF7F246B"/>
    <w:rsid w:val="EFFB48F6"/>
    <w:rsid w:val="F83B2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99"/>
    <w:pPr>
      <w:ind w:firstLine="560" w:firstLineChars="200"/>
    </w:pPr>
    <w:rPr>
      <w:rFonts w:eastAsia="仿宋_GB2312"/>
      <w:sz w:val="28"/>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Emphasis"/>
    <w:basedOn w:val="7"/>
    <w:qFormat/>
    <w:uiPriority w:val="0"/>
    <w:rPr>
      <w:i/>
    </w:rPr>
  </w:style>
  <w:style w:type="character" w:customStyle="1" w:styleId="10">
    <w:name w:val="正文文本缩进 Char"/>
    <w:basedOn w:val="7"/>
    <w:link w:val="2"/>
    <w:qFormat/>
    <w:uiPriority w:val="99"/>
    <w:rPr>
      <w:rFonts w:eastAsia="仿宋_GB2312"/>
      <w:kern w:val="2"/>
      <w:sz w:val="28"/>
      <w:szCs w:val="24"/>
    </w:rPr>
  </w:style>
  <w:style w:type="character" w:customStyle="1" w:styleId="11">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lenovo1\AppData\Roaming\Microsoft\Templates\&#27849;&#27931;&#25919;&#2115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泉洛政办.dot</Template>
  <Company>微软中国</Company>
  <Pages>16</Pages>
  <Words>894</Words>
  <Characters>5101</Characters>
  <Lines>42</Lines>
  <Paragraphs>11</Paragraphs>
  <TotalTime>25</TotalTime>
  <ScaleCrop>false</ScaleCrop>
  <LinksUpToDate>false</LinksUpToDate>
  <CharactersWithSpaces>5984</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2026-02-03T01:41:00Z</dcterms:created>
  <dc:creator>lenovo1</dc:creator>
  <cp:lastModifiedBy>user</cp:lastModifiedBy>
  <cp:lastPrinted>2026-05-15T00:10:00Z</cp:lastPrinted>
  <dcterms:modified xsi:type="dcterms:W3CDTF">2026-09-03T09:42:13Z</dcterms:modified>
  <dc:title>泉洛政文〔20  〕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C9BA49022905E09175D0986AF3F7C8A3</vt:lpwstr>
  </property>
</Properties>
</file>