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pBdr>
          <w:bottom w:val="single" w:color="auto" w:sz="12" w:space="1"/>
        </w:pBd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atLeast"/>
        <w:jc w:val="center"/>
        <w:textAlignment w:val="auto"/>
        <w:rPr>
          <w:rFonts w:ascii="方正小标宋简体" w:eastAsia="方正小标宋简体"/>
          <w:color w:val="auto"/>
          <w:kern w:val="0"/>
          <w:sz w:val="44"/>
        </w:rPr>
      </w:pPr>
      <w:r>
        <w:rPr>
          <w:rFonts w:hint="eastAsia" w:ascii="方正小标宋简体" w:eastAsia="方正小标宋简体"/>
          <w:color w:val="auto"/>
          <w:kern w:val="0"/>
          <w:sz w:val="44"/>
        </w:rPr>
        <w:t>泉州市洛江区文化体育和旅游局（函）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_GB2312" w:eastAsia="仿宋_GB2312"/>
          <w:color w:val="auto"/>
          <w:kern w:val="0"/>
          <w:sz w:val="32"/>
        </w:rPr>
      </w:pPr>
      <w:r>
        <w:rPr>
          <w:rFonts w:hint="eastAsia" w:ascii="仿宋_GB2312" w:eastAsia="仿宋_GB2312"/>
          <w:color w:val="auto"/>
          <w:kern w:val="0"/>
          <w:sz w:val="32"/>
          <w:lang w:eastAsia="zh-CN"/>
        </w:rPr>
        <w:t>泉洛政文体旅</w:t>
      </w:r>
      <w:r>
        <w:rPr>
          <w:rFonts w:hint="eastAsia" w:ascii="仿宋_GB2312" w:eastAsia="仿宋_GB2312"/>
          <w:color w:val="auto"/>
          <w:kern w:val="0"/>
          <w:sz w:val="32"/>
        </w:rPr>
        <w:t>函〔</w:t>
      </w:r>
      <w:r>
        <w:rPr>
          <w:rFonts w:ascii="仿宋_GB2312" w:eastAsia="仿宋_GB2312"/>
          <w:color w:val="auto"/>
          <w:kern w:val="0"/>
          <w:sz w:val="32"/>
        </w:rPr>
        <w:t>202</w:t>
      </w:r>
      <w:r>
        <w:rPr>
          <w:rFonts w:hint="eastAsia" w:ascii="仿宋_GB2312" w:eastAsia="仿宋_GB2312"/>
          <w:color w:val="auto"/>
          <w:kern w:val="0"/>
          <w:sz w:val="32"/>
          <w:lang w:val="en-US" w:eastAsia="zh-CN"/>
        </w:rPr>
        <w:t>6</w:t>
      </w:r>
      <w:r>
        <w:rPr>
          <w:rFonts w:hint="eastAsia" w:ascii="仿宋_GB2312" w:eastAsia="仿宋_GB2312"/>
          <w:color w:val="auto"/>
          <w:kern w:val="0"/>
          <w:sz w:val="32"/>
        </w:rPr>
        <w:t>〕</w:t>
      </w:r>
      <w:r>
        <w:rPr>
          <w:rFonts w:hint="eastAsia" w:ascii="仿宋_GB2312" w:eastAsia="仿宋_GB2312"/>
          <w:color w:val="auto"/>
          <w:kern w:val="0"/>
          <w:sz w:val="32"/>
          <w:lang w:val="en-US" w:eastAsia="zh-CN"/>
        </w:rPr>
        <w:t>26</w:t>
      </w:r>
      <w:r>
        <w:rPr>
          <w:rFonts w:hint="eastAsia" w:ascii="仿宋_GB2312" w:eastAsia="仿宋_GB2312"/>
          <w:color w:val="auto"/>
          <w:kern w:val="0"/>
          <w:sz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eastAsia" w:ascii="仿宋_GB2312" w:eastAsia="仿宋_GB2312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auto"/>
          <w:kern w:val="0"/>
          <w:sz w:val="32"/>
        </w:rPr>
        <w:t>答复类别：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小标宋简体" w:eastAsia="方正小标宋简体"/>
          <w:color w:val="auto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640" w:lineRule="exact"/>
        <w:jc w:val="center"/>
        <w:rPr>
          <w:rFonts w:ascii="方正小标宋简体" w:eastAsia="方正小标宋简体"/>
          <w:color w:val="auto"/>
          <w:kern w:val="0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color w:val="auto"/>
          <w:kern w:val="0"/>
          <w:sz w:val="44"/>
          <w:szCs w:val="44"/>
        </w:rPr>
        <w:t>关于洛江区六届人大五次会议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after="360" w:line="560" w:lineRule="exact"/>
        <w:jc w:val="center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  <w:lang w:val="en-US" w:eastAsia="zh-CN"/>
        </w:rPr>
      </w:pPr>
      <w:r>
        <w:rPr>
          <w:rFonts w:hint="eastAsia" w:ascii="方正小标宋简体" w:eastAsia="方正小标宋简体"/>
          <w:color w:val="auto"/>
          <w:kern w:val="0"/>
          <w:sz w:val="44"/>
          <w:szCs w:val="44"/>
        </w:rPr>
        <w:t>第</w:t>
      </w:r>
      <w:r>
        <w:rPr>
          <w:rFonts w:hint="eastAsia" w:ascii="方正小标宋简体" w:eastAsia="方正小标宋简体"/>
          <w:color w:val="auto"/>
          <w:kern w:val="0"/>
          <w:sz w:val="44"/>
          <w:szCs w:val="44"/>
          <w:lang w:val="en-US" w:eastAsia="zh-CN"/>
        </w:rPr>
        <w:t>6012</w:t>
      </w:r>
      <w:r>
        <w:rPr>
          <w:rFonts w:hint="eastAsia" w:ascii="方正小标宋简体" w:eastAsia="方正小标宋简体"/>
          <w:color w:val="auto"/>
          <w:kern w:val="0"/>
          <w:sz w:val="44"/>
          <w:szCs w:val="44"/>
        </w:rPr>
        <w:t>号建议答复的函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jc w:val="left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val="en-US" w:eastAsia="zh-CN"/>
        </w:rPr>
        <w:t>魏璐莎代表：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val="en-US" w:eastAsia="zh-CN"/>
        </w:rPr>
        <w:t>您提出的《关于高标准规划河市发展定位，打造洛江产城融合新增长极的建议》收悉。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</w:rPr>
        <w:t>现答复如下：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val="en-US" w:eastAsia="zh-CN"/>
        </w:rPr>
        <w:t>近年来，区文旅系统紧扣洛江“智造洛江</w:t>
      </w:r>
      <w:r>
        <w:rPr>
          <w:rFonts w:hint="eastAsia" w:ascii="仿宋_GB2312" w:eastAsia="仿宋_GB2312" w:cs="Times New Roman"/>
          <w:color w:val="auto"/>
          <w:kern w:val="0"/>
          <w:sz w:val="32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val="en-US" w:eastAsia="zh-CN"/>
        </w:rPr>
        <w:t>生态新城”发展定位，聚焦河市镇生态资源、人文底蕴、产业基础，以项目为抓手、以融合为路径、以品牌为引领，持续推动文旅项目建设、业态培育、品牌打造，全力赋能河市镇产城融合发展，助力打造洛江中部高质量发展新增长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lang w:eastAsia="zh-CN"/>
        </w:rPr>
        <w:t>一、项目建设提档升级，文旅基底持续夯实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  <w:t>我区高度重视河市北片区文旅发展，坚持保护优先、适度开发、配套先行，持续完善文旅基础设施，提升服务承载能力。</w:t>
      </w:r>
      <w:r>
        <w:rPr>
          <w:rFonts w:hint="eastAsia" w:ascii="仿宋_GB2312" w:eastAsia="仿宋_GB2312" w:cs="Times New Roman"/>
          <w:b/>
          <w:bCs/>
          <w:color w:val="auto"/>
          <w:kern w:val="0"/>
          <w:sz w:val="32"/>
          <w:lang w:eastAsia="zh-CN"/>
        </w:rPr>
        <w:t>一是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  <w:t>推进俞大猷公园软硬件全面升级，优化提升纪念馆展陈内容，完善游客服务中心、休憩驿站、生态停车场、旅游标识系统等配套设施，打造集爱国主义教育、文化研学、休闲观光于一体的人文地标。</w:t>
      </w:r>
      <w:r>
        <w:rPr>
          <w:rFonts w:hint="eastAsia" w:ascii="仿宋_GB2312" w:eastAsia="仿宋_GB2312" w:cs="Times New Roman"/>
          <w:b/>
          <w:bCs/>
          <w:color w:val="auto"/>
          <w:kern w:val="0"/>
          <w:sz w:val="32"/>
          <w:lang w:eastAsia="zh-CN"/>
        </w:rPr>
        <w:t>二是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  <w:t>实施东溪片区综合治理工程，建成沿溪生态旅游步道、滨水景观节点、亲水平台等，串联山水田园与人文节点，打造乡村旅游示范样板，东溪片区成功获评泉州市“旅游特色风景道”。</w:t>
      </w:r>
      <w:r>
        <w:rPr>
          <w:rFonts w:hint="eastAsia" w:ascii="仿宋_GB2312" w:eastAsia="仿宋_GB2312" w:cs="Times New Roman"/>
          <w:b/>
          <w:bCs/>
          <w:color w:val="auto"/>
          <w:kern w:val="0"/>
          <w:sz w:val="32"/>
          <w:lang w:eastAsia="zh-CN"/>
        </w:rPr>
        <w:t>三是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  <w:t>推动乡村旅游提质增效，指导新告村获评福建省乡村旅游四星级旅游村，培育黄翟祖等一批省级乡村文化和旅游带头人，以示范引领带动全镇乡村旅游整体跃升。</w:t>
      </w:r>
      <w:r>
        <w:rPr>
          <w:rFonts w:hint="eastAsia" w:ascii="仿宋_GB2312" w:eastAsia="仿宋_GB2312" w:cs="Times New Roman"/>
          <w:b/>
          <w:bCs/>
          <w:color w:val="auto"/>
          <w:kern w:val="0"/>
          <w:sz w:val="32"/>
          <w:lang w:eastAsia="zh-CN"/>
        </w:rPr>
        <w:t>四是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  <w:t>统筹推进城乡环境提升，完成重要路线、节点裸房整治，实施农村生活污水处理设施改造，开展滨水路污水整治及环境污染源治理，城乡宜居宜业水平显著提升，为文旅发展筑牢生态底色。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lang w:eastAsia="zh-CN"/>
        </w:rPr>
        <w:t>二、文旅融合业态培育，消费场景不断丰富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  <w:t>我区深入挖掘俞大猷精神内涵、畲族民俗文化、河市特色山水风光，积极推动“文旅+农业”“文旅+生态”“文旅+研学”深度融合，补齐城镇休闲体验短板，激活乡村发展新动能。</w:t>
      </w:r>
      <w:r>
        <w:rPr>
          <w:rFonts w:hint="eastAsia" w:ascii="仿宋_GB2312" w:eastAsia="仿宋_GB2312" w:cs="Times New Roman"/>
          <w:b/>
          <w:bCs/>
          <w:color w:val="auto"/>
          <w:kern w:val="0"/>
          <w:sz w:val="32"/>
          <w:lang w:eastAsia="zh-CN"/>
        </w:rPr>
        <w:t>一是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  <w:t>聚焦都市人群“微度假、慢生活”需求，引导发展农耕研学、生态观光、休闲康养、亲子游乐等新业态，落地田园体验、精品露营、农事采摘等项目，盘活乡村闲置资源洛江新闻网。</w:t>
      </w:r>
      <w:r>
        <w:rPr>
          <w:rFonts w:hint="eastAsia" w:ascii="仿宋_GB2312" w:eastAsia="仿宋_GB2312" w:cs="Times New Roman"/>
          <w:b/>
          <w:bCs/>
          <w:color w:val="auto"/>
          <w:kern w:val="0"/>
          <w:sz w:val="32"/>
          <w:lang w:eastAsia="zh-CN"/>
        </w:rPr>
        <w:t>二是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  <w:t>打造多元化文旅项目集群，形成以俞大猷公园（纪念馆）、濠溪桥、泉州植物园、后深溪、华优粮食博物馆、九品莲花生态园、厝斗畲族村为核心的文旅矩阵，满足不同群体消费需求。</w:t>
      </w:r>
      <w:r>
        <w:rPr>
          <w:rFonts w:hint="eastAsia" w:ascii="仿宋_GB2312" w:eastAsia="仿宋_GB2312" w:cs="Times New Roman"/>
          <w:b/>
          <w:bCs/>
          <w:color w:val="auto"/>
          <w:kern w:val="0"/>
          <w:sz w:val="32"/>
          <w:lang w:eastAsia="zh-CN"/>
        </w:rPr>
        <w:t>三是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  <w:t>大力发展露营经济，引入新告房车露营基地、在山边外滩露营地、翩然</w:t>
      </w:r>
      <w:r>
        <w:rPr>
          <w:rFonts w:hint="eastAsia" w:ascii="仿宋_GB2312" w:eastAsia="仿宋_GB2312" w:cs="Times New Roman"/>
          <w:color w:val="auto"/>
          <w:kern w:val="0"/>
          <w:sz w:val="32"/>
          <w:lang w:val="en-US" w:eastAsia="zh-CN"/>
        </w:rPr>
        <w:t>·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  <w:t>山水之涧露营地等新消费场景</w:t>
      </w:r>
      <w:r>
        <w:rPr>
          <w:rFonts w:hint="eastAsia" w:ascii="仿宋_GB2312" w:eastAsia="仿宋_GB2312" w:cs="Times New Roman"/>
          <w:color w:val="auto"/>
          <w:kern w:val="0"/>
          <w:sz w:val="32"/>
          <w:lang w:eastAsia="zh-CN"/>
        </w:rPr>
        <w:t>。</w:t>
      </w:r>
      <w:r>
        <w:rPr>
          <w:rFonts w:hint="eastAsia" w:ascii="仿宋_GB2312" w:eastAsia="仿宋_GB2312" w:cs="Times New Roman"/>
          <w:color w:val="auto"/>
          <w:kern w:val="0"/>
          <w:sz w:val="32"/>
          <w:lang w:val="en-US" w:eastAsia="zh-CN"/>
        </w:rPr>
        <w:t>2025年，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  <w:t>东溪流域已建成20余处露营地，提供约300个营位，可同时容纳2000余人体验山水之乐，单日接待游客峰值超3000人次。</w:t>
      </w:r>
      <w:r>
        <w:rPr>
          <w:rFonts w:hint="eastAsia" w:ascii="仿宋_GB2312" w:eastAsia="仿宋_GB2312" w:cs="Times New Roman"/>
          <w:b/>
          <w:bCs/>
          <w:color w:val="auto"/>
          <w:kern w:val="0"/>
          <w:sz w:val="32"/>
          <w:lang w:eastAsia="zh-CN"/>
        </w:rPr>
        <w:t>四是</w:t>
      </w:r>
      <w:r>
        <w:rPr>
          <w:rFonts w:hint="eastAsia" w:ascii="仿宋_GB2312" w:eastAsia="仿宋_GB2312" w:cs="Times New Roman"/>
          <w:color w:val="auto"/>
          <w:kern w:val="0"/>
          <w:sz w:val="32"/>
          <w:lang w:eastAsia="zh-CN"/>
        </w:rPr>
        <w:t>带动地方文旅经济发展，成为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  <w:t>村民就业增收、村集体经济壮大的重要产业</w:t>
      </w:r>
      <w:r>
        <w:rPr>
          <w:rFonts w:hint="eastAsia" w:ascii="仿宋_GB2312" w:eastAsia="仿宋_GB2312" w:cs="Times New Roman"/>
          <w:color w:val="auto"/>
          <w:kern w:val="0"/>
          <w:sz w:val="32"/>
          <w:lang w:eastAsia="zh-CN"/>
        </w:rPr>
        <w:t>。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  <w:t>2025年，河市镇接待游客约25万人次，实现旅游综合收入3700万元，带动就业超500人次。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lang w:eastAsia="zh-CN"/>
        </w:rPr>
        <w:t>三、文旅宣传精准发力，品牌影响力显著提升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  <w:t>依托河市生态人文资源优势，坚持“线上引流+线下落地”双向发力，策划举办系列特色文旅活动，持续提升河市文旅知名度与美誉度。</w:t>
      </w:r>
      <w:r>
        <w:rPr>
          <w:rFonts w:hint="eastAsia" w:ascii="仿宋_GB2312" w:eastAsia="仿宋_GB2312" w:cs="Times New Roman"/>
          <w:b/>
          <w:bCs/>
          <w:color w:val="auto"/>
          <w:kern w:val="0"/>
          <w:sz w:val="32"/>
          <w:lang w:eastAsia="zh-CN"/>
        </w:rPr>
        <w:t>一是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  <w:t>打造文化IP矩阵，举办俞大猷文化年主题活动，通过学术研讨、文化展演、研学实践等形式，传承弘扬俞大猷爱国精神与武术文化，让历史文化“活起来”。</w:t>
      </w:r>
      <w:r>
        <w:rPr>
          <w:rFonts w:hint="eastAsia" w:ascii="仿宋_GB2312" w:eastAsia="仿宋_GB2312" w:cs="Times New Roman"/>
          <w:b/>
          <w:bCs/>
          <w:color w:val="auto"/>
          <w:kern w:val="0"/>
          <w:sz w:val="32"/>
          <w:lang w:eastAsia="zh-CN"/>
        </w:rPr>
        <w:t>二是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  <w:t>做精民俗节庆品牌，成功举办“我们的节日・七夕”（洛江专场）暨第三届“陈三五娘”文化主题活动、“三月三”厝斗畲族文化节等，融合民俗展演、文化体验、农特产品展销，激活农文旅融合新动能。</w:t>
      </w:r>
      <w:r>
        <w:rPr>
          <w:rFonts w:hint="eastAsia" w:ascii="仿宋_GB2312" w:eastAsia="仿宋_GB2312" w:cs="Times New Roman"/>
          <w:b/>
          <w:bCs/>
          <w:color w:val="auto"/>
          <w:kern w:val="0"/>
          <w:sz w:val="32"/>
          <w:lang w:eastAsia="zh-CN"/>
        </w:rPr>
        <w:t>三是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  <w:t>引爆露营消费热点，举办“微度假慢生活”河市新告露营嘉年华，推出星空音乐、户外烧烤、亲子互动等沉浸式体验，打造假日文旅消费新场景。</w:t>
      </w:r>
      <w:r>
        <w:rPr>
          <w:rFonts w:hint="eastAsia" w:ascii="仿宋_GB2312" w:eastAsia="仿宋_GB2312" w:cs="Times New Roman"/>
          <w:b/>
          <w:bCs/>
          <w:color w:val="auto"/>
          <w:kern w:val="0"/>
          <w:sz w:val="32"/>
          <w:lang w:eastAsia="zh-CN"/>
        </w:rPr>
        <w:t>四是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  <w:t>创新宣传推广模式，利用抖音、微信公众号等平台发布推介短视频、旅游攻略，话题播放量超20万，实现“线上话题引爆+线下活动引流”，有效将过境人流转化为消费留量，带动区域文旅消费持续增长</w:t>
      </w:r>
      <w:r>
        <w:rPr>
          <w:rFonts w:hint="eastAsia" w:ascii="仿宋_GB2312" w:eastAsia="仿宋_GB2312" w:cs="Times New Roman"/>
          <w:color w:val="auto"/>
          <w:kern w:val="0"/>
          <w:sz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val="en-US" w:eastAsia="zh-CN"/>
        </w:rPr>
        <w:t>下一步，我局将立足职能，聚焦河市镇生态文旅与休闲体验区定位，紧扣产城融合目标，重点推进以下工作：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</w:rPr>
        <w:t>融入全域规划，明晰发展定位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  <w:t>。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</w:rPr>
        <w:t>将河市文旅发展纳入全区文旅总体规划，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  <w:t>结合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</w:rPr>
        <w:t>高速互通、联三线改造、城镇开发等项目，统筹布局生态康养、乡村旅游、休闲体验功能，形成与产业、城镇协同的文旅空间格局。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</w:rPr>
      </w:pPr>
      <w:r>
        <w:rPr>
          <w:rFonts w:hint="eastAsia" w:ascii="仿宋_GB2312" w:eastAsia="仿宋_GB2312" w:cs="Times New Roman"/>
          <w:color w:val="auto"/>
          <w:kern w:val="0"/>
          <w:sz w:val="32"/>
          <w:lang w:eastAsia="zh-CN"/>
        </w:rPr>
        <w:t>串联核心资源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</w:rPr>
        <w:t>，打造精品线路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  <w:t>。</w:t>
      </w:r>
      <w:r>
        <w:rPr>
          <w:rFonts w:hint="eastAsia" w:ascii="仿宋_GB2312" w:eastAsia="仿宋_GB2312" w:cs="Times New Roman"/>
          <w:color w:val="auto"/>
          <w:kern w:val="0"/>
          <w:sz w:val="32"/>
          <w:lang w:eastAsia="zh-CN"/>
        </w:rPr>
        <w:t>路线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</w:rPr>
        <w:t>串联俞大猷公园—泉州植物园—新告村及周边生态人文节点，优化景点连接通道与沿线景观，打造集人文研学、生态休闲、乡村度假于一体的精品线路，提升文旅集聚效应与辐射半径。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</w:rPr>
        <w:t>强化品牌营销，创新宣传推广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eastAsia="zh-CN"/>
        </w:rPr>
        <w:t>。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</w:rPr>
        <w:t>依托河市区域交通微枢纽优势，</w:t>
      </w:r>
      <w:r>
        <w:rPr>
          <w:rFonts w:hint="eastAsia" w:ascii="仿宋_GB2312" w:eastAsia="仿宋_GB2312" w:cs="Times New Roman"/>
          <w:color w:val="auto"/>
          <w:kern w:val="0"/>
          <w:sz w:val="32"/>
          <w:lang w:eastAsia="zh-CN"/>
        </w:rPr>
        <w:t>深挖IP价值，持续举办俞大猷纪念活动、畲族文化节及露营文化节等活动，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</w:rPr>
        <w:t>开展针对性宣传营销，</w:t>
      </w:r>
      <w:r>
        <w:rPr>
          <w:rFonts w:hint="eastAsia" w:ascii="仿宋_GB2312" w:eastAsia="仿宋_GB2312" w:cs="Times New Roman"/>
          <w:color w:val="auto"/>
          <w:kern w:val="0"/>
          <w:sz w:val="32"/>
          <w:lang w:eastAsia="zh-CN"/>
        </w:rPr>
        <w:t>打造具有辨识度的文化地标，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</w:rPr>
        <w:t>推动过境交通流转化为消费人流，助力文旅产业成为产城融合新支撑。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  <w:lang w:val="en-US" w:eastAsia="zh-CN"/>
        </w:rPr>
        <w:t>再次感谢您对洛江文体旅游工作的关心和支持！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lang w:eastAsia="zh-CN"/>
        </w:rPr>
      </w:pPr>
      <w:r>
        <w:rPr>
          <w:rFonts w:hint="eastAsia" w:ascii="仿宋_GB2312" w:eastAsia="仿宋_GB2312"/>
          <w:color w:val="auto"/>
          <w:kern w:val="0"/>
          <w:sz w:val="32"/>
        </w:rPr>
        <w:t>主要领导：</w:t>
      </w:r>
      <w:r>
        <w:rPr>
          <w:rFonts w:hint="eastAsia" w:ascii="仿宋_GB2312" w:eastAsia="仿宋_GB2312"/>
          <w:color w:val="auto"/>
          <w:kern w:val="0"/>
          <w:sz w:val="32"/>
          <w:lang w:eastAsia="zh-CN"/>
        </w:rPr>
        <w:t>吕培基</w:t>
      </w:r>
    </w:p>
    <w:p>
      <w:pPr>
        <w:autoSpaceDE w:val="0"/>
        <w:autoSpaceDN w:val="0"/>
        <w:adjustRightInd w:val="0"/>
        <w:snapToGrid w:val="0"/>
        <w:spacing w:line="480" w:lineRule="exact"/>
        <w:ind w:firstLine="640" w:firstLineChars="200"/>
        <w:jc w:val="left"/>
        <w:rPr>
          <w:rFonts w:hint="eastAsia" w:ascii="仿宋_GB2312" w:eastAsia="仿宋_GB2312"/>
          <w:color w:val="auto"/>
          <w:kern w:val="0"/>
          <w:sz w:val="32"/>
          <w:lang w:eastAsia="zh-CN"/>
        </w:rPr>
      </w:pPr>
      <w:r>
        <w:rPr>
          <w:rFonts w:hint="eastAsia" w:ascii="仿宋_GB2312" w:eastAsia="仿宋_GB2312"/>
          <w:color w:val="auto"/>
          <w:kern w:val="0"/>
          <w:sz w:val="32"/>
        </w:rPr>
        <w:t>分管领导：</w:t>
      </w:r>
      <w:r>
        <w:rPr>
          <w:rFonts w:hint="eastAsia" w:ascii="仿宋_GB2312" w:eastAsia="仿宋_GB2312"/>
          <w:color w:val="auto"/>
          <w:kern w:val="0"/>
          <w:sz w:val="32"/>
          <w:lang w:eastAsia="zh-CN"/>
        </w:rPr>
        <w:t>王发生</w:t>
      </w:r>
    </w:p>
    <w:p>
      <w:pPr>
        <w:autoSpaceDE w:val="0"/>
        <w:autoSpaceDN w:val="0"/>
        <w:adjustRightInd w:val="0"/>
        <w:spacing w:line="480" w:lineRule="exact"/>
        <w:ind w:firstLine="640" w:firstLineChars="200"/>
        <w:jc w:val="left"/>
        <w:rPr>
          <w:rFonts w:hint="eastAsia" w:ascii="仿宋_GB2312" w:eastAsia="仿宋_GB2312"/>
          <w:color w:val="auto"/>
          <w:kern w:val="0"/>
          <w:sz w:val="32"/>
          <w:lang w:eastAsia="zh-CN"/>
        </w:rPr>
      </w:pPr>
      <w:r>
        <w:rPr>
          <w:rFonts w:hint="eastAsia" w:ascii="仿宋_GB2312" w:eastAsia="仿宋_GB2312"/>
          <w:color w:val="auto"/>
          <w:kern w:val="0"/>
          <w:sz w:val="32"/>
        </w:rPr>
        <w:t>经办人员：</w:t>
      </w:r>
      <w:r>
        <w:rPr>
          <w:rFonts w:hint="eastAsia" w:ascii="仿宋_GB2312" w:eastAsia="仿宋_GB2312"/>
          <w:color w:val="auto"/>
          <w:kern w:val="0"/>
          <w:sz w:val="32"/>
          <w:lang w:eastAsia="zh-CN"/>
        </w:rPr>
        <w:t>林巧云</w:t>
      </w:r>
    </w:p>
    <w:p>
      <w:pPr>
        <w:autoSpaceDE w:val="0"/>
        <w:autoSpaceDN w:val="0"/>
        <w:adjustRightInd w:val="0"/>
        <w:spacing w:line="480" w:lineRule="exact"/>
        <w:ind w:firstLine="640" w:firstLineChars="200"/>
        <w:jc w:val="left"/>
        <w:rPr>
          <w:rFonts w:hint="eastAsia" w:ascii="仿宋_GB2312" w:eastAsia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eastAsia="仿宋_GB2312"/>
          <w:color w:val="auto"/>
          <w:kern w:val="0"/>
          <w:sz w:val="32"/>
        </w:rPr>
        <w:t>联系电话：</w:t>
      </w:r>
      <w:r>
        <w:rPr>
          <w:rFonts w:hint="eastAsia" w:ascii="仿宋_GB2312" w:eastAsia="仿宋_GB2312"/>
          <w:color w:val="auto"/>
          <w:kern w:val="0"/>
          <w:sz w:val="32"/>
          <w:lang w:val="en-US" w:eastAsia="zh-CN"/>
        </w:rPr>
        <w:t>22631072</w:t>
      </w:r>
    </w:p>
    <w:p>
      <w:pPr>
        <w:autoSpaceDE w:val="0"/>
        <w:autoSpaceDN w:val="0"/>
        <w:adjustRightInd w:val="0"/>
        <w:spacing w:line="480" w:lineRule="exact"/>
        <w:ind w:firstLine="640" w:firstLineChars="200"/>
        <w:jc w:val="left"/>
        <w:rPr>
          <w:rFonts w:hint="default" w:ascii="仿宋_GB2312" w:eastAsia="仿宋_GB2312"/>
          <w:color w:val="auto"/>
          <w:kern w:val="0"/>
          <w:sz w:val="32"/>
          <w:lang w:val="en-US" w:eastAsia="zh-CN"/>
        </w:rPr>
      </w:pPr>
    </w:p>
    <w:p>
      <w:pPr>
        <w:autoSpaceDE w:val="0"/>
        <w:autoSpaceDN w:val="0"/>
        <w:adjustRightInd w:val="0"/>
        <w:spacing w:line="480" w:lineRule="exact"/>
        <w:ind w:firstLine="640" w:firstLineChars="200"/>
        <w:jc w:val="left"/>
        <w:rPr>
          <w:rFonts w:hint="default" w:ascii="仿宋_GB2312" w:eastAsia="仿宋_GB2312"/>
          <w:color w:val="auto"/>
          <w:kern w:val="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4480" w:firstLineChars="1400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lang w:val="en-US" w:eastAsia="zh-CN"/>
        </w:rPr>
      </w:pPr>
      <w:r>
        <w:rPr>
          <w:rFonts w:hint="eastAsia" w:ascii="仿宋_GB2312" w:eastAsia="仿宋_GB2312"/>
          <w:color w:val="auto"/>
          <w:kern w:val="0"/>
          <w:sz w:val="32"/>
        </w:rPr>
        <w:t>泉州市洛江区文化体育和旅游</w:t>
      </w:r>
      <w:r>
        <w:rPr>
          <w:rFonts w:hint="eastAsia" w:ascii="仿宋_GB2312" w:eastAsia="仿宋_GB2312"/>
          <w:color w:val="auto"/>
          <w:kern w:val="0"/>
          <w:sz w:val="32"/>
          <w:lang w:eastAsia="zh-CN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</w:rPr>
      </w:pPr>
      <w:r>
        <w:rPr>
          <w:rFonts w:hint="eastAsia" w:ascii="仿宋_GB2312" w:eastAsia="仿宋_GB2312"/>
          <w:color w:val="auto"/>
          <w:kern w:val="0"/>
          <w:sz w:val="32"/>
        </w:rPr>
        <w:t>202</w:t>
      </w:r>
      <w:r>
        <w:rPr>
          <w:rFonts w:hint="eastAsia" w:ascii="仿宋_GB2312" w:eastAsia="仿宋_GB2312"/>
          <w:color w:val="auto"/>
          <w:kern w:val="0"/>
          <w:sz w:val="32"/>
          <w:lang w:val="en-US" w:eastAsia="zh-CN"/>
        </w:rPr>
        <w:t>6</w:t>
      </w:r>
      <w:r>
        <w:rPr>
          <w:rFonts w:hint="eastAsia" w:ascii="仿宋_GB2312" w:eastAsia="仿宋_GB2312"/>
          <w:color w:val="auto"/>
          <w:kern w:val="0"/>
          <w:sz w:val="32"/>
        </w:rPr>
        <w:t>年</w:t>
      </w:r>
      <w:r>
        <w:rPr>
          <w:rFonts w:hint="eastAsia" w:ascii="仿宋_GB2312" w:eastAsia="仿宋_GB2312"/>
          <w:color w:val="auto"/>
          <w:kern w:val="0"/>
          <w:sz w:val="32"/>
          <w:lang w:val="en-US" w:eastAsia="zh-CN"/>
        </w:rPr>
        <w:t>5</w:t>
      </w:r>
      <w:r>
        <w:rPr>
          <w:rFonts w:hint="eastAsia" w:ascii="仿宋_GB2312" w:eastAsia="仿宋_GB2312"/>
          <w:color w:val="auto"/>
          <w:kern w:val="0"/>
          <w:sz w:val="32"/>
        </w:rPr>
        <w:t>月</w:t>
      </w:r>
      <w:r>
        <w:rPr>
          <w:rFonts w:hint="eastAsia" w:ascii="仿宋_GB2312" w:eastAsia="仿宋_GB2312"/>
          <w:color w:val="auto"/>
          <w:kern w:val="0"/>
          <w:sz w:val="32"/>
          <w:lang w:val="en-US" w:eastAsia="zh-CN"/>
        </w:rPr>
        <w:t>29</w:t>
      </w:r>
      <w:r>
        <w:rPr>
          <w:rFonts w:hint="eastAsia" w:ascii="仿宋_GB2312" w:eastAsia="仿宋_GB2312"/>
          <w:color w:val="auto"/>
          <w:kern w:val="0"/>
          <w:sz w:val="32"/>
        </w:rPr>
        <w:t>日</w:t>
      </w:r>
    </w:p>
    <w:p>
      <w:pPr>
        <w:spacing w:line="600" w:lineRule="exact"/>
        <w:rPr>
          <w:rFonts w:eastAsia="方正小标宋简体"/>
          <w:bCs/>
          <w:color w:val="auto"/>
          <w:sz w:val="44"/>
          <w:szCs w:val="44"/>
        </w:rPr>
      </w:pPr>
    </w:p>
    <w:p>
      <w:pPr>
        <w:spacing w:line="600" w:lineRule="exact"/>
        <w:rPr>
          <w:rFonts w:eastAsia="方正小标宋简体"/>
          <w:bCs/>
          <w:color w:val="auto"/>
          <w:sz w:val="44"/>
          <w:szCs w:val="44"/>
        </w:rPr>
      </w:pPr>
    </w:p>
    <w:p>
      <w:pPr>
        <w:spacing w:line="600" w:lineRule="exact"/>
        <w:rPr>
          <w:rFonts w:eastAsia="方正小标宋简体"/>
          <w:bCs/>
          <w:color w:val="auto"/>
          <w:sz w:val="44"/>
          <w:szCs w:val="44"/>
        </w:rPr>
      </w:pPr>
    </w:p>
    <w:p>
      <w:pPr>
        <w:spacing w:line="600" w:lineRule="exact"/>
        <w:rPr>
          <w:rFonts w:eastAsia="方正小标宋简体"/>
          <w:bCs/>
          <w:color w:val="auto"/>
          <w:sz w:val="44"/>
          <w:szCs w:val="44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pBdr>
          <w:top w:val="single" w:color="auto" w:sz="12" w:space="1"/>
        </w:pBdr>
        <w:tabs>
          <w:tab w:val="left" w:pos="720"/>
        </w:tabs>
        <w:kinsoku/>
        <w:wordWrap/>
        <w:overflowPunct/>
        <w:topLinePunct w:val="0"/>
        <w:bidi w:val="0"/>
        <w:spacing w:line="560" w:lineRule="atLeast"/>
        <w:ind w:firstLine="280" w:firstLineChars="1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6"/>
          <w:w w:val="1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w w:val="100"/>
          <w:sz w:val="28"/>
          <w:szCs w:val="28"/>
        </w:rPr>
        <w:t>抄送：</w:t>
      </w:r>
      <w:r>
        <w:rPr>
          <w:rFonts w:hint="eastAsia" w:ascii="仿宋_GB2312" w:eastAsia="仿宋_GB2312"/>
          <w:color w:val="auto"/>
          <w:spacing w:val="-6"/>
          <w:w w:val="100"/>
          <w:kern w:val="0"/>
          <w:sz w:val="28"/>
          <w:szCs w:val="28"/>
        </w:rPr>
        <w:t>区人大代表工委、</w:t>
      </w:r>
      <w:r>
        <w:rPr>
          <w:rFonts w:hint="eastAsia" w:ascii="仿宋_GB2312" w:hAnsi="仿宋_GB2312" w:eastAsia="仿宋_GB2312" w:cs="仿宋_GB2312"/>
          <w:color w:val="auto"/>
          <w:spacing w:val="-6"/>
          <w:w w:val="100"/>
          <w:sz w:val="28"/>
          <w:szCs w:val="28"/>
        </w:rPr>
        <w:t>区政府督查室</w:t>
      </w:r>
      <w:r>
        <w:rPr>
          <w:rFonts w:hint="eastAsia" w:ascii="仿宋_GB2312" w:eastAsia="仿宋_GB2312"/>
          <w:color w:val="auto"/>
          <w:spacing w:val="-6"/>
          <w:w w:val="100"/>
          <w:kern w:val="0"/>
          <w:sz w:val="28"/>
          <w:szCs w:val="28"/>
        </w:rPr>
        <w:t>、</w:t>
      </w:r>
      <w:r>
        <w:rPr>
          <w:rFonts w:hint="eastAsia" w:ascii="仿宋_GB2312" w:eastAsia="仿宋_GB2312"/>
          <w:color w:val="auto"/>
          <w:spacing w:val="-6"/>
          <w:w w:val="100"/>
          <w:kern w:val="0"/>
          <w:sz w:val="28"/>
          <w:szCs w:val="28"/>
          <w:lang w:eastAsia="zh-CN"/>
        </w:rPr>
        <w:t>区住建局、工信局、自然资源局</w:t>
      </w:r>
      <w:r>
        <w:rPr>
          <w:rFonts w:hint="eastAsia" w:ascii="仿宋_GB2312" w:hAnsi="仿宋_GB2312" w:eastAsia="仿宋_GB2312" w:cs="仿宋_GB2312"/>
          <w:color w:val="auto"/>
          <w:spacing w:val="-6"/>
          <w:w w:val="100"/>
          <w:sz w:val="28"/>
          <w:szCs w:val="28"/>
        </w:rPr>
        <w:t>。</w:t>
      </w:r>
    </w:p>
    <w:p>
      <w:pPr>
        <w:keepNext w:val="0"/>
        <w:keepLines w:val="0"/>
        <w:pageBreakBefore w:val="0"/>
        <w:pBdr>
          <w:top w:val="single" w:color="auto" w:sz="8" w:space="1"/>
          <w:bottom w:val="single" w:color="auto" w:sz="12" w:space="1"/>
        </w:pBdr>
        <w:kinsoku/>
        <w:wordWrap/>
        <w:overflowPunct/>
        <w:topLinePunct w:val="0"/>
        <w:bidi w:val="0"/>
        <w:spacing w:line="560" w:lineRule="atLeast"/>
        <w:textAlignment w:val="auto"/>
        <w:rPr>
          <w:rFonts w:hint="eastAsia" w:ascii="楷体_GB2312" w:eastAsia="仿宋_GB2312"/>
          <w:color w:val="auto"/>
          <w:sz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泉州市洛江区文化体育和旅游局办公室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日印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发</w:t>
      </w:r>
    </w:p>
    <w:sectPr>
      <w:footerReference r:id="rId3" w:type="default"/>
      <w:footerReference r:id="rId4" w:type="even"/>
      <w:pgSz w:w="11906" w:h="16838"/>
      <w:pgMar w:top="1871" w:right="1304" w:bottom="1531" w:left="1304" w:header="851" w:footer="1247" w:gutter="0"/>
      <w:pgNumType w:fmt="numberInDash"/>
      <w:cols w:space="425" w:num="1"/>
      <w:docGrid w:type="linesAndChars" w:linePitch="610" w:charSpace="1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庞中华简体 V2007">
    <w:panose1 w:val="02000600000000000000"/>
    <w:charset w:val="86"/>
    <w:family w:val="auto"/>
    <w:pitch w:val="default"/>
    <w:sig w:usb0="FFFFFFFF" w:usb1="E9FFFFFF" w:usb2="0000003F" w:usb3="00000000" w:csb0="603F00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page" w:x="9586" w:y="7"/>
      <w:rPr>
        <w:rStyle w:val="10"/>
        <w:rFonts w:ascii="宋体" w:hAnsi="宋体"/>
        <w:sz w:val="28"/>
        <w:szCs w:val="28"/>
      </w:rPr>
    </w:pPr>
    <w:r>
      <w:rPr>
        <w:rStyle w:val="10"/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Style w:val="10"/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- 15 -</w:t>
    </w:r>
    <w:r>
      <w:rPr>
        <w:rStyle w:val="10"/>
        <w:rFonts w:ascii="宋体" w:hAnsi="宋体"/>
        <w:sz w:val="28"/>
        <w:szCs w:val="28"/>
      </w:rPr>
      <w:fldChar w:fldCharType="end"/>
    </w:r>
  </w:p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ind w:firstLine="280" w:firstLineChars="100"/>
      <w:rPr>
        <w:rStyle w:val="10"/>
        <w:rFonts w:ascii="宋体" w:hAnsi="宋体"/>
        <w:sz w:val="28"/>
        <w:szCs w:val="28"/>
      </w:rPr>
    </w:pPr>
    <w:r>
      <w:rPr>
        <w:rStyle w:val="10"/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Style w:val="10"/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- 16 -</w:t>
    </w:r>
    <w:r>
      <w:rPr>
        <w:rStyle w:val="10"/>
        <w:rFonts w:ascii="宋体" w:hAnsi="宋体"/>
        <w:sz w:val="28"/>
        <w:szCs w:val="28"/>
      </w:rPr>
      <w:fldChar w:fldCharType="end"/>
    </w:r>
  </w:p>
  <w:p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evenAndOddHeaders w:val="1"/>
  <w:drawingGridHorizontalSpacing w:val="211"/>
  <w:drawingGridVerticalSpacing w:val="30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4ED"/>
    <w:rsid w:val="000737B9"/>
    <w:rsid w:val="000A6FD5"/>
    <w:rsid w:val="000D07DD"/>
    <w:rsid w:val="000E7ED6"/>
    <w:rsid w:val="000F37AF"/>
    <w:rsid w:val="001324ED"/>
    <w:rsid w:val="00142B64"/>
    <w:rsid w:val="001448BD"/>
    <w:rsid w:val="00197E69"/>
    <w:rsid w:val="00275073"/>
    <w:rsid w:val="002D1A38"/>
    <w:rsid w:val="002F34E8"/>
    <w:rsid w:val="003010DA"/>
    <w:rsid w:val="00336FB3"/>
    <w:rsid w:val="00363CDE"/>
    <w:rsid w:val="00384C3D"/>
    <w:rsid w:val="003B4120"/>
    <w:rsid w:val="003B6F44"/>
    <w:rsid w:val="00467061"/>
    <w:rsid w:val="00483539"/>
    <w:rsid w:val="004C08F4"/>
    <w:rsid w:val="005715C8"/>
    <w:rsid w:val="005E5AFE"/>
    <w:rsid w:val="00674B4D"/>
    <w:rsid w:val="00696E54"/>
    <w:rsid w:val="006F36CB"/>
    <w:rsid w:val="007F27E0"/>
    <w:rsid w:val="00807125"/>
    <w:rsid w:val="00813B99"/>
    <w:rsid w:val="00820DFB"/>
    <w:rsid w:val="00820E96"/>
    <w:rsid w:val="00843CAD"/>
    <w:rsid w:val="00881DC1"/>
    <w:rsid w:val="00A113B0"/>
    <w:rsid w:val="00AB7BA3"/>
    <w:rsid w:val="00B45C15"/>
    <w:rsid w:val="00B766C6"/>
    <w:rsid w:val="00BB7C70"/>
    <w:rsid w:val="00C22318"/>
    <w:rsid w:val="00C43598"/>
    <w:rsid w:val="00C44DAE"/>
    <w:rsid w:val="00C714C1"/>
    <w:rsid w:val="00D034AD"/>
    <w:rsid w:val="00D447F4"/>
    <w:rsid w:val="00D72CF0"/>
    <w:rsid w:val="00DB39C9"/>
    <w:rsid w:val="00DC2590"/>
    <w:rsid w:val="00DC36DC"/>
    <w:rsid w:val="00EB1CAB"/>
    <w:rsid w:val="00ED114A"/>
    <w:rsid w:val="00F24589"/>
    <w:rsid w:val="00FB7457"/>
    <w:rsid w:val="1061667F"/>
    <w:rsid w:val="3BFF1794"/>
    <w:rsid w:val="3E7C3FFD"/>
    <w:rsid w:val="3FFF5100"/>
    <w:rsid w:val="4EE94484"/>
    <w:rsid w:val="4FFD56CF"/>
    <w:rsid w:val="562909B8"/>
    <w:rsid w:val="56FF9119"/>
    <w:rsid w:val="5EFC6A57"/>
    <w:rsid w:val="6BF4EB76"/>
    <w:rsid w:val="6E56E95A"/>
    <w:rsid w:val="75FD4E16"/>
    <w:rsid w:val="7F96B605"/>
    <w:rsid w:val="7FCFD71B"/>
    <w:rsid w:val="AAFFEBE4"/>
    <w:rsid w:val="B2B38891"/>
    <w:rsid w:val="B3FC6940"/>
    <w:rsid w:val="BAEB4121"/>
    <w:rsid w:val="BBF35797"/>
    <w:rsid w:val="CFFF5697"/>
    <w:rsid w:val="D3EE4E63"/>
    <w:rsid w:val="D75F754C"/>
    <w:rsid w:val="DFEF6D0B"/>
    <w:rsid w:val="EFFE728F"/>
    <w:rsid w:val="FE7B964B"/>
    <w:rsid w:val="FF763C4A"/>
    <w:rsid w:val="FFDF8A19"/>
    <w:rsid w:val="FFED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1"/>
    <w:qFormat/>
    <w:uiPriority w:val="99"/>
    <w:pPr>
      <w:ind w:firstLine="560" w:firstLineChars="200"/>
    </w:pPr>
    <w:rPr>
      <w:rFonts w:eastAsia="仿宋_GB2312"/>
      <w:sz w:val="28"/>
    </w:r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character" w:customStyle="1" w:styleId="11">
    <w:name w:val="正文文本缩进 Char"/>
    <w:basedOn w:val="8"/>
    <w:link w:val="3"/>
    <w:qFormat/>
    <w:uiPriority w:val="99"/>
    <w:rPr>
      <w:rFonts w:eastAsia="仿宋_GB2312"/>
      <w:kern w:val="2"/>
      <w:sz w:val="28"/>
      <w:szCs w:val="24"/>
    </w:rPr>
  </w:style>
  <w:style w:type="character" w:customStyle="1" w:styleId="12">
    <w:name w:val="批注框文本 Char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D:\home\user\C:\Users\lenovo1\AppData\Roaming\Microsoft\Templates\&#27849;&#27931;&#25919;&#21150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泉洛政办.dot</Template>
  <Company>微软中国</Company>
  <Pages>4</Pages>
  <Words>1945</Words>
  <Characters>1988</Characters>
  <Lines>42</Lines>
  <Paragraphs>11</Paragraphs>
  <TotalTime>14</TotalTime>
  <ScaleCrop>false</ScaleCrop>
  <LinksUpToDate>false</LinksUpToDate>
  <CharactersWithSpaces>2008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2026-01-31T17:41:00Z</dcterms:created>
  <dc:creator>lenovo1</dc:creator>
  <cp:lastModifiedBy>user</cp:lastModifiedBy>
  <cp:lastPrinted>2026-05-10T02:54:00Z</cp:lastPrinted>
  <dcterms:modified xsi:type="dcterms:W3CDTF">2026-09-03T09:53:25Z</dcterms:modified>
  <dc:title>泉洛政文〔20  〕  号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D906DFB51A68A78815D3986A566275A9</vt:lpwstr>
  </property>
  <property fmtid="{D5CDD505-2E9C-101B-9397-08002B2CF9AE}" pid="4" name="KSOTemplateDocerSaveRecord">
    <vt:lpwstr>eyJoZGlkIjoiYTg3NmFmYTdhYjJhN2I4YTdlMzE4NTVmNmNhMjZhMzQiLCJ1c2VySWQiOiIxMDA2Nzg4NjMwIn0=</vt:lpwstr>
  </property>
</Properties>
</file>