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pBdr>
          <w:bottom w:val="single" w:color="auto" w:sz="12" w:space="1"/>
        </w:pBdr>
        <w:kinsoku/>
        <w:wordWrap/>
        <w:overflowPunct/>
        <w:topLinePunct w:val="0"/>
        <w:autoSpaceDE w:val="0"/>
        <w:autoSpaceDN w:val="0"/>
        <w:bidi w:val="0"/>
        <w:adjustRightInd w:val="0"/>
        <w:spacing w:line="560" w:lineRule="atLeast"/>
        <w:jc w:val="center"/>
        <w:textAlignment w:val="auto"/>
        <w:rPr>
          <w:rFonts w:ascii="方正小标宋简体" w:eastAsia="方正小标宋简体"/>
          <w:kern w:val="0"/>
          <w:sz w:val="44"/>
        </w:rPr>
      </w:pPr>
      <w:r>
        <w:rPr>
          <w:rFonts w:hint="eastAsia" w:ascii="方正小标宋简体" w:eastAsia="方正小标宋简体"/>
          <w:kern w:val="0"/>
          <w:sz w:val="44"/>
        </w:rPr>
        <w:t>泉州市洛江区文化体育和旅游局（函）</w:t>
      </w:r>
    </w:p>
    <w:p>
      <w:pPr>
        <w:keepNext w:val="0"/>
        <w:keepLines w:val="0"/>
        <w:pageBreakBefore w:val="0"/>
        <w:widowControl w:val="0"/>
        <w:kinsoku/>
        <w:wordWrap/>
        <w:overflowPunct/>
        <w:topLinePunct w:val="0"/>
        <w:autoSpaceDE w:val="0"/>
        <w:autoSpaceDN w:val="0"/>
        <w:bidi w:val="0"/>
        <w:adjustRightInd w:val="0"/>
        <w:snapToGrid w:val="0"/>
        <w:spacing w:line="560" w:lineRule="exact"/>
        <w:jc w:val="right"/>
        <w:textAlignment w:val="auto"/>
        <w:rPr>
          <w:rFonts w:hint="eastAsia" w:ascii="仿宋_GB2312" w:eastAsia="仿宋_GB2312"/>
          <w:kern w:val="0"/>
          <w:sz w:val="32"/>
        </w:rPr>
      </w:pPr>
      <w:r>
        <w:rPr>
          <w:rFonts w:hint="eastAsia" w:ascii="仿宋_GB2312" w:eastAsia="仿宋_GB2312"/>
          <w:kern w:val="0"/>
          <w:sz w:val="32"/>
          <w:lang w:eastAsia="zh-CN"/>
        </w:rPr>
        <w:t>泉洛政文体旅</w:t>
      </w:r>
      <w:r>
        <w:rPr>
          <w:rFonts w:hint="eastAsia" w:ascii="仿宋_GB2312" w:eastAsia="仿宋_GB2312"/>
          <w:kern w:val="0"/>
          <w:sz w:val="32"/>
        </w:rPr>
        <w:t>函〔</w:t>
      </w:r>
      <w:r>
        <w:rPr>
          <w:rFonts w:ascii="仿宋_GB2312" w:eastAsia="仿宋_GB2312"/>
          <w:kern w:val="0"/>
          <w:sz w:val="32"/>
        </w:rPr>
        <w:t>202</w:t>
      </w:r>
      <w:r>
        <w:rPr>
          <w:rFonts w:hint="eastAsia" w:ascii="仿宋_GB2312" w:eastAsia="仿宋_GB2312"/>
          <w:kern w:val="0"/>
          <w:sz w:val="32"/>
          <w:lang w:val="en-US" w:eastAsia="zh-CN"/>
        </w:rPr>
        <w:t>6</w:t>
      </w:r>
      <w:r>
        <w:rPr>
          <w:rFonts w:hint="eastAsia" w:ascii="仿宋_GB2312" w:eastAsia="仿宋_GB2312"/>
          <w:kern w:val="0"/>
          <w:sz w:val="32"/>
        </w:rPr>
        <w:t>〕</w:t>
      </w:r>
      <w:r>
        <w:rPr>
          <w:rFonts w:hint="eastAsia" w:ascii="仿宋_GB2312" w:eastAsia="仿宋_GB2312"/>
          <w:kern w:val="0"/>
          <w:sz w:val="32"/>
          <w:lang w:val="en-US" w:eastAsia="zh-CN"/>
        </w:rPr>
        <w:t>70</w:t>
      </w:r>
      <w:r>
        <w:rPr>
          <w:rFonts w:hint="eastAsia" w:ascii="仿宋_GB2312" w:eastAsia="仿宋_GB2312"/>
          <w:kern w:val="0"/>
          <w:sz w:val="32"/>
        </w:rPr>
        <w:t>号</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5120" w:firstLineChars="1600"/>
        <w:jc w:val="left"/>
        <w:textAlignment w:val="auto"/>
        <w:rPr>
          <w:rFonts w:hint="eastAsia" w:ascii="仿宋_GB2312" w:eastAsia="仿宋_GB2312"/>
          <w:kern w:val="0"/>
          <w:sz w:val="24"/>
          <w:szCs w:val="24"/>
          <w:lang w:val="en-US" w:eastAsia="zh-CN"/>
        </w:rPr>
      </w:pPr>
      <w:r>
        <w:rPr>
          <w:rFonts w:hint="eastAsia" w:ascii="仿宋_GB2312" w:eastAsia="仿宋_GB2312"/>
          <w:kern w:val="0"/>
          <w:sz w:val="32"/>
        </w:rPr>
        <w:t>答复类别：</w:t>
      </w:r>
      <w:r>
        <w:rPr>
          <w:rFonts w:hint="eastAsia" w:ascii="仿宋_GB2312" w:eastAsia="仿宋_GB2312"/>
          <w:color w:val="auto"/>
          <w:kern w:val="0"/>
          <w:sz w:val="32"/>
          <w:szCs w:val="32"/>
          <w:lang w:val="en-US" w:eastAsia="zh-CN"/>
        </w:rPr>
        <w:t>B</w:t>
      </w:r>
    </w:p>
    <w:p>
      <w:pPr>
        <w:keepNext w:val="0"/>
        <w:keepLines w:val="0"/>
        <w:pageBreakBefore w:val="0"/>
        <w:widowControl w:val="0"/>
        <w:kinsoku/>
        <w:wordWrap/>
        <w:overflowPunct/>
        <w:topLinePunct w:val="0"/>
        <w:autoSpaceDE w:val="0"/>
        <w:autoSpaceDN w:val="0"/>
        <w:bidi w:val="0"/>
        <w:adjustRightInd w:val="0"/>
        <w:snapToGrid w:val="0"/>
        <w:spacing w:line="560" w:lineRule="exact"/>
        <w:jc w:val="left"/>
        <w:textAlignment w:val="auto"/>
        <w:rPr>
          <w:rFonts w:hint="eastAsia" w:ascii="方正小标宋简体" w:eastAsia="方正小标宋简体"/>
          <w:kern w:val="0"/>
          <w:sz w:val="44"/>
          <w:szCs w:val="44"/>
        </w:rPr>
      </w:pPr>
    </w:p>
    <w:p>
      <w:pPr>
        <w:autoSpaceDE w:val="0"/>
        <w:autoSpaceDN w:val="0"/>
        <w:adjustRightInd w:val="0"/>
        <w:snapToGrid w:val="0"/>
        <w:jc w:val="center"/>
        <w:rPr>
          <w:rFonts w:ascii="方正小标宋简体" w:eastAsia="方正小标宋简体"/>
          <w:kern w:val="0"/>
          <w:sz w:val="44"/>
          <w:szCs w:val="44"/>
        </w:rPr>
      </w:pPr>
      <w:bookmarkStart w:id="0" w:name="_GoBack"/>
      <w:r>
        <w:rPr>
          <w:rFonts w:hint="eastAsia" w:ascii="方正小标宋简体" w:eastAsia="方正小标宋简体"/>
          <w:kern w:val="0"/>
          <w:sz w:val="44"/>
          <w:szCs w:val="44"/>
        </w:rPr>
        <w:t>关于政协洛江区六届五次会议</w:t>
      </w:r>
    </w:p>
    <w:p>
      <w:pPr>
        <w:autoSpaceDE w:val="0"/>
        <w:autoSpaceDN w:val="0"/>
        <w:adjustRightInd w:val="0"/>
        <w:spacing w:line="640" w:lineRule="exact"/>
        <w:jc w:val="center"/>
        <w:rPr>
          <w:rFonts w:ascii="方正小标宋简体" w:eastAsia="方正小标宋简体"/>
          <w:kern w:val="0"/>
          <w:sz w:val="44"/>
          <w:szCs w:val="44"/>
        </w:rPr>
      </w:pPr>
      <w:r>
        <w:rPr>
          <w:rFonts w:hint="eastAsia" w:ascii="方正小标宋简体" w:eastAsia="方正小标宋简体"/>
          <w:kern w:val="0"/>
          <w:sz w:val="44"/>
          <w:szCs w:val="44"/>
        </w:rPr>
        <w:t>第</w:t>
      </w:r>
      <w:r>
        <w:rPr>
          <w:rFonts w:hint="eastAsia" w:ascii="方正小标宋简体" w:eastAsia="方正小标宋简体"/>
          <w:kern w:val="0"/>
          <w:sz w:val="44"/>
          <w:szCs w:val="44"/>
          <w:lang w:val="en-US" w:eastAsia="zh-CN"/>
        </w:rPr>
        <w:t>145</w:t>
      </w:r>
      <w:r>
        <w:rPr>
          <w:rFonts w:hint="eastAsia" w:ascii="方正小标宋简体" w:eastAsia="方正小标宋简体"/>
          <w:kern w:val="0"/>
          <w:sz w:val="44"/>
          <w:szCs w:val="44"/>
        </w:rPr>
        <w:t>号提案答复的函</w:t>
      </w:r>
    </w:p>
    <w:bookmarkEnd w:id="0"/>
    <w:p>
      <w:pPr>
        <w:autoSpaceDE w:val="0"/>
        <w:autoSpaceDN w:val="0"/>
        <w:adjustRightInd w:val="0"/>
        <w:snapToGrid w:val="0"/>
        <w:jc w:val="center"/>
        <w:rPr>
          <w:rFonts w:ascii="方正小标宋简体" w:eastAsia="方正小标宋简体"/>
          <w:kern w:val="0"/>
          <w:sz w:val="28"/>
          <w:szCs w:val="28"/>
        </w:rPr>
      </w:pPr>
    </w:p>
    <w:p>
      <w:pPr>
        <w:autoSpaceDE w:val="0"/>
        <w:autoSpaceDN w:val="0"/>
        <w:adjustRightInd w:val="0"/>
        <w:snapToGrid w:val="0"/>
        <w:spacing w:line="480" w:lineRule="exact"/>
        <w:jc w:val="left"/>
        <w:rPr>
          <w:rFonts w:ascii="仿宋_GB2312" w:eastAsia="仿宋_GB2312"/>
          <w:kern w:val="0"/>
          <w:sz w:val="32"/>
        </w:rPr>
      </w:pPr>
      <w:r>
        <w:rPr>
          <w:rFonts w:hint="eastAsia" w:ascii="仿宋_GB2312" w:eastAsia="仿宋_GB2312"/>
          <w:kern w:val="0"/>
          <w:sz w:val="32"/>
          <w:lang w:val="en-US" w:eastAsia="zh-CN"/>
        </w:rPr>
        <w:t>吕凌宁</w:t>
      </w:r>
      <w:r>
        <w:rPr>
          <w:rFonts w:hint="eastAsia" w:ascii="仿宋_GB2312" w:eastAsia="仿宋_GB2312"/>
          <w:kern w:val="0"/>
          <w:sz w:val="32"/>
          <w:lang w:eastAsia="zh-CN"/>
        </w:rPr>
        <w:t>委</w:t>
      </w:r>
      <w:r>
        <w:rPr>
          <w:rFonts w:hint="eastAsia" w:eastAsia="仿宋_GB2312"/>
          <w:color w:val="000000"/>
          <w:sz w:val="32"/>
          <w:szCs w:val="32"/>
          <w:lang w:eastAsia="zh-CN"/>
        </w:rPr>
        <w:t>员</w:t>
      </w:r>
      <w:r>
        <w:rPr>
          <w:rFonts w:hint="eastAsia" w:ascii="仿宋_GB2312" w:eastAsia="仿宋_GB2312"/>
          <w:kern w:val="0"/>
          <w:sz w:val="32"/>
        </w:rPr>
        <w:t>：</w:t>
      </w:r>
    </w:p>
    <w:p>
      <w:pPr>
        <w:keepNext w:val="0"/>
        <w:keepLines w:val="0"/>
        <w:pageBreakBefore w:val="0"/>
        <w:kinsoku/>
        <w:wordWrap/>
        <w:overflowPunct/>
        <w:topLinePunct w:val="0"/>
        <w:autoSpaceDE w:val="0"/>
        <w:autoSpaceDN w:val="0"/>
        <w:bidi w:val="0"/>
        <w:adjustRightInd w:val="0"/>
        <w:snapToGrid w:val="0"/>
        <w:spacing w:line="560" w:lineRule="exact"/>
        <w:ind w:firstLine="640" w:firstLineChars="200"/>
        <w:jc w:val="left"/>
        <w:textAlignment w:val="auto"/>
        <w:rPr>
          <w:rFonts w:hint="eastAsia" w:ascii="仿宋_GB2312" w:eastAsia="仿宋_GB2312"/>
          <w:kern w:val="0"/>
          <w:sz w:val="32"/>
          <w:lang w:eastAsia="zh-CN"/>
        </w:rPr>
      </w:pPr>
      <w:r>
        <w:rPr>
          <w:rFonts w:hint="eastAsia" w:ascii="仿宋_GB2312" w:hAnsi="仿宋_GB2312" w:eastAsia="仿宋_GB2312" w:cs="仿宋_GB2312"/>
          <w:kern w:val="0"/>
          <w:sz w:val="32"/>
          <w:szCs w:val="32"/>
          <w:lang w:eastAsia="zh-CN"/>
        </w:rPr>
        <w:t>您提出的《</w:t>
      </w:r>
      <w:r>
        <w:rPr>
          <w:rFonts w:hint="eastAsia" w:ascii="仿宋_GB2312" w:hAnsi="仿宋_GB2312" w:eastAsia="仿宋_GB2312" w:cs="仿宋_GB2312"/>
          <w:kern w:val="0"/>
          <w:sz w:val="32"/>
          <w:szCs w:val="32"/>
        </w:rPr>
        <w:t>关于创新推进万安片区公共功能场馆共建共享提升师生居民生活品质的</w:t>
      </w:r>
      <w:r>
        <w:rPr>
          <w:rFonts w:hint="eastAsia" w:ascii="仿宋_GB2312" w:hAnsi="仿宋_GB2312" w:eastAsia="仿宋_GB2312" w:cs="仿宋_GB2312"/>
          <w:kern w:val="0"/>
          <w:sz w:val="32"/>
          <w:szCs w:val="32"/>
          <w:lang w:eastAsia="zh-CN"/>
        </w:rPr>
        <w:t>建议》收悉，</w:t>
      </w:r>
      <w:r>
        <w:rPr>
          <w:rFonts w:hint="eastAsia" w:ascii="仿宋_GB2312" w:hAnsi="仿宋_GB2312" w:eastAsia="仿宋_GB2312" w:cs="仿宋_GB2312"/>
          <w:kern w:val="0"/>
          <w:sz w:val="32"/>
          <w:szCs w:val="32"/>
        </w:rPr>
        <w:t>感谢您对体育事业的关心和支持。</w:t>
      </w:r>
      <w:r>
        <w:rPr>
          <w:rFonts w:hint="eastAsia" w:ascii="仿宋_GB2312" w:eastAsia="仿宋_GB2312"/>
          <w:kern w:val="0"/>
          <w:sz w:val="32"/>
          <w:lang w:eastAsia="zh-CN"/>
        </w:rPr>
        <w:t>现答复如下：</w:t>
      </w:r>
    </w:p>
    <w:p>
      <w:pPr>
        <w:keepNext w:val="0"/>
        <w:keepLines w:val="0"/>
        <w:pageBreakBefore w:val="0"/>
        <w:widowControl/>
        <w:suppressLineNumbers w:val="0"/>
        <w:kinsoku/>
        <w:wordWrap/>
        <w:overflowPunct/>
        <w:topLinePunct w:val="0"/>
        <w:bidi w:val="0"/>
        <w:spacing w:line="560"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随着经济的发展和社会的进步，人民群众的生活水平和物质文化需求不断提高，人民群众的体育文化需求也越来越丰富多彩。建区以来，在区委、区政府直接领导下，在省、市体育主管部</w:t>
      </w:r>
      <w:r>
        <w:rPr>
          <w:rFonts w:hint="eastAsia" w:ascii="仿宋_GB2312" w:eastAsia="仿宋_GB2312"/>
          <w:kern w:val="0"/>
          <w:sz w:val="32"/>
        </w:rPr>
        <w:t>门的指导下，</w:t>
      </w:r>
      <w:r>
        <w:rPr>
          <w:rFonts w:hint="eastAsia" w:ascii="仿宋_GB2312" w:hAnsi="仿宋_GB2312" w:eastAsia="仿宋_GB2312" w:cs="仿宋_GB2312"/>
          <w:sz w:val="32"/>
          <w:szCs w:val="32"/>
          <w:lang w:val="en-US" w:eastAsia="zh-CN"/>
        </w:rPr>
        <w:t>区文体旅游局深入贯彻落实《全民健身条例》，扎实推进体育基础设施建设，广泛开展全民健身系列活动，持续壮大体育人口规模，全区全民健身事业稳步发展。</w:t>
      </w:r>
      <w:r>
        <w:rPr>
          <w:rFonts w:hint="eastAsia" w:ascii="仿宋_GB2312" w:hAnsi="仿宋_GB2312" w:eastAsia="仿宋_GB2312" w:cs="仿宋_GB2312"/>
          <w:sz w:val="32"/>
          <w:szCs w:val="32"/>
          <w:lang w:eastAsia="zh-CN"/>
        </w:rPr>
        <w:t>但是，</w:t>
      </w:r>
      <w:r>
        <w:rPr>
          <w:rFonts w:hint="eastAsia" w:ascii="仿宋_GB2312" w:hAnsi="仿宋_GB2312" w:eastAsia="仿宋_GB2312" w:cs="仿宋_GB2312"/>
          <w:sz w:val="32"/>
          <w:szCs w:val="32"/>
        </w:rPr>
        <w:t>相比其他地区，</w:t>
      </w:r>
      <w:r>
        <w:rPr>
          <w:rFonts w:hint="eastAsia" w:ascii="仿宋_GB2312" w:hAnsi="仿宋_GB2312" w:eastAsia="仿宋_GB2312" w:cs="仿宋_GB2312"/>
          <w:sz w:val="32"/>
          <w:szCs w:val="32"/>
          <w:lang w:eastAsia="zh-CN"/>
        </w:rPr>
        <w:t>我们还存在明显差距，</w:t>
      </w:r>
      <w:r>
        <w:rPr>
          <w:rFonts w:hint="eastAsia" w:ascii="仿宋_GB2312" w:hAnsi="仿宋_GB2312" w:eastAsia="仿宋_GB2312" w:cs="仿宋_GB2312"/>
          <w:sz w:val="32"/>
          <w:szCs w:val="32"/>
        </w:rPr>
        <w:t>主要</w:t>
      </w:r>
      <w:r>
        <w:rPr>
          <w:rFonts w:hint="eastAsia" w:ascii="仿宋_GB2312" w:hAnsi="仿宋_GB2312" w:eastAsia="仿宋_GB2312" w:cs="仿宋_GB2312"/>
          <w:sz w:val="32"/>
          <w:szCs w:val="32"/>
          <w:lang w:eastAsia="zh-CN"/>
        </w:rPr>
        <w:t>有</w:t>
      </w:r>
      <w:r>
        <w:rPr>
          <w:rFonts w:hint="eastAsia" w:ascii="仿宋_GB2312" w:hAnsi="仿宋_GB2312" w:eastAsia="仿宋_GB2312" w:cs="仿宋_GB2312"/>
          <w:sz w:val="32"/>
          <w:szCs w:val="32"/>
        </w:rPr>
        <w:t>以下几点困难：</w:t>
      </w:r>
      <w:r>
        <w:rPr>
          <w:rFonts w:hint="eastAsia" w:ascii="仿宋_GB2312" w:hAnsi="仿宋_GB2312" w:eastAsia="仿宋_GB2312" w:cs="仿宋_GB2312"/>
          <w:b/>
          <w:bCs/>
          <w:sz w:val="32"/>
          <w:szCs w:val="32"/>
        </w:rPr>
        <w:t>一是</w:t>
      </w:r>
      <w:r>
        <w:rPr>
          <w:rFonts w:hint="eastAsia" w:ascii="仿宋_GB2312" w:hAnsi="仿宋_GB2312" w:eastAsia="仿宋_GB2312" w:cs="仿宋_GB2312"/>
          <w:color w:val="000000"/>
          <w:sz w:val="32"/>
          <w:szCs w:val="32"/>
        </w:rPr>
        <w:t>资金投入仍然不足。在购买公共体育服务工程上投入较少，限制了提升政府公共体育服务的质量和效率。</w:t>
      </w:r>
      <w:r>
        <w:rPr>
          <w:rFonts w:hint="eastAsia" w:ascii="仿宋_GB2312" w:hAnsi="仿宋_GB2312" w:eastAsia="仿宋_GB2312" w:cs="仿宋_GB2312"/>
          <w:b/>
          <w:bCs/>
          <w:sz w:val="32"/>
          <w:szCs w:val="32"/>
        </w:rPr>
        <w:t>二是</w:t>
      </w:r>
      <w:r>
        <w:rPr>
          <w:rFonts w:hint="eastAsia" w:ascii="仿宋_GB2312" w:hAnsi="仿宋_GB2312" w:eastAsia="仿宋_GB2312" w:cs="仿宋_GB2312"/>
          <w:color w:val="000000"/>
          <w:sz w:val="32"/>
          <w:szCs w:val="32"/>
        </w:rPr>
        <w:t>场地设施建设仍有差距。现有体育场地设施还不能完全满足群众开展多层面、全方位体育锻炼的需求。</w:t>
      </w:r>
      <w:r>
        <w:rPr>
          <w:rFonts w:hint="eastAsia" w:ascii="仿宋_GB2312" w:hAnsi="仿宋_GB2312" w:eastAsia="仿宋_GB2312" w:cs="仿宋_GB2312"/>
          <w:b/>
          <w:bCs/>
          <w:sz w:val="32"/>
          <w:szCs w:val="32"/>
        </w:rPr>
        <w:t>三是</w:t>
      </w:r>
      <w:r>
        <w:rPr>
          <w:rFonts w:hint="eastAsia" w:ascii="仿宋_GB2312" w:hAnsi="仿宋_GB2312" w:eastAsia="仿宋_GB2312" w:cs="仿宋_GB2312"/>
          <w:color w:val="000000"/>
          <w:sz w:val="32"/>
          <w:szCs w:val="32"/>
        </w:rPr>
        <w:t>缺乏体育技术人员编制。无法吸收有专业技能的体育人才，体育工作开展困难。</w:t>
      </w:r>
    </w:p>
    <w:p>
      <w:pPr>
        <w:keepNext w:val="0"/>
        <w:keepLines w:val="0"/>
        <w:pageBreakBefore w:val="0"/>
        <w:kinsoku/>
        <w:wordWrap/>
        <w:overflowPunct/>
        <w:topLinePunct w:val="0"/>
        <w:bidi w:val="0"/>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下一步，我们将根据您的建议并结合洛江实际做好以下几方面的工作：</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sz w:val="32"/>
        </w:rPr>
      </w:pPr>
      <w:r>
        <w:rPr>
          <w:rFonts w:hint="eastAsia" w:ascii="楷体_GB2312" w:hAnsi="楷体_GB2312" w:eastAsia="楷体_GB2312" w:cs="楷体_GB2312"/>
          <w:b/>
          <w:bCs/>
          <w:sz w:val="32"/>
          <w:szCs w:val="32"/>
          <w:lang w:eastAsia="zh-CN"/>
        </w:rPr>
        <w:t>一</w:t>
      </w:r>
      <w:r>
        <w:rPr>
          <w:rFonts w:hint="eastAsia" w:ascii="楷体_GB2312" w:hAnsi="楷体_GB2312" w:eastAsia="楷体_GB2312" w:cs="楷体_GB2312"/>
          <w:b/>
          <w:bCs/>
          <w:sz w:val="32"/>
          <w:szCs w:val="32"/>
        </w:rPr>
        <w:t>、推动</w:t>
      </w:r>
      <w:r>
        <w:rPr>
          <w:rFonts w:hint="eastAsia" w:ascii="楷体_GB2312" w:hAnsi="楷体_GB2312" w:eastAsia="楷体_GB2312" w:cs="楷体_GB2312"/>
          <w:b/>
          <w:bCs/>
          <w:sz w:val="32"/>
          <w:szCs w:val="32"/>
          <w:lang w:eastAsia="zh-CN"/>
        </w:rPr>
        <w:t>场地设施</w:t>
      </w:r>
      <w:r>
        <w:rPr>
          <w:rFonts w:hint="eastAsia" w:ascii="楷体_GB2312" w:hAnsi="楷体_GB2312" w:eastAsia="楷体_GB2312" w:cs="楷体_GB2312"/>
          <w:b/>
          <w:bCs/>
          <w:sz w:val="32"/>
          <w:szCs w:val="32"/>
        </w:rPr>
        <w:t>开放共享</w:t>
      </w:r>
      <w:r>
        <w:rPr>
          <w:rFonts w:hint="eastAsia" w:ascii="楷体_GB2312" w:hAnsi="楷体_GB2312" w:eastAsia="楷体_GB2312" w:cs="楷体_GB2312"/>
          <w:b/>
          <w:bCs/>
          <w:sz w:val="32"/>
          <w:szCs w:val="32"/>
          <w:lang w:eastAsia="zh-CN"/>
        </w:rPr>
        <w:t>。</w:t>
      </w:r>
      <w:r>
        <w:rPr>
          <w:rFonts w:hint="eastAsia" w:ascii="仿宋_GB2312" w:eastAsia="仿宋_GB2312"/>
          <w:sz w:val="32"/>
        </w:rPr>
        <w:t>落实《关于加强公共场所全民健身器材配建管理工作的意见》，完善“建管并重”长效机制，提高公共体育设施管理水平和使用效率。推动企事业单位、其他系统存量体育场地对外开放，推进符合开放条件的学校体育设施安全有序开放。</w:t>
      </w:r>
      <w:r>
        <w:rPr>
          <w:rFonts w:hint="eastAsia" w:ascii="仿宋_GB2312" w:eastAsia="仿宋_GB2312"/>
          <w:sz w:val="32"/>
          <w:lang w:val="en-US" w:eastAsia="zh-CN"/>
        </w:rPr>
        <w:t>鼓励具备资质、专业能力强的机构承接学校体育场馆对外开放运营工作，优化场地管理、设施维护等配套服务，全面提升体育场地开放服务质量。</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楷体_GB2312" w:hAnsi="楷体_GB2312" w:eastAsia="楷体_GB2312" w:cs="楷体_GB2312"/>
          <w:b/>
          <w:bCs/>
          <w:sz w:val="32"/>
          <w:szCs w:val="32"/>
          <w:lang w:eastAsia="zh-CN"/>
        </w:rPr>
        <w:t>二</w:t>
      </w:r>
      <w:r>
        <w:rPr>
          <w:rFonts w:hint="eastAsia" w:ascii="楷体_GB2312" w:hAnsi="楷体_GB2312" w:eastAsia="楷体_GB2312" w:cs="楷体_GB2312"/>
          <w:b/>
          <w:bCs/>
          <w:sz w:val="32"/>
          <w:szCs w:val="32"/>
        </w:rPr>
        <w:t>、完善全民健身设施补短板工程。</w:t>
      </w:r>
      <w:r>
        <w:rPr>
          <w:rFonts w:hint="eastAsia" w:ascii="仿宋_GB2312" w:hAnsi="仿宋_GB2312" w:eastAsia="仿宋_GB2312" w:cs="仿宋_GB2312"/>
          <w:kern w:val="0"/>
          <w:sz w:val="32"/>
          <w:szCs w:val="32"/>
        </w:rPr>
        <w:t>聚焦产城人融合，推动“一场两馆”建设</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将标准化综合体育馆、游泳馆等重点体育设施项目纳入全区国土空间规划与民生项目储备，补齐区级大型公共体育场馆短板。</w:t>
      </w:r>
      <w:r>
        <w:rPr>
          <w:rFonts w:hint="eastAsia" w:ascii="仿宋_GB2312" w:hAnsi="仿宋_GB2312" w:eastAsia="仿宋_GB2312" w:cs="仿宋_GB2312"/>
          <w:kern w:val="0"/>
          <w:sz w:val="32"/>
          <w:szCs w:val="32"/>
        </w:rPr>
        <w:t>系统梳理城市空闲地、边角地等可用于建设全民健身设施的空间资源，全力完成全民</w:t>
      </w:r>
      <w:r>
        <w:rPr>
          <w:rFonts w:hint="eastAsia" w:ascii="仿宋_GB2312" w:eastAsia="仿宋_GB2312"/>
          <w:sz w:val="32"/>
        </w:rPr>
        <w:t>健身设施补短板指</w:t>
      </w:r>
      <w:r>
        <w:rPr>
          <w:rFonts w:hint="eastAsia" w:ascii="仿宋_GB2312" w:hAnsi="仿宋_GB2312" w:eastAsia="仿宋_GB2312" w:cs="仿宋_GB2312"/>
          <w:kern w:val="0"/>
          <w:sz w:val="32"/>
          <w:szCs w:val="32"/>
        </w:rPr>
        <w:t>标，重点补齐乡镇（街道）、村（社区）集中片区、老旧小区等健身设施短板</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夯实全民健身硬件基础。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楷体_GB2312" w:hAnsi="楷体_GB2312" w:eastAsia="楷体_GB2312" w:cs="楷体_GB2312"/>
          <w:b/>
          <w:bCs/>
          <w:sz w:val="32"/>
          <w:szCs w:val="32"/>
          <w:lang w:val="en-US" w:eastAsia="zh-CN"/>
        </w:rPr>
        <w:t>三、健全管理运行机制。</w:t>
      </w:r>
      <w:r>
        <w:rPr>
          <w:rFonts w:hint="eastAsia" w:ascii="仿宋_GB2312" w:hAnsi="仿宋_GB2312" w:eastAsia="仿宋_GB2312" w:cs="仿宋_GB2312"/>
          <w:kern w:val="0"/>
          <w:sz w:val="32"/>
          <w:szCs w:val="32"/>
          <w:lang w:val="en-US" w:eastAsia="zh-CN"/>
        </w:rPr>
        <w:t>建立健全规范化、常态化的全民健身场地设施管理运行体系，</w:t>
      </w:r>
      <w:r>
        <w:rPr>
          <w:rFonts w:hint="default" w:ascii="仿宋_GB2312" w:eastAsia="仿宋_GB2312"/>
          <w:sz w:val="32"/>
          <w:lang w:val="en-US" w:eastAsia="zh-CN"/>
        </w:rPr>
        <w:t>明确属地管理责任和产权单位维护责任</w:t>
      </w:r>
      <w:r>
        <w:rPr>
          <w:rFonts w:hint="eastAsia" w:ascii="仿宋_GB2312" w:hAnsi="仿宋_GB2312" w:eastAsia="仿宋_GB2312" w:cs="仿宋_GB2312"/>
          <w:kern w:val="0"/>
          <w:sz w:val="32"/>
          <w:szCs w:val="32"/>
          <w:lang w:val="en-US" w:eastAsia="zh-CN"/>
        </w:rPr>
        <w:t>，统筹抓好公共体育场地设施管护与场地对外开放管理工作。健全便民服务与监督考核机制，</w:t>
      </w:r>
      <w:r>
        <w:rPr>
          <w:rFonts w:hint="default" w:ascii="仿宋_GB2312" w:hAnsi="仿宋_GB2312" w:eastAsia="仿宋_GB2312" w:cs="仿宋_GB2312"/>
          <w:kern w:val="0"/>
          <w:sz w:val="32"/>
          <w:szCs w:val="32"/>
          <w:lang w:val="en-US" w:eastAsia="zh-CN"/>
        </w:rPr>
        <w:t>畅通群众反馈渠道，</w:t>
      </w:r>
      <w:r>
        <w:rPr>
          <w:rFonts w:hint="eastAsia" w:ascii="仿宋_GB2312" w:hAnsi="仿宋_GB2312" w:eastAsia="仿宋_GB2312" w:cs="仿宋_GB2312"/>
          <w:kern w:val="0"/>
          <w:sz w:val="32"/>
          <w:szCs w:val="32"/>
          <w:lang w:val="en-US" w:eastAsia="zh-CN"/>
        </w:rPr>
        <w:t>将健身设施使用效能、场地开放服务质量、群众满意度等指标纳入相关单位年度考核评价体系，切实确保全民健身设施建得好、管得住、用得上。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四、强化资金统筹保障。</w:t>
      </w:r>
      <w:r>
        <w:rPr>
          <w:rFonts w:hint="eastAsia" w:ascii="仿宋_GB2312" w:hAnsi="仿宋_GB2312" w:eastAsia="仿宋_GB2312" w:cs="仿宋_GB2312"/>
          <w:kern w:val="0"/>
          <w:sz w:val="32"/>
          <w:szCs w:val="32"/>
          <w:lang w:val="en-US" w:eastAsia="zh-CN"/>
        </w:rPr>
        <w:t>建立健全政府主导、社会力量广泛参与的全民健身场地经费</w:t>
      </w:r>
      <w:r>
        <w:rPr>
          <w:rFonts w:hint="eastAsia" w:ascii="仿宋_GB2312" w:eastAsia="仿宋_GB2312"/>
          <w:sz w:val="32"/>
        </w:rPr>
        <w:t>投入机制，</w:t>
      </w:r>
      <w:r>
        <w:rPr>
          <w:rFonts w:hint="eastAsia" w:ascii="仿宋_GB2312" w:hAnsi="仿宋_GB2312" w:eastAsia="仿宋_GB2312" w:cs="仿宋_GB2312"/>
          <w:sz w:val="32"/>
          <w:szCs w:val="32"/>
          <w:lang w:val="en-US" w:eastAsia="zh-CN"/>
        </w:rPr>
        <w:t>持续加大公共财政倾斜力度，重点保障公共体育设施建设、日常管护、开放运营、器材更新等工作经费支出。积极拓宽资金来源渠道，</w:t>
      </w:r>
      <w:r>
        <w:rPr>
          <w:rFonts w:hint="eastAsia" w:ascii="仿宋_GB2312" w:hAnsi="仿宋_GB2312" w:eastAsia="仿宋_GB2312" w:cs="仿宋_GB2312"/>
          <w:sz w:val="32"/>
          <w:szCs w:val="32"/>
        </w:rPr>
        <w:t>引导社会力</w:t>
      </w:r>
      <w:r>
        <w:rPr>
          <w:rFonts w:hint="eastAsia" w:ascii="仿宋_GB2312" w:hAnsi="仿宋_GB2312" w:eastAsia="仿宋_GB2312" w:cs="仿宋_GB2312"/>
          <w:sz w:val="32"/>
          <w:szCs w:val="32"/>
          <w:lang w:val="en-US" w:eastAsia="zh-CN"/>
        </w:rPr>
        <w:t>量投入，出台优惠政策鼓励企事业单位、社会团体和个人以出资的形式支持全民健身基础设施建设和体育公共服务发展。</w:t>
      </w:r>
    </w:p>
    <w:p>
      <w:pPr>
        <w:keepNext w:val="0"/>
        <w:keepLines w:val="0"/>
        <w:pageBreakBefore w:val="0"/>
        <w:kinsoku/>
        <w:wordWrap/>
        <w:overflowPunct/>
        <w:topLinePunct w:val="0"/>
        <w:autoSpaceDE w:val="0"/>
        <w:autoSpaceDN w:val="0"/>
        <w:bidi w:val="0"/>
        <w:adjustRightInd w:val="0"/>
        <w:snapToGrid w:val="0"/>
        <w:spacing w:line="560" w:lineRule="exact"/>
        <w:ind w:firstLine="640" w:firstLineChars="200"/>
        <w:jc w:val="left"/>
        <w:textAlignment w:val="auto"/>
        <w:rPr>
          <w:rFonts w:hint="eastAsia" w:ascii="仿宋_GB2312" w:eastAsia="仿宋_GB2312"/>
          <w:kern w:val="0"/>
          <w:sz w:val="32"/>
          <w:lang w:eastAsia="zh-CN"/>
        </w:rPr>
      </w:pPr>
      <w:r>
        <w:rPr>
          <w:rFonts w:hint="eastAsia" w:ascii="仿宋_GB2312" w:eastAsia="仿宋_GB2312"/>
          <w:kern w:val="0"/>
          <w:sz w:val="32"/>
          <w:lang w:eastAsia="zh-CN"/>
        </w:rPr>
        <w:t>主要领</w:t>
      </w:r>
      <w:r>
        <w:rPr>
          <w:rFonts w:hint="eastAsia" w:ascii="仿宋_GB2312" w:eastAsia="仿宋_GB2312"/>
          <w:kern w:val="0"/>
          <w:sz w:val="32"/>
        </w:rPr>
        <w:t>导：</w:t>
      </w:r>
      <w:r>
        <w:rPr>
          <w:rFonts w:hint="eastAsia" w:ascii="仿宋_GB2312" w:eastAsia="仿宋_GB2312"/>
          <w:kern w:val="0"/>
          <w:sz w:val="32"/>
          <w:lang w:eastAsia="zh-CN"/>
        </w:rPr>
        <w:t>张志龙</w:t>
      </w:r>
    </w:p>
    <w:p>
      <w:pPr>
        <w:keepNext w:val="0"/>
        <w:keepLines w:val="0"/>
        <w:pageBreakBefore w:val="0"/>
        <w:kinsoku/>
        <w:wordWrap/>
        <w:overflowPunct/>
        <w:topLinePunct w:val="0"/>
        <w:autoSpaceDE w:val="0"/>
        <w:autoSpaceDN w:val="0"/>
        <w:bidi w:val="0"/>
        <w:adjustRightInd w:val="0"/>
        <w:snapToGrid w:val="0"/>
        <w:spacing w:line="560" w:lineRule="exact"/>
        <w:ind w:firstLine="640" w:firstLineChars="200"/>
        <w:jc w:val="left"/>
        <w:textAlignment w:val="auto"/>
        <w:rPr>
          <w:rFonts w:hint="eastAsia" w:ascii="仿宋_GB2312" w:eastAsia="仿宋_GB2312"/>
          <w:kern w:val="0"/>
          <w:sz w:val="32"/>
          <w:lang w:eastAsia="zh-CN"/>
        </w:rPr>
      </w:pPr>
      <w:r>
        <w:rPr>
          <w:rFonts w:hint="eastAsia" w:ascii="仿宋_GB2312" w:eastAsia="仿宋_GB2312"/>
          <w:kern w:val="0"/>
          <w:sz w:val="32"/>
        </w:rPr>
        <w:t>分管领导：</w:t>
      </w:r>
      <w:r>
        <w:rPr>
          <w:rFonts w:hint="eastAsia" w:ascii="仿宋_GB2312" w:eastAsia="仿宋_GB2312"/>
          <w:kern w:val="0"/>
          <w:sz w:val="32"/>
          <w:lang w:eastAsia="zh-CN"/>
        </w:rPr>
        <w:t>薛朝军</w:t>
      </w:r>
    </w:p>
    <w:p>
      <w:pPr>
        <w:keepNext w:val="0"/>
        <w:keepLines w:val="0"/>
        <w:pageBreakBefore w:val="0"/>
        <w:kinsoku/>
        <w:wordWrap/>
        <w:overflowPunct/>
        <w:topLinePunct w:val="0"/>
        <w:autoSpaceDE w:val="0"/>
        <w:autoSpaceDN w:val="0"/>
        <w:bidi w:val="0"/>
        <w:adjustRightInd w:val="0"/>
        <w:spacing w:line="560" w:lineRule="exact"/>
        <w:ind w:firstLine="640" w:firstLineChars="200"/>
        <w:jc w:val="left"/>
        <w:textAlignment w:val="auto"/>
        <w:rPr>
          <w:rFonts w:hint="eastAsia" w:ascii="仿宋_GB2312" w:eastAsia="仿宋_GB2312"/>
          <w:kern w:val="0"/>
          <w:sz w:val="32"/>
          <w:lang w:eastAsia="zh-CN"/>
        </w:rPr>
      </w:pPr>
      <w:r>
        <w:rPr>
          <w:rFonts w:hint="eastAsia" w:ascii="仿宋_GB2312" w:eastAsia="仿宋_GB2312"/>
          <w:kern w:val="0"/>
          <w:sz w:val="32"/>
        </w:rPr>
        <w:t>经办人员：</w:t>
      </w:r>
      <w:r>
        <w:rPr>
          <w:rFonts w:hint="eastAsia" w:ascii="仿宋_GB2312" w:eastAsia="仿宋_GB2312"/>
          <w:kern w:val="0"/>
          <w:sz w:val="32"/>
          <w:lang w:eastAsia="zh-CN"/>
        </w:rPr>
        <w:t>陈</w:t>
      </w:r>
      <w:r>
        <w:rPr>
          <w:rFonts w:hint="eastAsia" w:ascii="仿宋_GB2312" w:eastAsia="仿宋_GB2312"/>
          <w:kern w:val="0"/>
          <w:sz w:val="32"/>
          <w:lang w:val="en-US" w:eastAsia="zh-CN"/>
        </w:rPr>
        <w:t xml:space="preserve">  </w:t>
      </w:r>
      <w:r>
        <w:rPr>
          <w:rFonts w:hint="eastAsia" w:ascii="仿宋_GB2312" w:eastAsia="仿宋_GB2312"/>
          <w:kern w:val="0"/>
          <w:sz w:val="32"/>
          <w:lang w:eastAsia="zh-CN"/>
        </w:rPr>
        <w:t>霖</w:t>
      </w:r>
    </w:p>
    <w:p>
      <w:pPr>
        <w:keepNext w:val="0"/>
        <w:keepLines w:val="0"/>
        <w:pageBreakBefore w:val="0"/>
        <w:kinsoku/>
        <w:wordWrap/>
        <w:overflowPunct/>
        <w:topLinePunct w:val="0"/>
        <w:autoSpaceDE w:val="0"/>
        <w:autoSpaceDN w:val="0"/>
        <w:bidi w:val="0"/>
        <w:adjustRightInd w:val="0"/>
        <w:spacing w:line="560" w:lineRule="exact"/>
        <w:ind w:firstLine="640" w:firstLineChars="200"/>
        <w:jc w:val="left"/>
        <w:textAlignment w:val="auto"/>
        <w:rPr>
          <w:rFonts w:hint="default" w:ascii="仿宋_GB2312" w:eastAsia="仿宋_GB2312"/>
          <w:kern w:val="0"/>
          <w:sz w:val="32"/>
          <w:lang w:val="en-US" w:eastAsia="zh-CN"/>
        </w:rPr>
      </w:pPr>
      <w:r>
        <w:rPr>
          <w:rFonts w:hint="eastAsia" w:ascii="仿宋_GB2312" w:eastAsia="仿宋_GB2312"/>
          <w:kern w:val="0"/>
          <w:sz w:val="32"/>
        </w:rPr>
        <w:t>联系电话：</w:t>
      </w:r>
      <w:r>
        <w:rPr>
          <w:rFonts w:hint="eastAsia" w:ascii="仿宋_GB2312" w:eastAsia="仿宋_GB2312"/>
          <w:kern w:val="0"/>
          <w:sz w:val="32"/>
          <w:lang w:val="en-US" w:eastAsia="zh-CN"/>
        </w:rPr>
        <w:t>22631072</w:t>
      </w:r>
    </w:p>
    <w:p>
      <w:pPr>
        <w:keepNext w:val="0"/>
        <w:keepLines w:val="0"/>
        <w:pageBreakBefore w:val="0"/>
        <w:widowControl w:val="0"/>
        <w:kinsoku/>
        <w:wordWrap/>
        <w:overflowPunct/>
        <w:topLinePunct w:val="0"/>
        <w:autoSpaceDE w:val="0"/>
        <w:autoSpaceDN w:val="0"/>
        <w:bidi w:val="0"/>
        <w:adjustRightInd w:val="0"/>
        <w:snapToGrid/>
        <w:spacing w:line="560" w:lineRule="exact"/>
        <w:jc w:val="left"/>
        <w:textAlignment w:val="auto"/>
        <w:rPr>
          <w:rFonts w:hint="eastAsia" w:ascii="仿宋_GB2312" w:eastAsia="仿宋_GB2312"/>
          <w:kern w:val="0"/>
          <w:sz w:val="32"/>
        </w:rPr>
      </w:pPr>
    </w:p>
    <w:p>
      <w:pPr>
        <w:spacing w:line="480" w:lineRule="exact"/>
        <w:ind w:firstLine="280" w:firstLineChars="100"/>
        <w:rPr>
          <w:rFonts w:hint="eastAsia" w:ascii="仿宋_GB2312" w:eastAsia="仿宋_GB2312"/>
          <w:color w:val="FF0000"/>
          <w:kern w:val="0"/>
          <w:sz w:val="28"/>
          <w:szCs w:val="28"/>
        </w:rPr>
      </w:pPr>
    </w:p>
    <w:p>
      <w:pPr>
        <w:keepNext w:val="0"/>
        <w:keepLines w:val="0"/>
        <w:pageBreakBefore w:val="0"/>
        <w:widowControl w:val="0"/>
        <w:kinsoku/>
        <w:wordWrap/>
        <w:overflowPunct/>
        <w:topLinePunct w:val="0"/>
        <w:autoSpaceDE w:val="0"/>
        <w:autoSpaceDN w:val="0"/>
        <w:bidi w:val="0"/>
        <w:adjustRightInd w:val="0"/>
        <w:spacing w:line="560" w:lineRule="exact"/>
        <w:ind w:firstLine="4480" w:firstLineChars="1400"/>
        <w:jc w:val="left"/>
        <w:textAlignment w:val="auto"/>
        <w:rPr>
          <w:rFonts w:hint="eastAsia" w:ascii="仿宋_GB2312" w:eastAsia="仿宋_GB2312"/>
          <w:kern w:val="0"/>
          <w:sz w:val="32"/>
          <w:lang w:val="en-US" w:eastAsia="zh-CN"/>
        </w:rPr>
      </w:pPr>
      <w:r>
        <w:rPr>
          <w:rFonts w:hint="eastAsia" w:ascii="仿宋_GB2312" w:eastAsia="仿宋_GB2312"/>
          <w:kern w:val="0"/>
          <w:sz w:val="32"/>
        </w:rPr>
        <w:t>泉州市洛江区文化体育和旅游</w:t>
      </w:r>
      <w:r>
        <w:rPr>
          <w:rFonts w:hint="eastAsia" w:ascii="仿宋_GB2312" w:eastAsia="仿宋_GB2312"/>
          <w:kern w:val="0"/>
          <w:sz w:val="32"/>
          <w:lang w:eastAsia="zh-CN"/>
        </w:rPr>
        <w:t>局</w:t>
      </w:r>
    </w:p>
    <w:p>
      <w:pPr>
        <w:keepNext w:val="0"/>
        <w:keepLines w:val="0"/>
        <w:pageBreakBefore w:val="0"/>
        <w:widowControl w:val="0"/>
        <w:kinsoku/>
        <w:wordWrap/>
        <w:overflowPunct/>
        <w:topLinePunct w:val="0"/>
        <w:autoSpaceDE w:val="0"/>
        <w:autoSpaceDN w:val="0"/>
        <w:bidi w:val="0"/>
        <w:adjustRightInd w:val="0"/>
        <w:spacing w:line="560" w:lineRule="exact"/>
        <w:ind w:firstLine="6400" w:firstLineChars="2000"/>
        <w:jc w:val="left"/>
        <w:textAlignment w:val="auto"/>
        <w:rPr>
          <w:rFonts w:hint="eastAsia" w:ascii="仿宋_GB2312" w:eastAsia="仿宋_GB2312"/>
          <w:kern w:val="0"/>
          <w:sz w:val="32"/>
        </w:rPr>
      </w:pPr>
      <w:r>
        <w:rPr>
          <w:rFonts w:hint="eastAsia" w:ascii="仿宋_GB2312" w:eastAsia="仿宋_GB2312"/>
          <w:kern w:val="0"/>
          <w:sz w:val="32"/>
        </w:rPr>
        <w:t>202</w:t>
      </w:r>
      <w:r>
        <w:rPr>
          <w:rFonts w:hint="eastAsia" w:ascii="仿宋_GB2312" w:eastAsia="仿宋_GB2312"/>
          <w:kern w:val="0"/>
          <w:sz w:val="32"/>
          <w:lang w:val="en-US" w:eastAsia="zh-CN"/>
        </w:rPr>
        <w:t>6</w:t>
      </w:r>
      <w:r>
        <w:rPr>
          <w:rFonts w:hint="eastAsia" w:ascii="仿宋_GB2312" w:eastAsia="仿宋_GB2312"/>
          <w:kern w:val="0"/>
          <w:sz w:val="32"/>
        </w:rPr>
        <w:t>年</w:t>
      </w:r>
      <w:r>
        <w:rPr>
          <w:rFonts w:hint="eastAsia" w:ascii="仿宋_GB2312" w:eastAsia="仿宋_GB2312"/>
          <w:kern w:val="0"/>
          <w:sz w:val="32"/>
          <w:lang w:val="en-US" w:eastAsia="zh-CN"/>
        </w:rPr>
        <w:t>8</w:t>
      </w:r>
      <w:r>
        <w:rPr>
          <w:rFonts w:hint="eastAsia" w:ascii="仿宋_GB2312" w:eastAsia="仿宋_GB2312"/>
          <w:kern w:val="0"/>
          <w:sz w:val="32"/>
        </w:rPr>
        <w:t>月</w:t>
      </w:r>
      <w:r>
        <w:rPr>
          <w:rFonts w:hint="eastAsia" w:ascii="仿宋_GB2312" w:eastAsia="仿宋_GB2312"/>
          <w:kern w:val="0"/>
          <w:sz w:val="32"/>
          <w:lang w:val="en-US" w:eastAsia="zh-CN"/>
        </w:rPr>
        <w:t>25</w:t>
      </w:r>
      <w:r>
        <w:rPr>
          <w:rFonts w:hint="eastAsia" w:ascii="仿宋_GB2312" w:eastAsia="仿宋_GB2312"/>
          <w:kern w:val="0"/>
          <w:sz w:val="32"/>
        </w:rPr>
        <w:t>日</w:t>
      </w:r>
    </w:p>
    <w:p>
      <w:pPr>
        <w:keepNext w:val="0"/>
        <w:keepLines w:val="0"/>
        <w:pageBreakBefore w:val="0"/>
        <w:widowControl w:val="0"/>
        <w:kinsoku/>
        <w:wordWrap/>
        <w:overflowPunct/>
        <w:topLinePunct w:val="0"/>
        <w:autoSpaceDE w:val="0"/>
        <w:autoSpaceDN w:val="0"/>
        <w:bidi w:val="0"/>
        <w:adjustRightInd w:val="0"/>
        <w:spacing w:line="560" w:lineRule="exact"/>
        <w:ind w:firstLine="6400" w:firstLineChars="2000"/>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ind w:firstLine="6400" w:firstLineChars="2000"/>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ind w:firstLine="6400" w:firstLineChars="2000"/>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ind w:firstLine="6400" w:firstLineChars="2000"/>
        <w:jc w:val="left"/>
        <w:textAlignment w:val="auto"/>
        <w:rPr>
          <w:rFonts w:hint="eastAsia" w:ascii="仿宋_GB2312" w:eastAsia="仿宋_GB2312"/>
          <w:kern w:val="0"/>
          <w:sz w:val="32"/>
        </w:rPr>
      </w:pPr>
    </w:p>
    <w:p>
      <w:pPr>
        <w:keepNext w:val="0"/>
        <w:keepLines w:val="0"/>
        <w:pageBreakBefore w:val="0"/>
        <w:pBdr>
          <w:top w:val="single" w:color="auto" w:sz="12" w:space="1"/>
        </w:pBdr>
        <w:tabs>
          <w:tab w:val="left" w:pos="720"/>
        </w:tabs>
        <w:kinsoku/>
        <w:wordWrap/>
        <w:overflowPunct/>
        <w:topLinePunct w:val="0"/>
        <w:bidi w:val="0"/>
        <w:spacing w:line="560" w:lineRule="atLeast"/>
        <w:ind w:firstLine="280" w:firstLineChars="100"/>
        <w:textAlignment w:val="auto"/>
        <w:rPr>
          <w:rFonts w:hint="eastAsia" w:ascii="仿宋_GB2312" w:eastAsia="仿宋_GB2312"/>
          <w:kern w:val="0"/>
          <w:sz w:val="28"/>
          <w:szCs w:val="28"/>
          <w:lang w:eastAsia="zh-CN"/>
        </w:rPr>
      </w:pPr>
      <w:r>
        <w:rPr>
          <w:rFonts w:hint="eastAsia" w:ascii="仿宋_GB2312" w:hAnsi="仿宋_GB2312" w:eastAsia="仿宋_GB2312" w:cs="仿宋_GB2312"/>
          <w:color w:val="000000"/>
          <w:sz w:val="28"/>
          <w:szCs w:val="28"/>
        </w:rPr>
        <w:t>抄送：</w:t>
      </w:r>
      <w:r>
        <w:rPr>
          <w:rFonts w:hint="eastAsia" w:ascii="仿宋_GB2312" w:eastAsia="仿宋_GB2312"/>
          <w:kern w:val="0"/>
          <w:sz w:val="28"/>
          <w:szCs w:val="28"/>
        </w:rPr>
        <w:t>区政协提案文史办、区政府督查室、</w:t>
      </w:r>
      <w:r>
        <w:rPr>
          <w:rFonts w:hint="eastAsia" w:ascii="仿宋_GB2312" w:eastAsia="仿宋_GB2312"/>
          <w:kern w:val="0"/>
          <w:sz w:val="28"/>
          <w:szCs w:val="28"/>
          <w:lang w:eastAsia="zh-CN"/>
        </w:rPr>
        <w:t>区教育局、财政局，万安街道</w:t>
      </w:r>
    </w:p>
    <w:p>
      <w:pPr>
        <w:keepNext w:val="0"/>
        <w:keepLines w:val="0"/>
        <w:pageBreakBefore w:val="0"/>
        <w:pBdr>
          <w:top w:val="single" w:color="auto" w:sz="12" w:space="1"/>
        </w:pBdr>
        <w:tabs>
          <w:tab w:val="left" w:pos="720"/>
        </w:tabs>
        <w:kinsoku/>
        <w:wordWrap/>
        <w:overflowPunct/>
        <w:topLinePunct w:val="0"/>
        <w:bidi w:val="0"/>
        <w:spacing w:line="560" w:lineRule="atLeast"/>
        <w:ind w:firstLine="1120" w:firstLineChars="400"/>
        <w:textAlignment w:val="auto"/>
        <w:rPr>
          <w:rFonts w:hint="eastAsia" w:ascii="仿宋_GB2312" w:hAnsi="仿宋_GB2312" w:eastAsia="仿宋_GB2312" w:cs="仿宋_GB2312"/>
          <w:color w:val="000000"/>
          <w:sz w:val="28"/>
          <w:szCs w:val="28"/>
        </w:rPr>
      </w:pPr>
      <w:r>
        <w:rPr>
          <w:rFonts w:hint="eastAsia" w:ascii="仿宋_GB2312" w:eastAsia="仿宋_GB2312"/>
          <w:kern w:val="0"/>
          <w:sz w:val="28"/>
          <w:szCs w:val="28"/>
          <w:lang w:eastAsia="zh-CN"/>
        </w:rPr>
        <w:t>办事处。</w:t>
      </w:r>
    </w:p>
    <w:p>
      <w:pPr>
        <w:keepNext w:val="0"/>
        <w:keepLines w:val="0"/>
        <w:pageBreakBefore w:val="0"/>
        <w:pBdr>
          <w:top w:val="single" w:color="auto" w:sz="8" w:space="1"/>
          <w:bottom w:val="single" w:color="auto" w:sz="12" w:space="1"/>
        </w:pBdr>
        <w:kinsoku/>
        <w:wordWrap/>
        <w:overflowPunct/>
        <w:topLinePunct w:val="0"/>
        <w:bidi w:val="0"/>
        <w:spacing w:line="560" w:lineRule="atLeast"/>
        <w:ind w:firstLine="280" w:firstLineChars="100"/>
        <w:textAlignment w:val="auto"/>
        <w:rPr>
          <w:rFonts w:hint="eastAsia" w:ascii="楷体_GB2312" w:eastAsia="楷体_GB2312"/>
          <w:sz w:val="28"/>
          <w:lang w:eastAsia="zh-CN"/>
        </w:rPr>
      </w:pPr>
      <w:r>
        <w:rPr>
          <w:rFonts w:hint="eastAsia" w:ascii="仿宋_GB2312" w:hAnsi="仿宋_GB2312" w:eastAsia="仿宋_GB2312" w:cs="仿宋_GB2312"/>
          <w:color w:val="000000"/>
          <w:sz w:val="28"/>
          <w:szCs w:val="28"/>
        </w:rPr>
        <w:t>泉州市洛江区文化体育和旅游局办公室</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202</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kern w:val="0"/>
          <w:sz w:val="28"/>
          <w:szCs w:val="28"/>
          <w:lang w:val="en-US" w:eastAsia="zh-CN"/>
        </w:rPr>
        <w:t>8</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kern w:val="0"/>
          <w:sz w:val="28"/>
          <w:szCs w:val="28"/>
          <w:lang w:val="en-US" w:eastAsia="zh-CN"/>
        </w:rPr>
        <w:t>25</w:t>
      </w:r>
      <w:r>
        <w:rPr>
          <w:rFonts w:hint="eastAsia" w:ascii="仿宋_GB2312" w:hAnsi="仿宋_GB2312" w:eastAsia="仿宋_GB2312" w:cs="仿宋_GB2312"/>
          <w:color w:val="000000"/>
          <w:sz w:val="28"/>
          <w:szCs w:val="28"/>
        </w:rPr>
        <w:t>日印发</w:t>
      </w:r>
    </w:p>
    <w:sectPr>
      <w:footerReference r:id="rId3" w:type="default"/>
      <w:footerReference r:id="rId4" w:type="even"/>
      <w:pgSz w:w="11906" w:h="16838"/>
      <w:pgMar w:top="1871" w:right="1304" w:bottom="1531" w:left="1304" w:header="851" w:footer="1247" w:gutter="0"/>
      <w:pgNumType w:fmt="numberInDash"/>
      <w:cols w:space="425" w:num="1"/>
      <w:docGrid w:type="linesAndChars" w:linePitch="610" w:charSpace="19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page" w:x="9586" w:y="7"/>
      <w:rPr>
        <w:rStyle w:val="9"/>
        <w:rFonts w:ascii="宋体" w:hAnsi="宋体"/>
        <w:sz w:val="28"/>
        <w:szCs w:val="28"/>
      </w:rPr>
    </w:pPr>
    <w:r>
      <w:rPr>
        <w:rStyle w:val="9"/>
        <w:rFonts w:ascii="宋体" w:hAnsi="宋体"/>
        <w:sz w:val="28"/>
        <w:szCs w:val="28"/>
      </w:rPr>
      <w:fldChar w:fldCharType="begin"/>
    </w:r>
    <w:r>
      <w:rPr>
        <w:rStyle w:val="9"/>
        <w:rFonts w:ascii="宋体" w:hAnsi="宋体"/>
        <w:sz w:val="28"/>
        <w:szCs w:val="28"/>
      </w:rPr>
      <w:instrText xml:space="preserve">PAGE  </w:instrText>
    </w:r>
    <w:r>
      <w:rPr>
        <w:rStyle w:val="9"/>
        <w:rFonts w:ascii="宋体" w:hAnsi="宋体"/>
        <w:sz w:val="28"/>
        <w:szCs w:val="28"/>
      </w:rPr>
      <w:fldChar w:fldCharType="separate"/>
    </w:r>
    <w:r>
      <w:rPr>
        <w:rStyle w:val="9"/>
        <w:rFonts w:ascii="宋体" w:hAnsi="宋体"/>
        <w:sz w:val="28"/>
        <w:szCs w:val="28"/>
      </w:rPr>
      <w:t>- 15 -</w:t>
    </w:r>
    <w:r>
      <w:rPr>
        <w:rStyle w:val="9"/>
        <w:rFonts w:ascii="宋体" w:hAnsi="宋体"/>
        <w:sz w:val="28"/>
        <w:szCs w:val="28"/>
      </w:rPr>
      <w:fldChar w:fldCharType="end"/>
    </w:r>
  </w:p>
  <w:p>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ind w:firstLine="280" w:firstLineChars="100"/>
      <w:rPr>
        <w:rStyle w:val="9"/>
        <w:rFonts w:ascii="宋体" w:hAnsi="宋体"/>
        <w:sz w:val="28"/>
        <w:szCs w:val="28"/>
      </w:rPr>
    </w:pPr>
    <w:r>
      <w:rPr>
        <w:rStyle w:val="9"/>
        <w:rFonts w:ascii="宋体" w:hAnsi="宋体"/>
        <w:sz w:val="28"/>
        <w:szCs w:val="28"/>
      </w:rPr>
      <w:fldChar w:fldCharType="begin"/>
    </w:r>
    <w:r>
      <w:rPr>
        <w:rStyle w:val="9"/>
        <w:rFonts w:ascii="宋体" w:hAnsi="宋体"/>
        <w:sz w:val="28"/>
        <w:szCs w:val="28"/>
      </w:rPr>
      <w:instrText xml:space="preserve">PAGE  </w:instrText>
    </w:r>
    <w:r>
      <w:rPr>
        <w:rStyle w:val="9"/>
        <w:rFonts w:ascii="宋体" w:hAnsi="宋体"/>
        <w:sz w:val="28"/>
        <w:szCs w:val="28"/>
      </w:rPr>
      <w:fldChar w:fldCharType="separate"/>
    </w:r>
    <w:r>
      <w:rPr>
        <w:rStyle w:val="9"/>
        <w:rFonts w:ascii="宋体" w:hAnsi="宋体"/>
        <w:sz w:val="28"/>
        <w:szCs w:val="28"/>
      </w:rPr>
      <w:t>- 16 -</w:t>
    </w:r>
    <w:r>
      <w:rPr>
        <w:rStyle w:val="9"/>
        <w:rFonts w:ascii="宋体" w:hAnsi="宋体"/>
        <w:sz w:val="28"/>
        <w:szCs w:val="28"/>
      </w:rPr>
      <w:fldChar w:fldCharType="end"/>
    </w:r>
  </w:p>
  <w:p>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evenAndOddHeaders w:val="1"/>
  <w:drawingGridHorizontalSpacing w:val="211"/>
  <w:drawingGridVerticalSpacing w:val="30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24ED"/>
    <w:rsid w:val="000737B9"/>
    <w:rsid w:val="000A6FD5"/>
    <w:rsid w:val="000D07DD"/>
    <w:rsid w:val="000E7ED6"/>
    <w:rsid w:val="000F37AF"/>
    <w:rsid w:val="001324ED"/>
    <w:rsid w:val="00142B64"/>
    <w:rsid w:val="001448BD"/>
    <w:rsid w:val="00197E69"/>
    <w:rsid w:val="00275073"/>
    <w:rsid w:val="002D1A38"/>
    <w:rsid w:val="002F34E8"/>
    <w:rsid w:val="003010DA"/>
    <w:rsid w:val="00336FB3"/>
    <w:rsid w:val="00363CDE"/>
    <w:rsid w:val="00384C3D"/>
    <w:rsid w:val="003B4120"/>
    <w:rsid w:val="003B6F44"/>
    <w:rsid w:val="00467061"/>
    <w:rsid w:val="00483539"/>
    <w:rsid w:val="004C08F4"/>
    <w:rsid w:val="005715C8"/>
    <w:rsid w:val="005E5AFE"/>
    <w:rsid w:val="00674B4D"/>
    <w:rsid w:val="00696E54"/>
    <w:rsid w:val="006F36CB"/>
    <w:rsid w:val="007F27E0"/>
    <w:rsid w:val="00807125"/>
    <w:rsid w:val="00813B99"/>
    <w:rsid w:val="00820DFB"/>
    <w:rsid w:val="00820E96"/>
    <w:rsid w:val="00843CAD"/>
    <w:rsid w:val="00881DC1"/>
    <w:rsid w:val="00A113B0"/>
    <w:rsid w:val="00AB7BA3"/>
    <w:rsid w:val="00B45C15"/>
    <w:rsid w:val="00B766C6"/>
    <w:rsid w:val="00BB7C70"/>
    <w:rsid w:val="00C22318"/>
    <w:rsid w:val="00C43598"/>
    <w:rsid w:val="00C44DAE"/>
    <w:rsid w:val="00C714C1"/>
    <w:rsid w:val="00D034AD"/>
    <w:rsid w:val="00D447F4"/>
    <w:rsid w:val="00D72CF0"/>
    <w:rsid w:val="00DB39C9"/>
    <w:rsid w:val="00DC2590"/>
    <w:rsid w:val="00DC36DC"/>
    <w:rsid w:val="00EB1CAB"/>
    <w:rsid w:val="00ED114A"/>
    <w:rsid w:val="00F24589"/>
    <w:rsid w:val="00FB7457"/>
    <w:rsid w:val="31B55E7F"/>
    <w:rsid w:val="396D9D11"/>
    <w:rsid w:val="3FFF5100"/>
    <w:rsid w:val="56BFF86D"/>
    <w:rsid w:val="572FE80E"/>
    <w:rsid w:val="5DED952D"/>
    <w:rsid w:val="5FD7A2CE"/>
    <w:rsid w:val="69B1C296"/>
    <w:rsid w:val="73D7DFBC"/>
    <w:rsid w:val="7B613574"/>
    <w:rsid w:val="7F7FF944"/>
    <w:rsid w:val="7FBD65DA"/>
    <w:rsid w:val="7FBFCDCB"/>
    <w:rsid w:val="7FEEE5A4"/>
    <w:rsid w:val="9FFD90F1"/>
    <w:rsid w:val="B7FD57D4"/>
    <w:rsid w:val="BFD7C35F"/>
    <w:rsid w:val="CF5FEDC2"/>
    <w:rsid w:val="D6DCE12A"/>
    <w:rsid w:val="DC9F4235"/>
    <w:rsid w:val="DF78A817"/>
    <w:rsid w:val="F758573C"/>
    <w:rsid w:val="F7EEF7FB"/>
    <w:rsid w:val="FC7F5112"/>
    <w:rsid w:val="FCFE3FF6"/>
    <w:rsid w:val="FFFD706D"/>
    <w:rsid w:val="FFFFFF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10"/>
    <w:qFormat/>
    <w:uiPriority w:val="99"/>
    <w:pPr>
      <w:ind w:firstLine="560" w:firstLineChars="200"/>
    </w:pPr>
    <w:rPr>
      <w:rFonts w:eastAsia="仿宋_GB2312"/>
      <w:sz w:val="28"/>
    </w:rPr>
  </w:style>
  <w:style w:type="paragraph" w:styleId="4">
    <w:name w:val="Balloon Text"/>
    <w:basedOn w:val="1"/>
    <w:link w:val="1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style>
  <w:style w:type="character" w:customStyle="1" w:styleId="10">
    <w:name w:val="正文文本缩进 Char"/>
    <w:basedOn w:val="8"/>
    <w:link w:val="3"/>
    <w:qFormat/>
    <w:uiPriority w:val="99"/>
    <w:rPr>
      <w:rFonts w:eastAsia="仿宋_GB2312"/>
      <w:kern w:val="2"/>
      <w:sz w:val="28"/>
      <w:szCs w:val="24"/>
    </w:rPr>
  </w:style>
  <w:style w:type="character" w:customStyle="1" w:styleId="11">
    <w:name w:val="批注框文本 Char"/>
    <w:basedOn w:val="8"/>
    <w:link w:val="4"/>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ser/C:\Users\lenovo1\AppData\Roaming\Microsoft\Templates\&#27849;&#27931;&#25919;&#21150;.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泉洛政办.dot</Template>
  <Company>微软中国</Company>
  <Pages>16</Pages>
  <Words>894</Words>
  <Characters>5101</Characters>
  <Lines>42</Lines>
  <Paragraphs>11</Paragraphs>
  <TotalTime>2</TotalTime>
  <ScaleCrop>false</ScaleCrop>
  <LinksUpToDate>false</LinksUpToDate>
  <CharactersWithSpaces>5984</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2026-01-31T17:41:00Z</dcterms:created>
  <dc:creator>lenovo1</dc:creator>
  <cp:lastModifiedBy>user</cp:lastModifiedBy>
  <cp:lastPrinted>2026-08-25T18:19:00Z</cp:lastPrinted>
  <dcterms:modified xsi:type="dcterms:W3CDTF">2026-09-03T10:40:11Z</dcterms:modified>
  <dc:title>泉洛政文〔20  〕  号</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2216F06EE829C49C0BDE986A0C73441E</vt:lpwstr>
  </property>
</Properties>
</file>