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108135">
      <w:pPr>
        <w:widowControl w:val="0"/>
        <w:overflowPunct w:val="0"/>
        <w:jc w:val="center"/>
        <w:rPr>
          <w:rFonts w:hint="eastAsia" w:ascii="黑体" w:hAnsi="黑体" w:eastAsia="黑体" w:cs="黑体"/>
          <w:spacing w:val="4"/>
          <w:sz w:val="44"/>
          <w:szCs w:val="44"/>
          <w:lang w:eastAsia="zh-CN"/>
        </w:rPr>
      </w:pPr>
      <w:bookmarkStart w:id="0" w:name="_Hlk174307505"/>
    </w:p>
    <w:p w14:paraId="76742397">
      <w:pPr>
        <w:widowControl w:val="0"/>
        <w:overflowPunct w:val="0"/>
        <w:jc w:val="center"/>
        <w:rPr>
          <w:rFonts w:hint="eastAsia" w:ascii="黑体" w:hAnsi="黑体" w:eastAsia="黑体" w:cs="黑体"/>
          <w:spacing w:val="4"/>
          <w:sz w:val="44"/>
          <w:szCs w:val="44"/>
          <w:lang w:eastAsia="zh-CN"/>
        </w:rPr>
      </w:pPr>
    </w:p>
    <w:p w14:paraId="60863C42">
      <w:pPr>
        <w:keepNext w:val="0"/>
        <w:keepLines w:val="0"/>
        <w:pageBreakBefore w:val="0"/>
        <w:widowControl w:val="0"/>
        <w:kinsoku w:val="0"/>
        <w:wordWrap w:val="0"/>
        <w:overflowPunct w:val="0"/>
        <w:topLinePunct w:val="0"/>
        <w:autoSpaceDE/>
        <w:autoSpaceDN/>
        <w:bidi w:val="0"/>
        <w:adjustRightInd w:val="0"/>
        <w:snapToGrid w:val="0"/>
        <w:ind w:firstLine="0" w:firstLineChars="0"/>
        <w:jc w:val="center"/>
        <w:textAlignment w:val="baseline"/>
        <w:rPr>
          <w:rFonts w:hint="eastAsia" w:ascii="黑体" w:hAnsi="黑体" w:eastAsia="黑体" w:cs="黑体"/>
          <w:spacing w:val="4"/>
          <w:sz w:val="44"/>
          <w:szCs w:val="44"/>
          <w:lang w:eastAsia="zh-CN"/>
        </w:rPr>
      </w:pPr>
      <w:r>
        <w:rPr>
          <w:rFonts w:hint="eastAsia" w:ascii="黑体" w:hAnsi="黑体" w:eastAsia="黑体" w:cs="黑体"/>
          <w:spacing w:val="4"/>
          <w:sz w:val="44"/>
          <w:szCs w:val="44"/>
          <w:lang w:eastAsia="zh-CN"/>
        </w:rPr>
        <w:t>2024年度</w:t>
      </w:r>
      <w:bookmarkStart w:id="1" w:name="OLE_LINK4"/>
      <w:r>
        <w:rPr>
          <w:rFonts w:hint="eastAsia" w:ascii="黑体" w:hAnsi="黑体" w:eastAsia="黑体" w:cs="黑体"/>
          <w:spacing w:val="4"/>
          <w:sz w:val="44"/>
          <w:szCs w:val="44"/>
          <w:lang w:eastAsia="zh-CN"/>
        </w:rPr>
        <w:t>泉州市洛江区市场监督管理局</w:t>
      </w:r>
      <w:bookmarkEnd w:id="1"/>
    </w:p>
    <w:p w14:paraId="18C2991B">
      <w:pPr>
        <w:keepNext w:val="0"/>
        <w:keepLines w:val="0"/>
        <w:pageBreakBefore w:val="0"/>
        <w:widowControl w:val="0"/>
        <w:kinsoku w:val="0"/>
        <w:wordWrap w:val="0"/>
        <w:overflowPunct w:val="0"/>
        <w:topLinePunct w:val="0"/>
        <w:autoSpaceDE/>
        <w:autoSpaceDN/>
        <w:bidi w:val="0"/>
        <w:adjustRightInd w:val="0"/>
        <w:snapToGrid w:val="0"/>
        <w:ind w:firstLine="0" w:firstLineChars="0"/>
        <w:jc w:val="center"/>
        <w:textAlignment w:val="baseline"/>
        <w:rPr>
          <w:rFonts w:hint="eastAsia" w:ascii="黑体" w:hAnsi="黑体" w:eastAsia="黑体" w:cs="黑体"/>
          <w:spacing w:val="4"/>
          <w:sz w:val="44"/>
          <w:szCs w:val="44"/>
          <w:lang w:eastAsia="zh-CN"/>
        </w:rPr>
      </w:pPr>
      <w:r>
        <w:rPr>
          <w:rFonts w:hint="eastAsia" w:ascii="黑体" w:hAnsi="黑体" w:eastAsia="黑体" w:cs="黑体"/>
          <w:spacing w:val="4"/>
          <w:sz w:val="44"/>
          <w:szCs w:val="44"/>
          <w:lang w:eastAsia="zh-CN"/>
        </w:rPr>
        <w:t>部门</w:t>
      </w:r>
      <w:bookmarkStart w:id="2" w:name="_Toc15425"/>
      <w:bookmarkStart w:id="3" w:name="_Toc13715"/>
      <w:bookmarkStart w:id="4" w:name="_Toc30332"/>
      <w:bookmarkStart w:id="5" w:name="_Toc14919"/>
      <w:bookmarkStart w:id="6" w:name="_Toc16249"/>
      <w:bookmarkStart w:id="7" w:name="_Toc8216"/>
      <w:bookmarkStart w:id="8" w:name="_Toc21913"/>
      <w:bookmarkStart w:id="9" w:name="_Toc12298"/>
      <w:r>
        <w:rPr>
          <w:rFonts w:hint="eastAsia" w:ascii="黑体" w:hAnsi="黑体" w:eastAsia="黑体" w:cs="黑体"/>
          <w:spacing w:val="4"/>
          <w:sz w:val="44"/>
          <w:szCs w:val="44"/>
          <w:lang w:eastAsia="zh-CN"/>
        </w:rPr>
        <w:t>绩效评价报告</w:t>
      </w:r>
      <w:bookmarkEnd w:id="2"/>
      <w:bookmarkEnd w:id="3"/>
      <w:bookmarkEnd w:id="4"/>
      <w:bookmarkEnd w:id="5"/>
      <w:bookmarkEnd w:id="6"/>
      <w:bookmarkEnd w:id="7"/>
      <w:bookmarkEnd w:id="8"/>
      <w:bookmarkEnd w:id="9"/>
    </w:p>
    <w:p w14:paraId="7C784E36">
      <w:pPr>
        <w:widowControl w:val="0"/>
        <w:kinsoku w:val="0"/>
        <w:wordWrap/>
        <w:overflowPunct w:val="0"/>
        <w:autoSpaceDE w:val="0"/>
        <w:autoSpaceDN w:val="0"/>
        <w:rPr>
          <w:rFonts w:hint="eastAsia" w:ascii="黑体" w:hAnsi="黑体" w:eastAsia="黑体" w:cs="黑体"/>
          <w:sz w:val="20"/>
          <w:szCs w:val="21"/>
        </w:rPr>
      </w:pPr>
    </w:p>
    <w:p w14:paraId="2E5D70AB">
      <w:pPr>
        <w:widowControl w:val="0"/>
        <w:overflowPunct w:val="0"/>
        <w:rPr>
          <w:rFonts w:hint="eastAsia" w:ascii="黑体" w:hAnsi="黑体" w:eastAsia="黑体" w:cs="黑体"/>
          <w:color w:val="auto"/>
          <w:sz w:val="20"/>
          <w:szCs w:val="22"/>
          <w:lang w:eastAsia="zh-CN"/>
        </w:rPr>
      </w:pPr>
    </w:p>
    <w:p w14:paraId="1F68687A">
      <w:pPr>
        <w:widowControl w:val="0"/>
        <w:kinsoku w:val="0"/>
        <w:wordWrap/>
        <w:overflowPunct w:val="0"/>
        <w:autoSpaceDE w:val="0"/>
        <w:autoSpaceDN w:val="0"/>
        <w:rPr>
          <w:rFonts w:hint="eastAsia" w:ascii="黑体" w:hAnsi="黑体" w:eastAsia="黑体" w:cs="黑体"/>
          <w:sz w:val="20"/>
          <w:szCs w:val="21"/>
        </w:rPr>
      </w:pPr>
    </w:p>
    <w:p w14:paraId="037CC24D">
      <w:pPr>
        <w:widowControl w:val="0"/>
        <w:overflowPunct w:val="0"/>
        <w:spacing w:line="360" w:lineRule="auto"/>
        <w:ind w:firstLine="1131" w:firstLineChars="345"/>
        <w:jc w:val="center"/>
        <w:rPr>
          <w:rFonts w:hint="eastAsia" w:ascii="黑体" w:hAnsi="黑体" w:eastAsia="黑体" w:cs="黑体"/>
          <w:color w:val="auto"/>
          <w:spacing w:val="4"/>
          <w:sz w:val="32"/>
          <w:szCs w:val="32"/>
          <w:lang w:eastAsia="zh-CN"/>
        </w:rPr>
      </w:pPr>
    </w:p>
    <w:p w14:paraId="6436BD5E">
      <w:pPr>
        <w:pStyle w:val="7"/>
        <w:widowControl w:val="0"/>
        <w:overflowPunct w:val="0"/>
        <w:rPr>
          <w:color w:val="auto"/>
          <w:sz w:val="16"/>
          <w:szCs w:val="16"/>
          <w:lang w:eastAsia="zh-CN"/>
        </w:rPr>
      </w:pPr>
    </w:p>
    <w:p w14:paraId="230B9E3C">
      <w:pPr>
        <w:pStyle w:val="7"/>
        <w:widowControl w:val="0"/>
        <w:overflowPunct w:val="0"/>
        <w:rPr>
          <w:color w:val="auto"/>
          <w:sz w:val="16"/>
          <w:szCs w:val="16"/>
          <w:lang w:eastAsia="zh-CN"/>
        </w:rPr>
      </w:pPr>
    </w:p>
    <w:p w14:paraId="0FC22A88">
      <w:pPr>
        <w:widowControl w:val="0"/>
        <w:kinsoku w:val="0"/>
        <w:wordWrap/>
        <w:overflowPunct w:val="0"/>
        <w:autoSpaceDE w:val="0"/>
        <w:autoSpaceDN w:val="0"/>
        <w:rPr>
          <w:sz w:val="32"/>
          <w:szCs w:val="32"/>
        </w:rPr>
      </w:pPr>
    </w:p>
    <w:p w14:paraId="26E668DE">
      <w:pPr>
        <w:widowControl w:val="0"/>
        <w:overflowPunct w:val="0"/>
        <w:spacing w:line="360" w:lineRule="auto"/>
        <w:ind w:firstLine="640" w:firstLineChars="200"/>
        <w:rPr>
          <w:rFonts w:hint="eastAsia" w:ascii="黑体" w:hAnsi="黑体" w:eastAsia="黑体" w:cs="黑体"/>
          <w:color w:val="auto"/>
          <w:sz w:val="32"/>
          <w:szCs w:val="32"/>
          <w:u w:val="single"/>
          <w:lang w:eastAsia="zh-CN"/>
        </w:rPr>
      </w:pPr>
      <w:r>
        <w:rPr>
          <w:rFonts w:hint="eastAsia" w:ascii="黑体" w:hAnsi="黑体" w:eastAsia="黑体" w:cs="黑体"/>
          <w:color w:val="auto"/>
          <w:sz w:val="32"/>
          <w:szCs w:val="32"/>
          <w:lang w:eastAsia="zh-CN"/>
        </w:rPr>
        <w:t>项目单位：</w:t>
      </w:r>
      <w:r>
        <w:rPr>
          <w:rFonts w:hint="eastAsia" w:ascii="黑体" w:hAnsi="黑体" w:eastAsia="黑体" w:cs="黑体"/>
          <w:color w:val="auto"/>
          <w:sz w:val="32"/>
          <w:szCs w:val="32"/>
          <w:u w:val="single"/>
          <w:lang w:eastAsia="zh-CN"/>
        </w:rPr>
        <w:t xml:space="preserve">       泉州市洛江区市场监督管理局     </w:t>
      </w:r>
    </w:p>
    <w:p w14:paraId="7051CEBC">
      <w:pPr>
        <w:pStyle w:val="7"/>
        <w:widowControl w:val="0"/>
        <w:overflowPunct w:val="0"/>
        <w:rPr>
          <w:color w:val="auto"/>
          <w:sz w:val="32"/>
          <w:szCs w:val="32"/>
          <w:lang w:eastAsia="zh-CN"/>
        </w:rPr>
      </w:pPr>
    </w:p>
    <w:p w14:paraId="0D74E415">
      <w:pPr>
        <w:widowControl w:val="0"/>
        <w:overflowPunct w:val="0"/>
        <w:spacing w:line="360" w:lineRule="auto"/>
        <w:ind w:firstLine="640" w:firstLineChars="200"/>
        <w:rPr>
          <w:rFonts w:hint="eastAsia" w:ascii="黑体" w:hAnsi="黑体" w:eastAsia="黑体" w:cs="黑体"/>
          <w:color w:val="auto"/>
          <w:sz w:val="32"/>
          <w:szCs w:val="32"/>
          <w:u w:val="single"/>
          <w:lang w:eastAsia="zh-CN"/>
        </w:rPr>
      </w:pPr>
      <w:r>
        <w:rPr>
          <w:rFonts w:hint="eastAsia" w:ascii="黑体" w:hAnsi="黑体" w:eastAsia="黑体" w:cs="黑体"/>
          <w:color w:val="auto"/>
          <w:sz w:val="32"/>
          <w:szCs w:val="32"/>
          <w:lang w:eastAsia="zh-CN"/>
        </w:rPr>
        <w:t>委托单位：</w:t>
      </w:r>
      <w:r>
        <w:rPr>
          <w:rFonts w:hint="eastAsia" w:ascii="黑体" w:hAnsi="黑体" w:eastAsia="黑体" w:cs="黑体"/>
          <w:color w:val="auto"/>
          <w:sz w:val="32"/>
          <w:szCs w:val="32"/>
          <w:u w:val="single"/>
          <w:lang w:eastAsia="zh-CN"/>
        </w:rPr>
        <w:t xml:space="preserve">          泉州市洛江区财政局          </w:t>
      </w:r>
    </w:p>
    <w:p w14:paraId="585EAEC0">
      <w:pPr>
        <w:widowControl w:val="0"/>
        <w:overflowPunct w:val="0"/>
        <w:ind w:firstLine="640"/>
        <w:rPr>
          <w:rFonts w:hint="eastAsia" w:ascii="黑体" w:hAnsi="黑体" w:eastAsia="黑体" w:cs="黑体"/>
          <w:color w:val="auto"/>
          <w:szCs w:val="32"/>
          <w:lang w:eastAsia="zh-CN"/>
        </w:rPr>
      </w:pPr>
    </w:p>
    <w:p w14:paraId="4362F3A3">
      <w:pPr>
        <w:widowControl w:val="0"/>
        <w:overflowPunct w:val="0"/>
        <w:spacing w:line="360" w:lineRule="auto"/>
        <w:ind w:firstLine="640" w:firstLineChars="200"/>
        <w:rPr>
          <w:rFonts w:hint="eastAsia" w:ascii="黑体" w:hAnsi="黑体" w:eastAsia="黑体" w:cs="黑体"/>
          <w:color w:val="auto"/>
          <w:sz w:val="32"/>
          <w:szCs w:val="32"/>
          <w:u w:val="single"/>
          <w:lang w:eastAsia="zh-CN"/>
        </w:rPr>
      </w:pPr>
      <w:r>
        <w:rPr>
          <w:rFonts w:hint="eastAsia" w:ascii="黑体" w:hAnsi="黑体" w:eastAsia="黑体" w:cs="黑体"/>
          <w:color w:val="auto"/>
          <w:sz w:val="32"/>
          <w:szCs w:val="32"/>
          <w:lang w:eastAsia="zh-CN"/>
        </w:rPr>
        <w:t>评价机构：</w:t>
      </w:r>
      <w:r>
        <w:rPr>
          <w:rFonts w:hint="eastAsia" w:ascii="黑体" w:hAnsi="黑体" w:eastAsia="黑体" w:cs="黑体"/>
          <w:color w:val="auto"/>
          <w:sz w:val="32"/>
          <w:szCs w:val="32"/>
          <w:u w:val="single"/>
          <w:lang w:eastAsia="zh-CN"/>
        </w:rPr>
        <w:t xml:space="preserve">     泉州市启程财务咨询有限公司       </w:t>
      </w:r>
    </w:p>
    <w:p w14:paraId="46297FAB">
      <w:pPr>
        <w:widowControl w:val="0"/>
        <w:overflowPunct w:val="0"/>
        <w:ind w:firstLine="0" w:firstLineChars="0"/>
        <w:rPr>
          <w:rFonts w:hint="eastAsia" w:ascii="黑体" w:hAnsi="黑体" w:eastAsia="黑体" w:cs="黑体"/>
          <w:color w:val="auto"/>
          <w:szCs w:val="32"/>
          <w:lang w:eastAsia="zh-CN"/>
        </w:rPr>
      </w:pPr>
    </w:p>
    <w:p w14:paraId="41139997">
      <w:pPr>
        <w:widowControl w:val="0"/>
        <w:overflowPunct w:val="0"/>
        <w:spacing w:line="360" w:lineRule="auto"/>
        <w:ind w:firstLine="640" w:firstLineChars="200"/>
        <w:rPr>
          <w:rFonts w:hint="eastAsia" w:ascii="黑体" w:hAnsi="黑体" w:eastAsia="黑体" w:cs="黑体"/>
          <w:color w:val="auto"/>
          <w:sz w:val="32"/>
          <w:szCs w:val="32"/>
          <w:u w:val="single"/>
          <w:lang w:eastAsia="zh-CN"/>
        </w:rPr>
      </w:pPr>
      <w:r>
        <w:rPr>
          <w:rFonts w:hint="eastAsia" w:ascii="黑体" w:hAnsi="黑体" w:eastAsia="黑体" w:cs="黑体"/>
          <w:color w:val="auto"/>
          <w:sz w:val="32"/>
          <w:szCs w:val="32"/>
          <w:lang w:eastAsia="zh-CN"/>
        </w:rPr>
        <w:t>评价时间：</w:t>
      </w:r>
      <w:r>
        <w:rPr>
          <w:rFonts w:hint="eastAsia" w:ascii="黑体" w:hAnsi="黑体" w:eastAsia="黑体" w:cs="黑体"/>
          <w:color w:val="auto"/>
          <w:sz w:val="32"/>
          <w:szCs w:val="32"/>
          <w:u w:val="single"/>
          <w:lang w:eastAsia="zh-CN"/>
        </w:rPr>
        <w:t xml:space="preserve">             2025年11月               </w:t>
      </w:r>
    </w:p>
    <w:p w14:paraId="27F800DC">
      <w:pPr>
        <w:widowControl w:val="0"/>
        <w:overflowPunct w:val="0"/>
        <w:spacing w:line="760" w:lineRule="exact"/>
        <w:jc w:val="center"/>
        <w:rPr>
          <w:rFonts w:hint="eastAsia" w:ascii="黑体" w:hAnsi="黑体" w:eastAsia="黑体" w:cs="黑体"/>
          <w:color w:val="auto"/>
          <w:spacing w:val="4"/>
          <w:sz w:val="32"/>
          <w:szCs w:val="32"/>
          <w:lang w:eastAsia="zh-CN"/>
        </w:rPr>
      </w:pPr>
    </w:p>
    <w:p w14:paraId="7045CAF1">
      <w:pPr>
        <w:pStyle w:val="7"/>
        <w:widowControl w:val="0"/>
        <w:overflowPunct w:val="0"/>
        <w:rPr>
          <w:rFonts w:hint="eastAsia" w:ascii="黑体" w:hAnsi="黑体" w:eastAsia="黑体" w:cs="黑体"/>
          <w:color w:val="auto"/>
          <w:spacing w:val="4"/>
          <w:sz w:val="32"/>
          <w:szCs w:val="32"/>
          <w:lang w:eastAsia="zh-CN"/>
        </w:rPr>
      </w:pPr>
    </w:p>
    <w:p w14:paraId="40876348">
      <w:pPr>
        <w:widowControl w:val="0"/>
        <w:kinsoku w:val="0"/>
        <w:wordWrap/>
        <w:overflowPunct w:val="0"/>
        <w:autoSpaceDE w:val="0"/>
        <w:autoSpaceDN w:val="0"/>
        <w:rPr>
          <w:rFonts w:hint="eastAsia" w:ascii="黑体" w:hAnsi="黑体" w:eastAsia="黑体" w:cs="黑体"/>
          <w:spacing w:val="4"/>
          <w:sz w:val="32"/>
          <w:szCs w:val="32"/>
        </w:rPr>
      </w:pPr>
    </w:p>
    <w:p w14:paraId="24F89201">
      <w:pPr>
        <w:widowControl w:val="0"/>
        <w:overflowPunct w:val="0"/>
        <w:rPr>
          <w:color w:val="auto"/>
          <w:sz w:val="32"/>
          <w:szCs w:val="32"/>
          <w:lang w:eastAsia="zh-CN"/>
        </w:rPr>
      </w:pPr>
    </w:p>
    <w:p w14:paraId="6F0609D3">
      <w:pPr>
        <w:widowControl w:val="0"/>
        <w:kinsoku w:val="0"/>
        <w:wordWrap/>
        <w:overflowPunct w:val="0"/>
        <w:autoSpaceDE w:val="0"/>
        <w:autoSpaceDN w:val="0"/>
        <w:jc w:val="center"/>
        <w:rPr>
          <w:rFonts w:hint="eastAsia" w:ascii="黑体" w:hAnsi="黑体" w:eastAsia="黑体" w:cs="黑体"/>
          <w:spacing w:val="4"/>
          <w:sz w:val="32"/>
          <w:szCs w:val="32"/>
        </w:rPr>
      </w:pPr>
    </w:p>
    <w:p w14:paraId="3FFFC432">
      <w:pPr>
        <w:keepNext w:val="0"/>
        <w:keepLines w:val="0"/>
        <w:pageBreakBefore w:val="0"/>
        <w:widowControl w:val="0"/>
        <w:kinsoku w:val="0"/>
        <w:wordWrap w:val="0"/>
        <w:overflowPunct w:val="0"/>
        <w:topLinePunct w:val="0"/>
        <w:autoSpaceDE/>
        <w:autoSpaceDN/>
        <w:bidi w:val="0"/>
        <w:adjustRightInd w:val="0"/>
        <w:snapToGrid w:val="0"/>
        <w:spacing w:line="360" w:lineRule="auto"/>
        <w:ind w:firstLine="0" w:firstLineChars="0"/>
        <w:jc w:val="center"/>
        <w:textAlignment w:val="baseline"/>
        <w:rPr>
          <w:rFonts w:hint="eastAsia" w:ascii="黑体" w:hAnsi="黑体" w:eastAsia="黑体" w:cs="黑体"/>
          <w:color w:val="auto"/>
          <w:spacing w:val="4"/>
          <w:sz w:val="32"/>
          <w:szCs w:val="32"/>
          <w:lang w:eastAsia="zh-CN"/>
        </w:rPr>
        <w:sectPr>
          <w:headerReference r:id="rId5" w:type="default"/>
          <w:headerReference r:id="rId6" w:type="even"/>
          <w:pgSz w:w="11906" w:h="16839"/>
          <w:pgMar w:top="1304" w:right="964" w:bottom="1134" w:left="1593" w:header="0" w:footer="987" w:gutter="0"/>
          <w:cols w:space="720" w:num="1"/>
        </w:sectPr>
      </w:pPr>
      <w:r>
        <w:rPr>
          <w:rFonts w:hint="eastAsia" w:ascii="黑体" w:hAnsi="黑体" w:eastAsia="黑体" w:cs="黑体"/>
          <w:color w:val="auto"/>
          <w:sz w:val="32"/>
          <w:szCs w:val="32"/>
          <w:lang w:eastAsia="zh-CN"/>
        </w:rPr>
        <w:t>2025年11月</w:t>
      </w:r>
      <w:bookmarkStart w:id="10" w:name="_Toc1930"/>
      <w:bookmarkStart w:id="11" w:name="_Toc23378"/>
      <w:bookmarkStart w:id="12" w:name="_Toc3359"/>
      <w:bookmarkStart w:id="13" w:name="_Toc30028"/>
      <w:bookmarkStart w:id="14" w:name="_Toc15437"/>
      <w:bookmarkStart w:id="361" w:name="_GoBack"/>
      <w:bookmarkEnd w:id="361"/>
    </w:p>
    <w:bookmarkEnd w:id="10"/>
    <w:bookmarkEnd w:id="11"/>
    <w:bookmarkEnd w:id="12"/>
    <w:bookmarkEnd w:id="13"/>
    <w:bookmarkEnd w:id="14"/>
    <w:p w14:paraId="69F7FD88">
      <w:pPr>
        <w:pStyle w:val="9"/>
        <w:tabs>
          <w:tab w:val="right" w:leader="dot" w:pos="9349"/>
          <w:tab w:val="clear" w:pos="8306"/>
        </w:tabs>
        <w:spacing w:line="420" w:lineRule="exact"/>
        <w:rPr>
          <w:rFonts w:eastAsiaTheme="minorEastAsia"/>
          <w:lang w:eastAsia="zh-CN"/>
        </w:rPr>
      </w:pPr>
    </w:p>
    <w:sdt>
      <w:sdtPr>
        <w:rPr>
          <w:rFonts w:hint="eastAsia" w:ascii="方正小标宋_GBK" w:hAnsi="方正小标宋_GBK" w:eastAsia="方正小标宋_GBK" w:cs="方正小标宋_GBK"/>
          <w:snapToGrid w:val="0"/>
          <w:color w:val="000000"/>
          <w:sz w:val="44"/>
          <w:szCs w:val="44"/>
          <w:lang w:val="en-US" w:eastAsia="en-US" w:bidi="ar-SA"/>
        </w:rPr>
        <w:id w:val="147464258"/>
        <w15:color w:val="DBDBDB"/>
        <w:docPartObj>
          <w:docPartGallery w:val="Table of Contents"/>
          <w:docPartUnique/>
        </w:docPartObj>
      </w:sdtPr>
      <w:sdtEndPr>
        <w:rPr>
          <w:rFonts w:hint="eastAsia" w:ascii="方正小标宋简体" w:hAnsi="方正小标宋简体" w:eastAsia="方正小标宋简体" w:cs="Arial"/>
          <w:snapToGrid w:val="0"/>
          <w:color w:val="000000"/>
          <w:kern w:val="44"/>
          <w:sz w:val="44"/>
          <w:szCs w:val="21"/>
          <w:lang w:val="en-US" w:eastAsia="zh-CN" w:bidi="ar-SA"/>
        </w:rPr>
      </w:sdtEndPr>
      <w:sdtContent>
        <w:p w14:paraId="6F3E8F4F">
          <w:pPr>
            <w:spacing w:before="0" w:beforeLines="0" w:after="0" w:afterLines="0" w:line="240" w:lineRule="auto"/>
            <w:ind w:left="0" w:leftChars="0" w:right="0" w:rightChars="0" w:firstLine="0" w:firstLineChars="0"/>
            <w:jc w:val="center"/>
            <w:rPr>
              <w:rFonts w:hint="eastAsia" w:ascii="方正小标宋_GBK" w:hAnsi="方正小标宋_GBK" w:eastAsia="方正小标宋_GBK" w:cs="方正小标宋_GBK"/>
              <w:sz w:val="44"/>
              <w:szCs w:val="44"/>
            </w:rPr>
          </w:pPr>
          <w:bookmarkStart w:id="15" w:name="_Toc10715"/>
          <w:bookmarkStart w:id="16" w:name="_Toc477"/>
          <w:bookmarkStart w:id="17" w:name="_Toc18658"/>
          <w:r>
            <w:rPr>
              <w:rFonts w:hint="eastAsia" w:ascii="方正小标宋_GBK" w:hAnsi="方正小标宋_GBK" w:eastAsia="方正小标宋_GBK" w:cs="方正小标宋_GBK"/>
              <w:sz w:val="44"/>
              <w:szCs w:val="44"/>
            </w:rPr>
            <w:t>目</w:t>
          </w:r>
          <w:r>
            <w:rPr>
              <w:rFonts w:hint="eastAsia" w:ascii="方正小标宋_GBK" w:hAnsi="方正小标宋_GBK" w:eastAsia="方正小标宋_GBK" w:cs="方正小标宋_GBK"/>
              <w:sz w:val="44"/>
              <w:szCs w:val="44"/>
              <w:lang w:val="en-US" w:eastAsia="zh-CN"/>
            </w:rPr>
            <w:t xml:space="preserve"> </w:t>
          </w:r>
          <w:r>
            <w:rPr>
              <w:rFonts w:hint="eastAsia" w:ascii="方正小标宋_GBK" w:hAnsi="方正小标宋_GBK" w:eastAsia="方正小标宋_GBK" w:cs="方正小标宋_GBK"/>
              <w:sz w:val="44"/>
              <w:szCs w:val="44"/>
            </w:rPr>
            <w:t>录</w:t>
          </w:r>
        </w:p>
        <w:p w14:paraId="7C3C76F4">
          <w:pPr>
            <w:pStyle w:val="9"/>
          </w:pPr>
          <w:r>
            <w:fldChar w:fldCharType="begin"/>
          </w:r>
          <w:r>
            <w:instrText xml:space="preserve">TOC \o "1-4" \h \u </w:instrText>
          </w:r>
          <w:r>
            <w:fldChar w:fldCharType="separate"/>
          </w:r>
        </w:p>
        <w:p w14:paraId="3F72D4EE">
          <w:pPr>
            <w:pStyle w:val="11"/>
            <w:tabs>
              <w:tab w:val="right" w:leader="dot" w:pos="8306"/>
            </w:tabs>
          </w:pPr>
          <w:r>
            <w:fldChar w:fldCharType="begin"/>
          </w:r>
          <w:r>
            <w:instrText xml:space="preserve"> HYPERLINK \l _Toc29094 </w:instrText>
          </w:r>
          <w:r>
            <w:fldChar w:fldCharType="separate"/>
          </w:r>
          <w:r>
            <w:rPr>
              <w:rFonts w:hint="eastAsia"/>
              <w:lang w:eastAsia="zh-CN"/>
            </w:rPr>
            <w:t>一、部门概况</w:t>
          </w:r>
          <w:r>
            <w:tab/>
          </w:r>
          <w:r>
            <w:fldChar w:fldCharType="begin"/>
          </w:r>
          <w:r>
            <w:instrText xml:space="preserve"> PAGEREF _Toc29094 \h </w:instrText>
          </w:r>
          <w:r>
            <w:fldChar w:fldCharType="separate"/>
          </w:r>
          <w:r>
            <w:t>1</w:t>
          </w:r>
          <w:r>
            <w:fldChar w:fldCharType="end"/>
          </w:r>
          <w:r>
            <w:fldChar w:fldCharType="end"/>
          </w:r>
        </w:p>
        <w:p w14:paraId="62C390F5">
          <w:pPr>
            <w:pStyle w:val="6"/>
            <w:tabs>
              <w:tab w:val="right" w:leader="dot" w:pos="8306"/>
            </w:tabs>
          </w:pPr>
          <w:r>
            <w:fldChar w:fldCharType="begin"/>
          </w:r>
          <w:r>
            <w:instrText xml:space="preserve"> HYPERLINK \l _Toc28409 </w:instrText>
          </w:r>
          <w:r>
            <w:fldChar w:fldCharType="separate"/>
          </w:r>
          <w:r>
            <w:rPr>
              <w:rFonts w:hint="eastAsia"/>
              <w:lang w:eastAsia="zh-CN"/>
            </w:rPr>
            <w:t>（一）主要职责</w:t>
          </w:r>
          <w:r>
            <w:tab/>
          </w:r>
          <w:r>
            <w:fldChar w:fldCharType="begin"/>
          </w:r>
          <w:r>
            <w:instrText xml:space="preserve"> PAGEREF _Toc28409 \h </w:instrText>
          </w:r>
          <w:r>
            <w:fldChar w:fldCharType="separate"/>
          </w:r>
          <w:r>
            <w:t>1</w:t>
          </w:r>
          <w:r>
            <w:fldChar w:fldCharType="end"/>
          </w:r>
          <w:r>
            <w:fldChar w:fldCharType="end"/>
          </w:r>
        </w:p>
        <w:p w14:paraId="6945A3E5">
          <w:pPr>
            <w:pStyle w:val="6"/>
            <w:tabs>
              <w:tab w:val="right" w:leader="dot" w:pos="8306"/>
            </w:tabs>
          </w:pPr>
          <w:r>
            <w:fldChar w:fldCharType="begin"/>
          </w:r>
          <w:r>
            <w:instrText xml:space="preserve"> HYPERLINK \l _Toc15131 </w:instrText>
          </w:r>
          <w:r>
            <w:fldChar w:fldCharType="separate"/>
          </w:r>
          <w:r>
            <w:rPr>
              <w:rFonts w:hint="eastAsia"/>
              <w:lang w:eastAsia="zh-CN"/>
            </w:rPr>
            <w:t>（二）单位构成及人员结构</w:t>
          </w:r>
          <w:r>
            <w:tab/>
          </w:r>
          <w:r>
            <w:fldChar w:fldCharType="begin"/>
          </w:r>
          <w:r>
            <w:instrText xml:space="preserve"> PAGEREF _Toc15131 \h </w:instrText>
          </w:r>
          <w:r>
            <w:fldChar w:fldCharType="separate"/>
          </w:r>
          <w:r>
            <w:t>4</w:t>
          </w:r>
          <w:r>
            <w:fldChar w:fldCharType="end"/>
          </w:r>
          <w:r>
            <w:fldChar w:fldCharType="end"/>
          </w:r>
        </w:p>
        <w:p w14:paraId="3FD9EF44">
          <w:pPr>
            <w:pStyle w:val="6"/>
            <w:tabs>
              <w:tab w:val="right" w:leader="dot" w:pos="8306"/>
            </w:tabs>
          </w:pPr>
          <w:r>
            <w:fldChar w:fldCharType="begin"/>
          </w:r>
          <w:r>
            <w:instrText xml:space="preserve"> HYPERLINK \l _Toc8593 </w:instrText>
          </w:r>
          <w:r>
            <w:fldChar w:fldCharType="separate"/>
          </w:r>
          <w:r>
            <w:rPr>
              <w:rFonts w:hint="eastAsia"/>
              <w:lang w:eastAsia="zh-CN"/>
            </w:rPr>
            <w:t>（三）部门管理制度</w:t>
          </w:r>
          <w:r>
            <w:tab/>
          </w:r>
          <w:r>
            <w:fldChar w:fldCharType="begin"/>
          </w:r>
          <w:r>
            <w:instrText xml:space="preserve"> PAGEREF _Toc8593 \h </w:instrText>
          </w:r>
          <w:r>
            <w:fldChar w:fldCharType="separate"/>
          </w:r>
          <w:r>
            <w:t>6</w:t>
          </w:r>
          <w:r>
            <w:fldChar w:fldCharType="end"/>
          </w:r>
          <w:r>
            <w:fldChar w:fldCharType="end"/>
          </w:r>
        </w:p>
        <w:p w14:paraId="5C2134F0">
          <w:pPr>
            <w:pStyle w:val="6"/>
            <w:tabs>
              <w:tab w:val="right" w:leader="dot" w:pos="8306"/>
            </w:tabs>
          </w:pPr>
          <w:r>
            <w:fldChar w:fldCharType="begin"/>
          </w:r>
          <w:r>
            <w:instrText xml:space="preserve"> HYPERLINK \l _Toc2059 </w:instrText>
          </w:r>
          <w:r>
            <w:fldChar w:fldCharType="separate"/>
          </w:r>
          <w:r>
            <w:rPr>
              <w:rFonts w:hint="eastAsia"/>
              <w:lang w:eastAsia="zh-CN"/>
            </w:rPr>
            <w:t>（四）部门整体收支情况</w:t>
          </w:r>
          <w:r>
            <w:tab/>
          </w:r>
          <w:r>
            <w:fldChar w:fldCharType="begin"/>
          </w:r>
          <w:r>
            <w:instrText xml:space="preserve"> PAGEREF _Toc2059 \h </w:instrText>
          </w:r>
          <w:r>
            <w:fldChar w:fldCharType="separate"/>
          </w:r>
          <w:r>
            <w:t>6</w:t>
          </w:r>
          <w:r>
            <w:fldChar w:fldCharType="end"/>
          </w:r>
          <w:r>
            <w:fldChar w:fldCharType="end"/>
          </w:r>
        </w:p>
        <w:p w14:paraId="31B04A12">
          <w:pPr>
            <w:pStyle w:val="11"/>
            <w:tabs>
              <w:tab w:val="right" w:leader="dot" w:pos="8306"/>
            </w:tabs>
          </w:pPr>
          <w:r>
            <w:fldChar w:fldCharType="begin"/>
          </w:r>
          <w:r>
            <w:instrText xml:space="preserve"> HYPERLINK \l _Toc22456 </w:instrText>
          </w:r>
          <w:r>
            <w:fldChar w:fldCharType="separate"/>
          </w:r>
          <w:r>
            <w:rPr>
              <w:rFonts w:hint="eastAsia"/>
              <w:lang w:eastAsia="zh-CN"/>
            </w:rPr>
            <w:t>二、资金使用方向、主要内容和涉及范围</w:t>
          </w:r>
          <w:r>
            <w:tab/>
          </w:r>
          <w:r>
            <w:fldChar w:fldCharType="begin"/>
          </w:r>
          <w:r>
            <w:instrText xml:space="preserve"> PAGEREF _Toc22456 \h </w:instrText>
          </w:r>
          <w:r>
            <w:fldChar w:fldCharType="separate"/>
          </w:r>
          <w:r>
            <w:t>8</w:t>
          </w:r>
          <w:r>
            <w:fldChar w:fldCharType="end"/>
          </w:r>
          <w:r>
            <w:fldChar w:fldCharType="end"/>
          </w:r>
        </w:p>
        <w:p w14:paraId="66E9D828">
          <w:pPr>
            <w:pStyle w:val="6"/>
            <w:tabs>
              <w:tab w:val="right" w:leader="dot" w:pos="8306"/>
            </w:tabs>
          </w:pPr>
          <w:r>
            <w:fldChar w:fldCharType="begin"/>
          </w:r>
          <w:r>
            <w:instrText xml:space="preserve"> HYPERLINK \l _Toc11603 </w:instrText>
          </w:r>
          <w:r>
            <w:fldChar w:fldCharType="separate"/>
          </w:r>
          <w:r>
            <w:rPr>
              <w:rFonts w:hint="eastAsia"/>
              <w:lang w:eastAsia="zh-CN"/>
            </w:rPr>
            <w:t>1.基本支出</w:t>
          </w:r>
          <w:r>
            <w:tab/>
          </w:r>
          <w:r>
            <w:fldChar w:fldCharType="begin"/>
          </w:r>
          <w:r>
            <w:instrText xml:space="preserve"> PAGEREF _Toc11603 \h </w:instrText>
          </w:r>
          <w:r>
            <w:fldChar w:fldCharType="separate"/>
          </w:r>
          <w:r>
            <w:t>8</w:t>
          </w:r>
          <w:r>
            <w:fldChar w:fldCharType="end"/>
          </w:r>
          <w:r>
            <w:fldChar w:fldCharType="end"/>
          </w:r>
        </w:p>
        <w:p w14:paraId="4324F9CA">
          <w:pPr>
            <w:pStyle w:val="6"/>
            <w:tabs>
              <w:tab w:val="right" w:leader="dot" w:pos="8306"/>
            </w:tabs>
          </w:pPr>
          <w:r>
            <w:fldChar w:fldCharType="begin"/>
          </w:r>
          <w:r>
            <w:instrText xml:space="preserve"> HYPERLINK \l _Toc13522 </w:instrText>
          </w:r>
          <w:r>
            <w:fldChar w:fldCharType="separate"/>
          </w:r>
          <w:r>
            <w:rPr>
              <w:rFonts w:hint="eastAsia"/>
              <w:lang w:eastAsia="zh-CN"/>
            </w:rPr>
            <w:t>2.</w:t>
          </w:r>
          <w:r>
            <w:rPr>
              <w:lang w:eastAsia="zh-CN"/>
            </w:rPr>
            <w:t>项目支出</w:t>
          </w:r>
          <w:r>
            <w:tab/>
          </w:r>
          <w:r>
            <w:fldChar w:fldCharType="begin"/>
          </w:r>
          <w:r>
            <w:instrText xml:space="preserve"> PAGEREF _Toc13522 \h </w:instrText>
          </w:r>
          <w:r>
            <w:fldChar w:fldCharType="separate"/>
          </w:r>
          <w:r>
            <w:t>8</w:t>
          </w:r>
          <w:r>
            <w:fldChar w:fldCharType="end"/>
          </w:r>
          <w:r>
            <w:fldChar w:fldCharType="end"/>
          </w:r>
        </w:p>
        <w:p w14:paraId="033F3643">
          <w:pPr>
            <w:pStyle w:val="6"/>
            <w:tabs>
              <w:tab w:val="right" w:leader="dot" w:pos="8306"/>
            </w:tabs>
          </w:pPr>
          <w:r>
            <w:fldChar w:fldCharType="begin"/>
          </w:r>
          <w:r>
            <w:instrText xml:space="preserve"> HYPERLINK \l _Toc17107 </w:instrText>
          </w:r>
          <w:r>
            <w:fldChar w:fldCharType="separate"/>
          </w:r>
          <w:r>
            <w:rPr>
              <w:rFonts w:hint="eastAsia"/>
              <w:lang w:eastAsia="zh-CN"/>
            </w:rPr>
            <w:t>3.“三公”经费的使用和管理情况</w:t>
          </w:r>
          <w:r>
            <w:tab/>
          </w:r>
          <w:r>
            <w:fldChar w:fldCharType="begin"/>
          </w:r>
          <w:r>
            <w:instrText xml:space="preserve"> PAGEREF _Toc17107 \h </w:instrText>
          </w:r>
          <w:r>
            <w:fldChar w:fldCharType="separate"/>
          </w:r>
          <w:r>
            <w:t>9</w:t>
          </w:r>
          <w:r>
            <w:fldChar w:fldCharType="end"/>
          </w:r>
          <w:r>
            <w:fldChar w:fldCharType="end"/>
          </w:r>
        </w:p>
        <w:p w14:paraId="37F9CD4C">
          <w:pPr>
            <w:pStyle w:val="11"/>
            <w:tabs>
              <w:tab w:val="right" w:leader="dot" w:pos="8306"/>
            </w:tabs>
          </w:pPr>
          <w:r>
            <w:fldChar w:fldCharType="begin"/>
          </w:r>
          <w:r>
            <w:instrText xml:space="preserve"> HYPERLINK \l _Toc13060 </w:instrText>
          </w:r>
          <w:r>
            <w:fldChar w:fldCharType="separate"/>
          </w:r>
          <w:r>
            <w:rPr>
              <w:rFonts w:hint="eastAsia"/>
              <w:lang w:eastAsia="zh-CN"/>
            </w:rPr>
            <w:t>三、部门年度总体目标</w:t>
          </w:r>
          <w:r>
            <w:tab/>
          </w:r>
          <w:r>
            <w:fldChar w:fldCharType="begin"/>
          </w:r>
          <w:r>
            <w:instrText xml:space="preserve"> PAGEREF _Toc13060 \h </w:instrText>
          </w:r>
          <w:r>
            <w:fldChar w:fldCharType="separate"/>
          </w:r>
          <w:r>
            <w:t>9</w:t>
          </w:r>
          <w:r>
            <w:fldChar w:fldCharType="end"/>
          </w:r>
          <w:r>
            <w:fldChar w:fldCharType="end"/>
          </w:r>
        </w:p>
        <w:p w14:paraId="0926909F">
          <w:pPr>
            <w:pStyle w:val="6"/>
            <w:tabs>
              <w:tab w:val="right" w:leader="dot" w:pos="8306"/>
            </w:tabs>
          </w:pPr>
          <w:r>
            <w:fldChar w:fldCharType="begin"/>
          </w:r>
          <w:r>
            <w:instrText xml:space="preserve"> HYPERLINK \l _Toc15554 </w:instrText>
          </w:r>
          <w:r>
            <w:fldChar w:fldCharType="separate"/>
          </w:r>
          <w:r>
            <w:rPr>
              <w:rFonts w:hint="eastAsia"/>
              <w:lang w:eastAsia="zh-CN"/>
            </w:rPr>
            <w:t>（1）部门年度目标</w:t>
          </w:r>
          <w:r>
            <w:tab/>
          </w:r>
          <w:r>
            <w:fldChar w:fldCharType="begin"/>
          </w:r>
          <w:r>
            <w:instrText xml:space="preserve"> PAGEREF _Toc15554 \h </w:instrText>
          </w:r>
          <w:r>
            <w:fldChar w:fldCharType="separate"/>
          </w:r>
          <w:r>
            <w:t>9</w:t>
          </w:r>
          <w:r>
            <w:fldChar w:fldCharType="end"/>
          </w:r>
          <w:r>
            <w:fldChar w:fldCharType="end"/>
          </w:r>
        </w:p>
        <w:p w14:paraId="5036819A">
          <w:pPr>
            <w:pStyle w:val="6"/>
            <w:tabs>
              <w:tab w:val="right" w:leader="dot" w:pos="8306"/>
            </w:tabs>
          </w:pPr>
          <w:r>
            <w:fldChar w:fldCharType="begin"/>
          </w:r>
          <w:r>
            <w:instrText xml:space="preserve"> HYPERLINK \l _Toc21960 </w:instrText>
          </w:r>
          <w:r>
            <w:fldChar w:fldCharType="separate"/>
          </w:r>
          <w:r>
            <w:rPr>
              <w:rFonts w:hint="eastAsia"/>
              <w:lang w:eastAsia="zh-CN"/>
            </w:rPr>
            <w:t>（2）具体绩效目标</w:t>
          </w:r>
          <w:r>
            <w:tab/>
          </w:r>
          <w:r>
            <w:fldChar w:fldCharType="begin"/>
          </w:r>
          <w:r>
            <w:instrText xml:space="preserve"> PAGEREF _Toc21960 \h </w:instrText>
          </w:r>
          <w:r>
            <w:fldChar w:fldCharType="separate"/>
          </w:r>
          <w:r>
            <w:t>10</w:t>
          </w:r>
          <w:r>
            <w:fldChar w:fldCharType="end"/>
          </w:r>
          <w:r>
            <w:fldChar w:fldCharType="end"/>
          </w:r>
        </w:p>
        <w:p w14:paraId="4D50B391">
          <w:pPr>
            <w:pStyle w:val="11"/>
            <w:tabs>
              <w:tab w:val="right" w:leader="dot" w:pos="8306"/>
            </w:tabs>
          </w:pPr>
          <w:r>
            <w:fldChar w:fldCharType="begin"/>
          </w:r>
          <w:r>
            <w:instrText xml:space="preserve"> HYPERLINK \l _Toc22627 </w:instrText>
          </w:r>
          <w:r>
            <w:fldChar w:fldCharType="separate"/>
          </w:r>
          <w:r>
            <w:rPr>
              <w:rFonts w:hint="eastAsia"/>
              <w:lang w:eastAsia="zh-CN"/>
            </w:rPr>
            <w:t>四、评价思路</w:t>
          </w:r>
          <w:r>
            <w:tab/>
          </w:r>
          <w:r>
            <w:fldChar w:fldCharType="begin"/>
          </w:r>
          <w:r>
            <w:instrText xml:space="preserve"> PAGEREF _Toc22627 \h </w:instrText>
          </w:r>
          <w:r>
            <w:fldChar w:fldCharType="separate"/>
          </w:r>
          <w:r>
            <w:t>12</w:t>
          </w:r>
          <w:r>
            <w:fldChar w:fldCharType="end"/>
          </w:r>
          <w:r>
            <w:fldChar w:fldCharType="end"/>
          </w:r>
        </w:p>
        <w:p w14:paraId="271779E3">
          <w:pPr>
            <w:pStyle w:val="6"/>
            <w:tabs>
              <w:tab w:val="right" w:leader="dot" w:pos="8306"/>
            </w:tabs>
          </w:pPr>
          <w:r>
            <w:fldChar w:fldCharType="begin"/>
          </w:r>
          <w:r>
            <w:instrText xml:space="preserve"> HYPERLINK \l _Toc22079 </w:instrText>
          </w:r>
          <w:r>
            <w:fldChar w:fldCharType="separate"/>
          </w:r>
          <w:r>
            <w:rPr>
              <w:rFonts w:hint="eastAsia"/>
              <w:lang w:eastAsia="zh-CN"/>
            </w:rPr>
            <w:t>（一）评价目的</w:t>
          </w:r>
          <w:r>
            <w:tab/>
          </w:r>
          <w:r>
            <w:fldChar w:fldCharType="begin"/>
          </w:r>
          <w:r>
            <w:instrText xml:space="preserve"> PAGEREF _Toc22079 \h </w:instrText>
          </w:r>
          <w:r>
            <w:fldChar w:fldCharType="separate"/>
          </w:r>
          <w:r>
            <w:t>12</w:t>
          </w:r>
          <w:r>
            <w:fldChar w:fldCharType="end"/>
          </w:r>
          <w:r>
            <w:fldChar w:fldCharType="end"/>
          </w:r>
        </w:p>
        <w:p w14:paraId="117AD6AA">
          <w:pPr>
            <w:pStyle w:val="6"/>
            <w:tabs>
              <w:tab w:val="right" w:leader="dot" w:pos="8306"/>
            </w:tabs>
          </w:pPr>
          <w:r>
            <w:fldChar w:fldCharType="begin"/>
          </w:r>
          <w:r>
            <w:instrText xml:space="preserve"> HYPERLINK \l _Toc16277 </w:instrText>
          </w:r>
          <w:r>
            <w:fldChar w:fldCharType="separate"/>
          </w:r>
          <w:r>
            <w:rPr>
              <w:rFonts w:hint="eastAsia"/>
              <w:lang w:eastAsia="zh-CN"/>
            </w:rPr>
            <w:t>（二）评价对象及范围</w:t>
          </w:r>
          <w:r>
            <w:tab/>
          </w:r>
          <w:r>
            <w:fldChar w:fldCharType="begin"/>
          </w:r>
          <w:r>
            <w:instrText xml:space="preserve"> PAGEREF _Toc16277 \h </w:instrText>
          </w:r>
          <w:r>
            <w:fldChar w:fldCharType="separate"/>
          </w:r>
          <w:r>
            <w:t>12</w:t>
          </w:r>
          <w:r>
            <w:fldChar w:fldCharType="end"/>
          </w:r>
          <w:r>
            <w:fldChar w:fldCharType="end"/>
          </w:r>
        </w:p>
        <w:p w14:paraId="0D9C1A8A">
          <w:pPr>
            <w:pStyle w:val="6"/>
            <w:tabs>
              <w:tab w:val="right" w:leader="dot" w:pos="8306"/>
            </w:tabs>
          </w:pPr>
          <w:r>
            <w:fldChar w:fldCharType="begin"/>
          </w:r>
          <w:r>
            <w:instrText xml:space="preserve"> HYPERLINK \l _Toc16128 </w:instrText>
          </w:r>
          <w:r>
            <w:fldChar w:fldCharType="separate"/>
          </w:r>
          <w:r>
            <w:rPr>
              <w:rFonts w:hint="eastAsia"/>
              <w:lang w:eastAsia="zh-CN"/>
            </w:rPr>
            <w:t>（三）评价依据</w:t>
          </w:r>
          <w:r>
            <w:tab/>
          </w:r>
          <w:r>
            <w:fldChar w:fldCharType="begin"/>
          </w:r>
          <w:r>
            <w:instrText xml:space="preserve"> PAGEREF _Toc16128 \h </w:instrText>
          </w:r>
          <w:r>
            <w:fldChar w:fldCharType="separate"/>
          </w:r>
          <w:r>
            <w:t>12</w:t>
          </w:r>
          <w:r>
            <w:fldChar w:fldCharType="end"/>
          </w:r>
          <w:r>
            <w:fldChar w:fldCharType="end"/>
          </w:r>
        </w:p>
        <w:p w14:paraId="6249212A">
          <w:pPr>
            <w:pStyle w:val="6"/>
            <w:tabs>
              <w:tab w:val="right" w:leader="dot" w:pos="8306"/>
            </w:tabs>
          </w:pPr>
          <w:r>
            <w:fldChar w:fldCharType="begin"/>
          </w:r>
          <w:r>
            <w:instrText xml:space="preserve"> HYPERLINK \l _Toc8677 </w:instrText>
          </w:r>
          <w:r>
            <w:fldChar w:fldCharType="separate"/>
          </w:r>
          <w:r>
            <w:rPr>
              <w:rFonts w:hint="eastAsia"/>
              <w:lang w:eastAsia="zh-CN"/>
            </w:rPr>
            <w:t>（四）评价原则</w:t>
          </w:r>
          <w:r>
            <w:tab/>
          </w:r>
          <w:r>
            <w:fldChar w:fldCharType="begin"/>
          </w:r>
          <w:r>
            <w:instrText xml:space="preserve"> PAGEREF _Toc8677 \h </w:instrText>
          </w:r>
          <w:r>
            <w:fldChar w:fldCharType="separate"/>
          </w:r>
          <w:r>
            <w:t>13</w:t>
          </w:r>
          <w:r>
            <w:fldChar w:fldCharType="end"/>
          </w:r>
          <w:r>
            <w:fldChar w:fldCharType="end"/>
          </w:r>
        </w:p>
        <w:p w14:paraId="497B4DD1">
          <w:pPr>
            <w:pStyle w:val="6"/>
            <w:tabs>
              <w:tab w:val="right" w:leader="dot" w:pos="8306"/>
            </w:tabs>
          </w:pPr>
          <w:r>
            <w:fldChar w:fldCharType="begin"/>
          </w:r>
          <w:r>
            <w:instrText xml:space="preserve"> HYPERLINK \l _Toc23413 </w:instrText>
          </w:r>
          <w:r>
            <w:fldChar w:fldCharType="separate"/>
          </w:r>
          <w:r>
            <w:rPr>
              <w:rFonts w:hint="eastAsia"/>
              <w:lang w:eastAsia="zh-CN"/>
            </w:rPr>
            <w:t>（五）评价方法</w:t>
          </w:r>
          <w:r>
            <w:tab/>
          </w:r>
          <w:r>
            <w:fldChar w:fldCharType="begin"/>
          </w:r>
          <w:r>
            <w:instrText xml:space="preserve"> PAGEREF _Toc23413 \h </w:instrText>
          </w:r>
          <w:r>
            <w:fldChar w:fldCharType="separate"/>
          </w:r>
          <w:r>
            <w:t>14</w:t>
          </w:r>
          <w:r>
            <w:fldChar w:fldCharType="end"/>
          </w:r>
          <w:r>
            <w:fldChar w:fldCharType="end"/>
          </w:r>
        </w:p>
        <w:p w14:paraId="474804BB">
          <w:pPr>
            <w:pStyle w:val="6"/>
            <w:tabs>
              <w:tab w:val="right" w:leader="dot" w:pos="8306"/>
            </w:tabs>
          </w:pPr>
          <w:r>
            <w:fldChar w:fldCharType="begin"/>
          </w:r>
          <w:r>
            <w:instrText xml:space="preserve"> HYPERLINK \l _Toc14073 </w:instrText>
          </w:r>
          <w:r>
            <w:fldChar w:fldCharType="separate"/>
          </w:r>
          <w:r>
            <w:rPr>
              <w:rFonts w:hint="eastAsia"/>
              <w:lang w:eastAsia="zh-CN"/>
            </w:rPr>
            <w:t>（六）绩效标准</w:t>
          </w:r>
          <w:r>
            <w:tab/>
          </w:r>
          <w:r>
            <w:fldChar w:fldCharType="begin"/>
          </w:r>
          <w:r>
            <w:instrText xml:space="preserve"> PAGEREF _Toc14073 \h </w:instrText>
          </w:r>
          <w:r>
            <w:fldChar w:fldCharType="separate"/>
          </w:r>
          <w:r>
            <w:t>15</w:t>
          </w:r>
          <w:r>
            <w:fldChar w:fldCharType="end"/>
          </w:r>
          <w:r>
            <w:fldChar w:fldCharType="end"/>
          </w:r>
        </w:p>
        <w:p w14:paraId="3ECEECA7">
          <w:pPr>
            <w:pStyle w:val="6"/>
            <w:tabs>
              <w:tab w:val="right" w:leader="dot" w:pos="8306"/>
            </w:tabs>
          </w:pPr>
          <w:r>
            <w:fldChar w:fldCharType="begin"/>
          </w:r>
          <w:r>
            <w:instrText xml:space="preserve"> HYPERLINK \l _Toc16130 </w:instrText>
          </w:r>
          <w:r>
            <w:fldChar w:fldCharType="separate"/>
          </w:r>
          <w:r>
            <w:rPr>
              <w:rFonts w:hint="eastAsia"/>
              <w:lang w:eastAsia="zh-CN"/>
            </w:rPr>
            <w:t>（七）评价思路及关注点</w:t>
          </w:r>
          <w:r>
            <w:tab/>
          </w:r>
          <w:r>
            <w:fldChar w:fldCharType="begin"/>
          </w:r>
          <w:r>
            <w:instrText xml:space="preserve"> PAGEREF _Toc16130 \h </w:instrText>
          </w:r>
          <w:r>
            <w:fldChar w:fldCharType="separate"/>
          </w:r>
          <w:r>
            <w:t>15</w:t>
          </w:r>
          <w:r>
            <w:fldChar w:fldCharType="end"/>
          </w:r>
          <w:r>
            <w:fldChar w:fldCharType="end"/>
          </w:r>
        </w:p>
        <w:p w14:paraId="70FC8F83">
          <w:pPr>
            <w:pStyle w:val="6"/>
            <w:tabs>
              <w:tab w:val="right" w:leader="dot" w:pos="8306"/>
            </w:tabs>
          </w:pPr>
          <w:r>
            <w:fldChar w:fldCharType="begin"/>
          </w:r>
          <w:r>
            <w:instrText xml:space="preserve"> HYPERLINK \l _Toc32147 </w:instrText>
          </w:r>
          <w:r>
            <w:fldChar w:fldCharType="separate"/>
          </w:r>
          <w:r>
            <w:rPr>
              <w:rFonts w:hint="eastAsia"/>
              <w:lang w:eastAsia="zh-CN"/>
            </w:rPr>
            <w:t>（八）绩效评价数据来源</w:t>
          </w:r>
          <w:r>
            <w:tab/>
          </w:r>
          <w:r>
            <w:fldChar w:fldCharType="begin"/>
          </w:r>
          <w:r>
            <w:instrText xml:space="preserve"> PAGEREF _Toc32147 \h </w:instrText>
          </w:r>
          <w:r>
            <w:fldChar w:fldCharType="separate"/>
          </w:r>
          <w:r>
            <w:t>16</w:t>
          </w:r>
          <w:r>
            <w:fldChar w:fldCharType="end"/>
          </w:r>
          <w:r>
            <w:fldChar w:fldCharType="end"/>
          </w:r>
        </w:p>
        <w:p w14:paraId="4F9C1DA5">
          <w:pPr>
            <w:pStyle w:val="6"/>
            <w:tabs>
              <w:tab w:val="right" w:leader="dot" w:pos="8306"/>
            </w:tabs>
          </w:pPr>
          <w:r>
            <w:fldChar w:fldCharType="begin"/>
          </w:r>
          <w:r>
            <w:instrText xml:space="preserve"> HYPERLINK \l _Toc2703 </w:instrText>
          </w:r>
          <w:r>
            <w:fldChar w:fldCharType="separate"/>
          </w:r>
          <w:r>
            <w:rPr>
              <w:rFonts w:hint="eastAsia"/>
              <w:lang w:eastAsia="zh-CN"/>
            </w:rPr>
            <w:t>（九）评价工作开展情况</w:t>
          </w:r>
          <w:r>
            <w:tab/>
          </w:r>
          <w:r>
            <w:fldChar w:fldCharType="begin"/>
          </w:r>
          <w:r>
            <w:instrText xml:space="preserve"> PAGEREF _Toc2703 \h </w:instrText>
          </w:r>
          <w:r>
            <w:fldChar w:fldCharType="separate"/>
          </w:r>
          <w:r>
            <w:t>16</w:t>
          </w:r>
          <w:r>
            <w:fldChar w:fldCharType="end"/>
          </w:r>
          <w:r>
            <w:fldChar w:fldCharType="end"/>
          </w:r>
        </w:p>
        <w:p w14:paraId="21E07011">
          <w:pPr>
            <w:pStyle w:val="11"/>
            <w:tabs>
              <w:tab w:val="right" w:leader="dot" w:pos="8306"/>
            </w:tabs>
          </w:pPr>
          <w:r>
            <w:fldChar w:fldCharType="begin"/>
          </w:r>
          <w:r>
            <w:instrText xml:space="preserve"> HYPERLINK \l _Toc25473 </w:instrText>
          </w:r>
          <w:r>
            <w:fldChar w:fldCharType="separate"/>
          </w:r>
          <w:r>
            <w:rPr>
              <w:rFonts w:hint="eastAsia"/>
              <w:lang w:eastAsia="zh-CN"/>
            </w:rPr>
            <w:t>五、指标体系</w:t>
          </w:r>
          <w:r>
            <w:tab/>
          </w:r>
          <w:r>
            <w:fldChar w:fldCharType="begin"/>
          </w:r>
          <w:r>
            <w:instrText xml:space="preserve"> PAGEREF _Toc25473 \h </w:instrText>
          </w:r>
          <w:r>
            <w:fldChar w:fldCharType="separate"/>
          </w:r>
          <w:r>
            <w:t>17</w:t>
          </w:r>
          <w:r>
            <w:fldChar w:fldCharType="end"/>
          </w:r>
          <w:r>
            <w:fldChar w:fldCharType="end"/>
          </w:r>
        </w:p>
        <w:p w14:paraId="3F39CE6A">
          <w:pPr>
            <w:pStyle w:val="6"/>
            <w:tabs>
              <w:tab w:val="right" w:leader="dot" w:pos="8306"/>
            </w:tabs>
          </w:pPr>
          <w:r>
            <w:fldChar w:fldCharType="begin"/>
          </w:r>
          <w:r>
            <w:instrText xml:space="preserve"> HYPERLINK \l _Toc2855 </w:instrText>
          </w:r>
          <w:r>
            <w:fldChar w:fldCharType="separate"/>
          </w:r>
          <w:r>
            <w:rPr>
              <w:rFonts w:hint="eastAsia"/>
              <w:lang w:eastAsia="zh-CN"/>
            </w:rPr>
            <w:t>（一）评价指标分值分布</w:t>
          </w:r>
          <w:r>
            <w:tab/>
          </w:r>
          <w:r>
            <w:fldChar w:fldCharType="begin"/>
          </w:r>
          <w:r>
            <w:instrText xml:space="preserve"> PAGEREF _Toc2855 \h </w:instrText>
          </w:r>
          <w:r>
            <w:fldChar w:fldCharType="separate"/>
          </w:r>
          <w:r>
            <w:t>17</w:t>
          </w:r>
          <w:r>
            <w:fldChar w:fldCharType="end"/>
          </w:r>
          <w:r>
            <w:fldChar w:fldCharType="end"/>
          </w:r>
        </w:p>
        <w:p w14:paraId="1ECA394F">
          <w:pPr>
            <w:pStyle w:val="6"/>
            <w:tabs>
              <w:tab w:val="right" w:leader="dot" w:pos="8306"/>
            </w:tabs>
          </w:pPr>
          <w:r>
            <w:fldChar w:fldCharType="begin"/>
          </w:r>
          <w:r>
            <w:instrText xml:space="preserve"> HYPERLINK \l _Toc9778 </w:instrText>
          </w:r>
          <w:r>
            <w:fldChar w:fldCharType="separate"/>
          </w:r>
          <w:r>
            <w:rPr>
              <w:rFonts w:hint="eastAsia"/>
              <w:lang w:eastAsia="zh-CN"/>
            </w:rPr>
            <w:t>（二）评价等级</w:t>
          </w:r>
          <w:r>
            <w:tab/>
          </w:r>
          <w:r>
            <w:fldChar w:fldCharType="begin"/>
          </w:r>
          <w:r>
            <w:instrText xml:space="preserve"> PAGEREF _Toc9778 \h </w:instrText>
          </w:r>
          <w:r>
            <w:fldChar w:fldCharType="separate"/>
          </w:r>
          <w:r>
            <w:t>17</w:t>
          </w:r>
          <w:r>
            <w:fldChar w:fldCharType="end"/>
          </w:r>
          <w:r>
            <w:fldChar w:fldCharType="end"/>
          </w:r>
        </w:p>
        <w:p w14:paraId="585CAF6A">
          <w:pPr>
            <w:pStyle w:val="11"/>
            <w:tabs>
              <w:tab w:val="right" w:leader="dot" w:pos="8306"/>
            </w:tabs>
          </w:pPr>
          <w:r>
            <w:fldChar w:fldCharType="begin"/>
          </w:r>
          <w:r>
            <w:instrText xml:space="preserve"> HYPERLINK \l _Toc25290 </w:instrText>
          </w:r>
          <w:r>
            <w:fldChar w:fldCharType="separate"/>
          </w:r>
          <w:r>
            <w:rPr>
              <w:rFonts w:hint="eastAsia"/>
              <w:lang w:eastAsia="zh-CN"/>
            </w:rPr>
            <w:t>六、绩效指标分析</w:t>
          </w:r>
          <w:r>
            <w:tab/>
          </w:r>
          <w:r>
            <w:fldChar w:fldCharType="begin"/>
          </w:r>
          <w:r>
            <w:instrText xml:space="preserve"> PAGEREF _Toc25290 \h </w:instrText>
          </w:r>
          <w:r>
            <w:fldChar w:fldCharType="separate"/>
          </w:r>
          <w:r>
            <w:t>21</w:t>
          </w:r>
          <w:r>
            <w:fldChar w:fldCharType="end"/>
          </w:r>
          <w:r>
            <w:fldChar w:fldCharType="end"/>
          </w:r>
        </w:p>
        <w:p w14:paraId="7A5D201D">
          <w:pPr>
            <w:pStyle w:val="6"/>
            <w:tabs>
              <w:tab w:val="right" w:leader="dot" w:pos="8306"/>
            </w:tabs>
          </w:pPr>
          <w:r>
            <w:fldChar w:fldCharType="begin"/>
          </w:r>
          <w:r>
            <w:instrText xml:space="preserve"> HYPERLINK \l _Toc30920 </w:instrText>
          </w:r>
          <w:r>
            <w:fldChar w:fldCharType="separate"/>
          </w:r>
          <w:r>
            <w:rPr>
              <w:lang w:eastAsia="zh-CN"/>
            </w:rPr>
            <w:t>（一）</w:t>
          </w:r>
          <w:r>
            <w:rPr>
              <w:rFonts w:hint="eastAsia"/>
              <w:lang w:eastAsia="zh-CN"/>
            </w:rPr>
            <w:t>决策</w:t>
          </w:r>
          <w:r>
            <w:rPr>
              <w:lang w:eastAsia="zh-CN"/>
            </w:rPr>
            <w:t>（总分1</w:t>
          </w:r>
          <w:r>
            <w:rPr>
              <w:rFonts w:hint="eastAsia"/>
              <w:lang w:eastAsia="zh-CN"/>
            </w:rPr>
            <w:t>5</w:t>
          </w:r>
          <w:r>
            <w:rPr>
              <w:lang w:eastAsia="zh-CN"/>
            </w:rPr>
            <w:t>分，得分</w:t>
          </w:r>
          <w:r>
            <w:rPr>
              <w:rFonts w:hint="eastAsia"/>
              <w:lang w:eastAsia="zh-CN"/>
            </w:rPr>
            <w:t>13</w:t>
          </w:r>
          <w:r>
            <w:rPr>
              <w:lang w:eastAsia="zh-CN"/>
            </w:rPr>
            <w:t>分）</w:t>
          </w:r>
          <w:r>
            <w:tab/>
          </w:r>
          <w:r>
            <w:fldChar w:fldCharType="begin"/>
          </w:r>
          <w:r>
            <w:instrText xml:space="preserve"> PAGEREF _Toc30920 \h </w:instrText>
          </w:r>
          <w:r>
            <w:fldChar w:fldCharType="separate"/>
          </w:r>
          <w:r>
            <w:t>21</w:t>
          </w:r>
          <w:r>
            <w:fldChar w:fldCharType="end"/>
          </w:r>
          <w:r>
            <w:fldChar w:fldCharType="end"/>
          </w:r>
        </w:p>
        <w:p w14:paraId="37A82D6B">
          <w:pPr>
            <w:pStyle w:val="10"/>
            <w:tabs>
              <w:tab w:val="right" w:leader="dot" w:pos="8306"/>
            </w:tabs>
          </w:pPr>
          <w:r>
            <w:fldChar w:fldCharType="begin"/>
          </w:r>
          <w:r>
            <w:instrText xml:space="preserve"> HYPERLINK \l _Toc13483 </w:instrText>
          </w:r>
          <w:r>
            <w:fldChar w:fldCharType="separate"/>
          </w:r>
          <w:r>
            <w:rPr>
              <w:rFonts w:hint="eastAsia"/>
              <w:lang w:eastAsia="zh-CN"/>
            </w:rPr>
            <w:t>1.</w:t>
          </w:r>
          <w:r>
            <w:rPr>
              <w:lang w:eastAsia="zh-CN"/>
            </w:rPr>
            <w:t>目标设定（总分</w:t>
          </w:r>
          <w:r>
            <w:rPr>
              <w:rFonts w:hint="eastAsia"/>
              <w:lang w:eastAsia="zh-CN"/>
            </w:rPr>
            <w:t>6</w:t>
          </w:r>
          <w:r>
            <w:rPr>
              <w:lang w:eastAsia="zh-CN"/>
            </w:rPr>
            <w:t>分，得分</w:t>
          </w:r>
          <w:r>
            <w:rPr>
              <w:rFonts w:hint="eastAsia"/>
              <w:lang w:eastAsia="zh-CN"/>
            </w:rPr>
            <w:t>4</w:t>
          </w:r>
          <w:r>
            <w:rPr>
              <w:lang w:eastAsia="zh-CN"/>
            </w:rPr>
            <w:t>分）</w:t>
          </w:r>
          <w:r>
            <w:tab/>
          </w:r>
          <w:r>
            <w:fldChar w:fldCharType="begin"/>
          </w:r>
          <w:r>
            <w:instrText xml:space="preserve"> PAGEREF _Toc13483 \h </w:instrText>
          </w:r>
          <w:r>
            <w:fldChar w:fldCharType="separate"/>
          </w:r>
          <w:r>
            <w:t>21</w:t>
          </w:r>
          <w:r>
            <w:fldChar w:fldCharType="end"/>
          </w:r>
          <w:r>
            <w:fldChar w:fldCharType="end"/>
          </w:r>
        </w:p>
        <w:p w14:paraId="0A36AC48">
          <w:pPr>
            <w:pStyle w:val="10"/>
            <w:tabs>
              <w:tab w:val="right" w:leader="dot" w:pos="8306"/>
            </w:tabs>
          </w:pPr>
          <w:r>
            <w:fldChar w:fldCharType="begin"/>
          </w:r>
          <w:r>
            <w:instrText xml:space="preserve"> HYPERLINK \l _Toc9180 </w:instrText>
          </w:r>
          <w:r>
            <w:fldChar w:fldCharType="separate"/>
          </w:r>
          <w:r>
            <w:rPr>
              <w:rFonts w:hint="eastAsia"/>
              <w:lang w:eastAsia="zh-CN"/>
            </w:rPr>
            <w:t>2.</w:t>
          </w:r>
          <w:r>
            <w:rPr>
              <w:lang w:eastAsia="zh-CN"/>
            </w:rPr>
            <w:t>预算配置（总分</w:t>
          </w:r>
          <w:r>
            <w:rPr>
              <w:rFonts w:hint="eastAsia"/>
              <w:lang w:eastAsia="zh-CN"/>
            </w:rPr>
            <w:t>9</w:t>
          </w:r>
          <w:r>
            <w:rPr>
              <w:lang w:eastAsia="zh-CN"/>
            </w:rPr>
            <w:t>分</w:t>
          </w:r>
          <w:r>
            <w:rPr>
              <w:rFonts w:hint="eastAsia"/>
              <w:lang w:eastAsia="zh-CN"/>
            </w:rPr>
            <w:t>，得分9分</w:t>
          </w:r>
          <w:r>
            <w:rPr>
              <w:lang w:eastAsia="zh-CN"/>
            </w:rPr>
            <w:t>）</w:t>
          </w:r>
          <w:r>
            <w:tab/>
          </w:r>
          <w:r>
            <w:fldChar w:fldCharType="begin"/>
          </w:r>
          <w:r>
            <w:instrText xml:space="preserve"> PAGEREF _Toc9180 \h </w:instrText>
          </w:r>
          <w:r>
            <w:fldChar w:fldCharType="separate"/>
          </w:r>
          <w:r>
            <w:t>22</w:t>
          </w:r>
          <w:r>
            <w:fldChar w:fldCharType="end"/>
          </w:r>
          <w:r>
            <w:fldChar w:fldCharType="end"/>
          </w:r>
        </w:p>
        <w:p w14:paraId="4EFC0EBF">
          <w:pPr>
            <w:pStyle w:val="6"/>
            <w:tabs>
              <w:tab w:val="right" w:leader="dot" w:pos="8306"/>
            </w:tabs>
          </w:pPr>
          <w:r>
            <w:fldChar w:fldCharType="begin"/>
          </w:r>
          <w:r>
            <w:instrText xml:space="preserve"> HYPERLINK \l _Toc22632 </w:instrText>
          </w:r>
          <w:r>
            <w:fldChar w:fldCharType="separate"/>
          </w:r>
          <w:r>
            <w:rPr>
              <w:lang w:eastAsia="zh-CN"/>
            </w:rPr>
            <w:t>（二）过程（总分</w:t>
          </w:r>
          <w:r>
            <w:rPr>
              <w:rFonts w:hint="eastAsia"/>
              <w:lang w:eastAsia="zh-CN"/>
            </w:rPr>
            <w:t>21</w:t>
          </w:r>
          <w:r>
            <w:rPr>
              <w:lang w:eastAsia="zh-CN"/>
            </w:rPr>
            <w:t>分，得分1</w:t>
          </w:r>
          <w:r>
            <w:rPr>
              <w:rFonts w:hint="eastAsia"/>
              <w:lang w:eastAsia="zh-CN"/>
            </w:rPr>
            <w:t>4</w:t>
          </w:r>
          <w:r>
            <w:rPr>
              <w:lang w:eastAsia="zh-CN"/>
            </w:rPr>
            <w:t>.</w:t>
          </w:r>
          <w:r>
            <w:rPr>
              <w:rFonts w:hint="eastAsia"/>
              <w:lang w:eastAsia="zh-CN"/>
            </w:rPr>
            <w:t>28</w:t>
          </w:r>
          <w:r>
            <w:rPr>
              <w:lang w:eastAsia="zh-CN"/>
            </w:rPr>
            <w:t>分）</w:t>
          </w:r>
          <w:r>
            <w:tab/>
          </w:r>
          <w:r>
            <w:fldChar w:fldCharType="begin"/>
          </w:r>
          <w:r>
            <w:instrText xml:space="preserve"> PAGEREF _Toc22632 \h </w:instrText>
          </w:r>
          <w:r>
            <w:fldChar w:fldCharType="separate"/>
          </w:r>
          <w:r>
            <w:t>23</w:t>
          </w:r>
          <w:r>
            <w:fldChar w:fldCharType="end"/>
          </w:r>
          <w:r>
            <w:fldChar w:fldCharType="end"/>
          </w:r>
        </w:p>
        <w:p w14:paraId="04F9E7F3">
          <w:pPr>
            <w:pStyle w:val="10"/>
            <w:tabs>
              <w:tab w:val="right" w:leader="dot" w:pos="8306"/>
            </w:tabs>
          </w:pPr>
          <w:r>
            <w:fldChar w:fldCharType="begin"/>
          </w:r>
          <w:r>
            <w:instrText xml:space="preserve"> HYPERLINK \l _Toc13399 </w:instrText>
          </w:r>
          <w:r>
            <w:fldChar w:fldCharType="separate"/>
          </w:r>
          <w:r>
            <w:rPr>
              <w:rFonts w:hint="eastAsia"/>
              <w:lang w:eastAsia="zh-CN"/>
            </w:rPr>
            <w:t>1.</w:t>
          </w:r>
          <w:r>
            <w:rPr>
              <w:lang w:eastAsia="zh-CN"/>
            </w:rPr>
            <w:t>预算执行（总分</w:t>
          </w:r>
          <w:r>
            <w:rPr>
              <w:rFonts w:hint="eastAsia"/>
              <w:lang w:eastAsia="zh-CN"/>
            </w:rPr>
            <w:t>9</w:t>
          </w:r>
          <w:r>
            <w:rPr>
              <w:lang w:eastAsia="zh-CN"/>
            </w:rPr>
            <w:t>分，得分</w:t>
          </w:r>
          <w:r>
            <w:rPr>
              <w:rFonts w:hint="eastAsia"/>
              <w:lang w:eastAsia="zh-CN"/>
            </w:rPr>
            <w:t>8.28</w:t>
          </w:r>
          <w:r>
            <w:rPr>
              <w:lang w:eastAsia="zh-CN"/>
            </w:rPr>
            <w:t>分）</w:t>
          </w:r>
          <w:r>
            <w:tab/>
          </w:r>
          <w:r>
            <w:fldChar w:fldCharType="begin"/>
          </w:r>
          <w:r>
            <w:instrText xml:space="preserve"> PAGEREF _Toc13399 \h </w:instrText>
          </w:r>
          <w:r>
            <w:fldChar w:fldCharType="separate"/>
          </w:r>
          <w:r>
            <w:t>23</w:t>
          </w:r>
          <w:r>
            <w:fldChar w:fldCharType="end"/>
          </w:r>
          <w:r>
            <w:fldChar w:fldCharType="end"/>
          </w:r>
        </w:p>
        <w:p w14:paraId="3939F8E0">
          <w:pPr>
            <w:pStyle w:val="10"/>
            <w:tabs>
              <w:tab w:val="right" w:leader="dot" w:pos="8306"/>
            </w:tabs>
          </w:pPr>
          <w:r>
            <w:fldChar w:fldCharType="begin"/>
          </w:r>
          <w:r>
            <w:instrText xml:space="preserve"> HYPERLINK \l _Toc29699 </w:instrText>
          </w:r>
          <w:r>
            <w:fldChar w:fldCharType="separate"/>
          </w:r>
          <w:r>
            <w:rPr>
              <w:rFonts w:hint="eastAsia"/>
              <w:lang w:eastAsia="zh-CN"/>
            </w:rPr>
            <w:t>2.</w:t>
          </w:r>
          <w:r>
            <w:rPr>
              <w:lang w:eastAsia="zh-CN"/>
            </w:rPr>
            <w:t>预算管理（总分</w:t>
          </w:r>
          <w:r>
            <w:rPr>
              <w:rFonts w:hint="eastAsia"/>
              <w:lang w:eastAsia="zh-CN"/>
            </w:rPr>
            <w:t>12</w:t>
          </w:r>
          <w:r>
            <w:rPr>
              <w:lang w:eastAsia="zh-CN"/>
            </w:rPr>
            <w:t>分，得分</w:t>
          </w:r>
          <w:r>
            <w:rPr>
              <w:rFonts w:hint="eastAsia"/>
              <w:lang w:eastAsia="zh-CN"/>
            </w:rPr>
            <w:t>6</w:t>
          </w:r>
          <w:r>
            <w:rPr>
              <w:lang w:eastAsia="zh-CN"/>
            </w:rPr>
            <w:t>分）</w:t>
          </w:r>
          <w:r>
            <w:tab/>
          </w:r>
          <w:r>
            <w:fldChar w:fldCharType="begin"/>
          </w:r>
          <w:r>
            <w:instrText xml:space="preserve"> PAGEREF _Toc29699 \h </w:instrText>
          </w:r>
          <w:r>
            <w:fldChar w:fldCharType="separate"/>
          </w:r>
          <w:r>
            <w:t>24</w:t>
          </w:r>
          <w:r>
            <w:fldChar w:fldCharType="end"/>
          </w:r>
          <w:r>
            <w:fldChar w:fldCharType="end"/>
          </w:r>
        </w:p>
        <w:p w14:paraId="335F8ED7">
          <w:pPr>
            <w:pStyle w:val="6"/>
            <w:tabs>
              <w:tab w:val="right" w:leader="dot" w:pos="8306"/>
            </w:tabs>
          </w:pPr>
          <w:r>
            <w:fldChar w:fldCharType="begin"/>
          </w:r>
          <w:r>
            <w:instrText xml:space="preserve"> HYPERLINK \l _Toc14851 </w:instrText>
          </w:r>
          <w:r>
            <w:fldChar w:fldCharType="separate"/>
          </w:r>
          <w:r>
            <w:rPr>
              <w:rFonts w:hint="eastAsia"/>
              <w:lang w:eastAsia="zh-CN"/>
            </w:rPr>
            <w:t>（三）产出（总分36分，得分30分）</w:t>
          </w:r>
          <w:r>
            <w:tab/>
          </w:r>
          <w:r>
            <w:fldChar w:fldCharType="begin"/>
          </w:r>
          <w:r>
            <w:instrText xml:space="preserve"> PAGEREF _Toc14851 \h </w:instrText>
          </w:r>
          <w:r>
            <w:fldChar w:fldCharType="separate"/>
          </w:r>
          <w:r>
            <w:t>26</w:t>
          </w:r>
          <w:r>
            <w:fldChar w:fldCharType="end"/>
          </w:r>
          <w:r>
            <w:fldChar w:fldCharType="end"/>
          </w:r>
        </w:p>
        <w:p w14:paraId="1888D9CC">
          <w:pPr>
            <w:pStyle w:val="10"/>
            <w:tabs>
              <w:tab w:val="right" w:leader="dot" w:pos="8306"/>
            </w:tabs>
          </w:pPr>
          <w:r>
            <w:fldChar w:fldCharType="begin"/>
          </w:r>
          <w:r>
            <w:instrText xml:space="preserve"> HYPERLINK \l _Toc6822 </w:instrText>
          </w:r>
          <w:r>
            <w:fldChar w:fldCharType="separate"/>
          </w:r>
          <w:r>
            <w:rPr>
              <w:rFonts w:hint="eastAsia"/>
              <w:lang w:eastAsia="zh-CN"/>
            </w:rPr>
            <w:t>1.职责履行</w:t>
          </w:r>
          <w:r>
            <w:rPr>
              <w:lang w:eastAsia="zh-CN"/>
            </w:rPr>
            <w:t>（总分</w:t>
          </w:r>
          <w:r>
            <w:rPr>
              <w:rFonts w:hint="eastAsia"/>
              <w:lang w:eastAsia="zh-CN"/>
            </w:rPr>
            <w:t>6</w:t>
          </w:r>
          <w:r>
            <w:rPr>
              <w:lang w:eastAsia="zh-CN"/>
            </w:rPr>
            <w:t>分，得分</w:t>
          </w:r>
          <w:r>
            <w:rPr>
              <w:rFonts w:hint="eastAsia"/>
              <w:lang w:eastAsia="zh-CN"/>
            </w:rPr>
            <w:t>6</w:t>
          </w:r>
          <w:r>
            <w:rPr>
              <w:lang w:eastAsia="zh-CN"/>
            </w:rPr>
            <w:t>分）</w:t>
          </w:r>
          <w:r>
            <w:tab/>
          </w:r>
          <w:r>
            <w:fldChar w:fldCharType="begin"/>
          </w:r>
          <w:r>
            <w:instrText xml:space="preserve"> PAGEREF _Toc6822 \h </w:instrText>
          </w:r>
          <w:r>
            <w:fldChar w:fldCharType="separate"/>
          </w:r>
          <w:r>
            <w:t>26</w:t>
          </w:r>
          <w:r>
            <w:fldChar w:fldCharType="end"/>
          </w:r>
          <w:r>
            <w:fldChar w:fldCharType="end"/>
          </w:r>
        </w:p>
        <w:p w14:paraId="1F2845F1">
          <w:pPr>
            <w:pStyle w:val="10"/>
            <w:tabs>
              <w:tab w:val="right" w:leader="dot" w:pos="8306"/>
            </w:tabs>
          </w:pPr>
          <w:r>
            <w:fldChar w:fldCharType="begin"/>
          </w:r>
          <w:r>
            <w:instrText xml:space="preserve"> HYPERLINK \l _Toc23497 </w:instrText>
          </w:r>
          <w:r>
            <w:fldChar w:fldCharType="separate"/>
          </w:r>
          <w:r>
            <w:rPr>
              <w:rFonts w:hint="eastAsia"/>
              <w:lang w:eastAsia="zh-CN"/>
            </w:rPr>
            <w:t>2.</w:t>
          </w:r>
          <w:r>
            <w:rPr>
              <w:lang w:eastAsia="zh-CN"/>
            </w:rPr>
            <w:t>产出数量（总分</w:t>
          </w:r>
          <w:r>
            <w:rPr>
              <w:rFonts w:hint="eastAsia"/>
              <w:lang w:eastAsia="zh-CN"/>
            </w:rPr>
            <w:t>18</w:t>
          </w:r>
          <w:r>
            <w:rPr>
              <w:lang w:eastAsia="zh-CN"/>
            </w:rPr>
            <w:t>分，得分</w:t>
          </w:r>
          <w:r>
            <w:rPr>
              <w:rFonts w:hint="eastAsia"/>
              <w:lang w:eastAsia="zh-CN"/>
            </w:rPr>
            <w:t>18</w:t>
          </w:r>
          <w:r>
            <w:rPr>
              <w:lang w:eastAsia="zh-CN"/>
            </w:rPr>
            <w:t>分）</w:t>
          </w:r>
          <w:r>
            <w:tab/>
          </w:r>
          <w:r>
            <w:fldChar w:fldCharType="begin"/>
          </w:r>
          <w:r>
            <w:instrText xml:space="preserve"> PAGEREF _Toc23497 \h </w:instrText>
          </w:r>
          <w:r>
            <w:fldChar w:fldCharType="separate"/>
          </w:r>
          <w:r>
            <w:t>26</w:t>
          </w:r>
          <w:r>
            <w:fldChar w:fldCharType="end"/>
          </w:r>
          <w:r>
            <w:fldChar w:fldCharType="end"/>
          </w:r>
        </w:p>
        <w:p w14:paraId="60B323DF">
          <w:pPr>
            <w:pStyle w:val="10"/>
            <w:tabs>
              <w:tab w:val="right" w:leader="dot" w:pos="8306"/>
            </w:tabs>
          </w:pPr>
          <w:r>
            <w:fldChar w:fldCharType="begin"/>
          </w:r>
          <w:r>
            <w:instrText xml:space="preserve"> HYPERLINK \l _Toc15985 </w:instrText>
          </w:r>
          <w:r>
            <w:fldChar w:fldCharType="separate"/>
          </w:r>
          <w:r>
            <w:rPr>
              <w:rFonts w:hint="eastAsia"/>
              <w:lang w:eastAsia="zh-CN"/>
            </w:rPr>
            <w:t>3.</w:t>
          </w:r>
          <w:r>
            <w:rPr>
              <w:lang w:eastAsia="zh-CN"/>
            </w:rPr>
            <w:t>产出质量（总分</w:t>
          </w:r>
          <w:r>
            <w:rPr>
              <w:rFonts w:hint="eastAsia"/>
              <w:lang w:eastAsia="zh-CN"/>
            </w:rPr>
            <w:t>12</w:t>
          </w:r>
          <w:r>
            <w:rPr>
              <w:lang w:eastAsia="zh-CN"/>
            </w:rPr>
            <w:t>分，得分</w:t>
          </w:r>
          <w:r>
            <w:rPr>
              <w:rFonts w:hint="eastAsia"/>
              <w:lang w:eastAsia="zh-CN"/>
            </w:rPr>
            <w:t>6</w:t>
          </w:r>
          <w:r>
            <w:rPr>
              <w:lang w:eastAsia="zh-CN"/>
            </w:rPr>
            <w:t>分）</w:t>
          </w:r>
          <w:r>
            <w:tab/>
          </w:r>
          <w:r>
            <w:fldChar w:fldCharType="begin"/>
          </w:r>
          <w:r>
            <w:instrText xml:space="preserve"> PAGEREF _Toc15985 \h </w:instrText>
          </w:r>
          <w:r>
            <w:fldChar w:fldCharType="separate"/>
          </w:r>
          <w:r>
            <w:t>27</w:t>
          </w:r>
          <w:r>
            <w:fldChar w:fldCharType="end"/>
          </w:r>
          <w:r>
            <w:fldChar w:fldCharType="end"/>
          </w:r>
        </w:p>
        <w:p w14:paraId="4CD9E070">
          <w:pPr>
            <w:pStyle w:val="6"/>
            <w:tabs>
              <w:tab w:val="right" w:leader="dot" w:pos="8306"/>
            </w:tabs>
          </w:pPr>
          <w:r>
            <w:fldChar w:fldCharType="begin"/>
          </w:r>
          <w:r>
            <w:instrText xml:space="preserve"> HYPERLINK \l _Toc30387 </w:instrText>
          </w:r>
          <w:r>
            <w:fldChar w:fldCharType="separate"/>
          </w:r>
          <w:r>
            <w:rPr>
              <w:lang w:eastAsia="zh-CN"/>
            </w:rPr>
            <w:t>（四）效益（</w:t>
          </w:r>
          <w:r>
            <w:rPr>
              <w:rFonts w:hint="eastAsia"/>
              <w:lang w:eastAsia="zh-CN"/>
            </w:rPr>
            <w:t>总分28</w:t>
          </w:r>
          <w:r>
            <w:rPr>
              <w:lang w:eastAsia="zh-CN"/>
            </w:rPr>
            <w:t>分，得分</w:t>
          </w:r>
          <w:r>
            <w:rPr>
              <w:rFonts w:hint="eastAsia"/>
              <w:lang w:eastAsia="zh-CN"/>
            </w:rPr>
            <w:t>28</w:t>
          </w:r>
          <w:r>
            <w:rPr>
              <w:lang w:eastAsia="zh-CN"/>
            </w:rPr>
            <w:t>分）</w:t>
          </w:r>
          <w:r>
            <w:tab/>
          </w:r>
          <w:r>
            <w:fldChar w:fldCharType="begin"/>
          </w:r>
          <w:r>
            <w:instrText xml:space="preserve"> PAGEREF _Toc30387 \h </w:instrText>
          </w:r>
          <w:r>
            <w:fldChar w:fldCharType="separate"/>
          </w:r>
          <w:r>
            <w:t>28</w:t>
          </w:r>
          <w:r>
            <w:fldChar w:fldCharType="end"/>
          </w:r>
          <w:r>
            <w:fldChar w:fldCharType="end"/>
          </w:r>
        </w:p>
        <w:p w14:paraId="6FDB513A">
          <w:pPr>
            <w:pStyle w:val="10"/>
            <w:tabs>
              <w:tab w:val="right" w:leader="dot" w:pos="8306"/>
            </w:tabs>
          </w:pPr>
          <w:r>
            <w:fldChar w:fldCharType="begin"/>
          </w:r>
          <w:r>
            <w:instrText xml:space="preserve"> HYPERLINK \l _Toc30189 </w:instrText>
          </w:r>
          <w:r>
            <w:fldChar w:fldCharType="separate"/>
          </w:r>
          <w:r>
            <w:rPr>
              <w:rFonts w:hint="eastAsia"/>
              <w:lang w:eastAsia="zh-CN"/>
            </w:rPr>
            <w:t>1.</w:t>
          </w:r>
          <w:r>
            <w:rPr>
              <w:lang w:eastAsia="zh-CN"/>
            </w:rPr>
            <w:t>社会效益（总分</w:t>
          </w:r>
          <w:r>
            <w:rPr>
              <w:rFonts w:hint="eastAsia"/>
              <w:lang w:eastAsia="zh-CN"/>
            </w:rPr>
            <w:t>18</w:t>
          </w:r>
          <w:r>
            <w:rPr>
              <w:lang w:eastAsia="zh-CN"/>
            </w:rPr>
            <w:t>分，得分</w:t>
          </w:r>
          <w:r>
            <w:rPr>
              <w:rFonts w:hint="eastAsia"/>
              <w:lang w:eastAsia="zh-CN"/>
            </w:rPr>
            <w:t>18</w:t>
          </w:r>
          <w:r>
            <w:rPr>
              <w:lang w:eastAsia="zh-CN"/>
            </w:rPr>
            <w:t>分）</w:t>
          </w:r>
          <w:r>
            <w:tab/>
          </w:r>
          <w:r>
            <w:fldChar w:fldCharType="begin"/>
          </w:r>
          <w:r>
            <w:instrText xml:space="preserve"> PAGEREF _Toc30189 \h </w:instrText>
          </w:r>
          <w:r>
            <w:fldChar w:fldCharType="separate"/>
          </w:r>
          <w:r>
            <w:t>28</w:t>
          </w:r>
          <w:r>
            <w:fldChar w:fldCharType="end"/>
          </w:r>
          <w:r>
            <w:fldChar w:fldCharType="end"/>
          </w:r>
        </w:p>
        <w:p w14:paraId="4F11F933">
          <w:pPr>
            <w:pStyle w:val="10"/>
            <w:tabs>
              <w:tab w:val="right" w:leader="dot" w:pos="8306"/>
            </w:tabs>
          </w:pPr>
          <w:r>
            <w:fldChar w:fldCharType="begin"/>
          </w:r>
          <w:r>
            <w:instrText xml:space="preserve"> HYPERLINK \l _Toc26157 </w:instrText>
          </w:r>
          <w:r>
            <w:fldChar w:fldCharType="separate"/>
          </w:r>
          <w:r>
            <w:rPr>
              <w:rFonts w:hint="eastAsia"/>
              <w:lang w:eastAsia="zh-CN"/>
            </w:rPr>
            <w:t>2.经济效益</w:t>
          </w:r>
          <w:r>
            <w:rPr>
              <w:lang w:eastAsia="zh-CN"/>
            </w:rPr>
            <w:t>（</w:t>
          </w:r>
          <w:r>
            <w:rPr>
              <w:rFonts w:hint="eastAsia"/>
              <w:lang w:eastAsia="zh-CN"/>
            </w:rPr>
            <w:t>总分6</w:t>
          </w:r>
          <w:r>
            <w:rPr>
              <w:lang w:eastAsia="zh-CN"/>
            </w:rPr>
            <w:t>分</w:t>
          </w:r>
          <w:r>
            <w:rPr>
              <w:rFonts w:hint="eastAsia"/>
              <w:lang w:eastAsia="zh-CN"/>
            </w:rPr>
            <w:t>，得分6分</w:t>
          </w:r>
          <w:r>
            <w:rPr>
              <w:lang w:eastAsia="zh-CN"/>
            </w:rPr>
            <w:t>）</w:t>
          </w:r>
          <w:r>
            <w:tab/>
          </w:r>
          <w:r>
            <w:fldChar w:fldCharType="begin"/>
          </w:r>
          <w:r>
            <w:instrText xml:space="preserve"> PAGEREF _Toc26157 \h </w:instrText>
          </w:r>
          <w:r>
            <w:fldChar w:fldCharType="separate"/>
          </w:r>
          <w:r>
            <w:t>29</w:t>
          </w:r>
          <w:r>
            <w:fldChar w:fldCharType="end"/>
          </w:r>
          <w:r>
            <w:fldChar w:fldCharType="end"/>
          </w:r>
        </w:p>
        <w:p w14:paraId="538A59F2">
          <w:pPr>
            <w:pStyle w:val="10"/>
            <w:tabs>
              <w:tab w:val="right" w:leader="dot" w:pos="8306"/>
            </w:tabs>
          </w:pPr>
          <w:r>
            <w:fldChar w:fldCharType="begin"/>
          </w:r>
          <w:r>
            <w:instrText xml:space="preserve"> HYPERLINK \l _Toc22997 </w:instrText>
          </w:r>
          <w:r>
            <w:fldChar w:fldCharType="separate"/>
          </w:r>
          <w:r>
            <w:rPr>
              <w:rFonts w:hint="eastAsia"/>
              <w:lang w:eastAsia="zh-CN"/>
            </w:rPr>
            <w:t>3.</w:t>
          </w:r>
          <w:r>
            <w:rPr>
              <w:lang w:eastAsia="zh-CN"/>
            </w:rPr>
            <w:t>满意度（</w:t>
          </w:r>
          <w:r>
            <w:rPr>
              <w:rFonts w:hint="eastAsia"/>
              <w:lang w:eastAsia="zh-CN"/>
            </w:rPr>
            <w:t>总分4</w:t>
          </w:r>
          <w:r>
            <w:rPr>
              <w:lang w:eastAsia="zh-CN"/>
            </w:rPr>
            <w:t>分</w:t>
          </w:r>
          <w:r>
            <w:rPr>
              <w:rFonts w:hint="eastAsia"/>
              <w:lang w:eastAsia="zh-CN"/>
            </w:rPr>
            <w:t>，得分4分</w:t>
          </w:r>
          <w:r>
            <w:rPr>
              <w:lang w:eastAsia="zh-CN"/>
            </w:rPr>
            <w:t>）</w:t>
          </w:r>
          <w:r>
            <w:tab/>
          </w:r>
          <w:r>
            <w:fldChar w:fldCharType="begin"/>
          </w:r>
          <w:r>
            <w:instrText xml:space="preserve"> PAGEREF _Toc22997 \h </w:instrText>
          </w:r>
          <w:r>
            <w:fldChar w:fldCharType="separate"/>
          </w:r>
          <w:r>
            <w:t>30</w:t>
          </w:r>
          <w:r>
            <w:fldChar w:fldCharType="end"/>
          </w:r>
          <w:r>
            <w:fldChar w:fldCharType="end"/>
          </w:r>
        </w:p>
        <w:p w14:paraId="571FAA7B">
          <w:pPr>
            <w:pStyle w:val="11"/>
            <w:tabs>
              <w:tab w:val="right" w:leader="dot" w:pos="8306"/>
            </w:tabs>
          </w:pPr>
          <w:r>
            <w:fldChar w:fldCharType="begin"/>
          </w:r>
          <w:r>
            <w:instrText xml:space="preserve"> HYPERLINK \l _Toc18199 </w:instrText>
          </w:r>
          <w:r>
            <w:fldChar w:fldCharType="separate"/>
          </w:r>
          <w:r>
            <w:rPr>
              <w:rFonts w:hint="eastAsia"/>
              <w:lang w:eastAsia="zh-CN"/>
            </w:rPr>
            <w:t>七、评价结论及绩效分析</w:t>
          </w:r>
          <w:r>
            <w:tab/>
          </w:r>
          <w:r>
            <w:fldChar w:fldCharType="begin"/>
          </w:r>
          <w:r>
            <w:instrText xml:space="preserve"> PAGEREF _Toc18199 \h </w:instrText>
          </w:r>
          <w:r>
            <w:fldChar w:fldCharType="separate"/>
          </w:r>
          <w:r>
            <w:t>30</w:t>
          </w:r>
          <w:r>
            <w:fldChar w:fldCharType="end"/>
          </w:r>
          <w:r>
            <w:fldChar w:fldCharType="end"/>
          </w:r>
        </w:p>
        <w:p w14:paraId="7EDF31D4">
          <w:pPr>
            <w:pStyle w:val="6"/>
            <w:tabs>
              <w:tab w:val="right" w:leader="dot" w:pos="8306"/>
            </w:tabs>
          </w:pPr>
          <w:r>
            <w:fldChar w:fldCharType="begin"/>
          </w:r>
          <w:r>
            <w:instrText xml:space="preserve"> HYPERLINK \l _Toc9804 </w:instrText>
          </w:r>
          <w:r>
            <w:fldChar w:fldCharType="separate"/>
          </w:r>
          <w:r>
            <w:rPr>
              <w:rFonts w:hint="eastAsia"/>
              <w:lang w:eastAsia="zh-CN"/>
            </w:rPr>
            <w:t>（一）绩效评价结论</w:t>
          </w:r>
          <w:r>
            <w:tab/>
          </w:r>
          <w:r>
            <w:fldChar w:fldCharType="begin"/>
          </w:r>
          <w:r>
            <w:instrText xml:space="preserve"> PAGEREF _Toc9804 \h </w:instrText>
          </w:r>
          <w:r>
            <w:fldChar w:fldCharType="separate"/>
          </w:r>
          <w:r>
            <w:t>30</w:t>
          </w:r>
          <w:r>
            <w:fldChar w:fldCharType="end"/>
          </w:r>
          <w:r>
            <w:fldChar w:fldCharType="end"/>
          </w:r>
        </w:p>
        <w:p w14:paraId="6579A64B">
          <w:pPr>
            <w:pStyle w:val="6"/>
            <w:tabs>
              <w:tab w:val="right" w:leader="dot" w:pos="8306"/>
            </w:tabs>
          </w:pPr>
          <w:r>
            <w:fldChar w:fldCharType="begin"/>
          </w:r>
          <w:r>
            <w:instrText xml:space="preserve"> HYPERLINK \l _Toc21675 </w:instrText>
          </w:r>
          <w:r>
            <w:fldChar w:fldCharType="separate"/>
          </w:r>
          <w:r>
            <w:rPr>
              <w:rFonts w:hint="eastAsia"/>
              <w:lang w:eastAsia="zh-CN"/>
            </w:rPr>
            <w:t>（二）扣分项目</w:t>
          </w:r>
          <w:r>
            <w:tab/>
          </w:r>
          <w:r>
            <w:fldChar w:fldCharType="begin"/>
          </w:r>
          <w:r>
            <w:instrText xml:space="preserve"> PAGEREF _Toc21675 \h </w:instrText>
          </w:r>
          <w:r>
            <w:fldChar w:fldCharType="separate"/>
          </w:r>
          <w:r>
            <w:t>30</w:t>
          </w:r>
          <w:r>
            <w:fldChar w:fldCharType="end"/>
          </w:r>
          <w:r>
            <w:fldChar w:fldCharType="end"/>
          </w:r>
        </w:p>
        <w:p w14:paraId="53E2B80D">
          <w:pPr>
            <w:pStyle w:val="11"/>
            <w:tabs>
              <w:tab w:val="right" w:leader="dot" w:pos="8306"/>
            </w:tabs>
          </w:pPr>
          <w:r>
            <w:fldChar w:fldCharType="begin"/>
          </w:r>
          <w:r>
            <w:instrText xml:space="preserve"> HYPERLINK \l _Toc25286 </w:instrText>
          </w:r>
          <w:r>
            <w:fldChar w:fldCharType="separate"/>
          </w:r>
          <w:r>
            <w:rPr>
              <w:rFonts w:hint="eastAsia"/>
              <w:lang w:eastAsia="zh-CN"/>
            </w:rPr>
            <w:t>八、主要成效</w:t>
          </w:r>
          <w:r>
            <w:tab/>
          </w:r>
          <w:r>
            <w:fldChar w:fldCharType="begin"/>
          </w:r>
          <w:r>
            <w:instrText xml:space="preserve"> PAGEREF _Toc25286 \h </w:instrText>
          </w:r>
          <w:r>
            <w:fldChar w:fldCharType="separate"/>
          </w:r>
          <w:r>
            <w:t>30</w:t>
          </w:r>
          <w:r>
            <w:fldChar w:fldCharType="end"/>
          </w:r>
          <w:r>
            <w:fldChar w:fldCharType="end"/>
          </w:r>
        </w:p>
        <w:p w14:paraId="0EFB6EEE">
          <w:pPr>
            <w:pStyle w:val="11"/>
            <w:tabs>
              <w:tab w:val="right" w:leader="dot" w:pos="8306"/>
            </w:tabs>
          </w:pPr>
          <w:r>
            <w:fldChar w:fldCharType="begin"/>
          </w:r>
          <w:r>
            <w:instrText xml:space="preserve"> HYPERLINK \l _Toc13631 </w:instrText>
          </w:r>
          <w:r>
            <w:fldChar w:fldCharType="separate"/>
          </w:r>
          <w:r>
            <w:rPr>
              <w:rFonts w:hint="eastAsia"/>
              <w:lang w:eastAsia="zh-CN"/>
            </w:rPr>
            <w:t>九、存在问题</w:t>
          </w:r>
          <w:r>
            <w:tab/>
          </w:r>
          <w:r>
            <w:fldChar w:fldCharType="begin"/>
          </w:r>
          <w:r>
            <w:instrText xml:space="preserve"> PAGEREF _Toc13631 \h </w:instrText>
          </w:r>
          <w:r>
            <w:fldChar w:fldCharType="separate"/>
          </w:r>
          <w:r>
            <w:t>32</w:t>
          </w:r>
          <w:r>
            <w:fldChar w:fldCharType="end"/>
          </w:r>
          <w:r>
            <w:fldChar w:fldCharType="end"/>
          </w:r>
        </w:p>
        <w:p w14:paraId="19936246">
          <w:pPr>
            <w:pStyle w:val="6"/>
            <w:tabs>
              <w:tab w:val="right" w:leader="dot" w:pos="8306"/>
            </w:tabs>
          </w:pPr>
          <w:r>
            <w:fldChar w:fldCharType="begin"/>
          </w:r>
          <w:r>
            <w:instrText xml:space="preserve"> HYPERLINK \l _Toc11814 </w:instrText>
          </w:r>
          <w:r>
            <w:fldChar w:fldCharType="separate"/>
          </w:r>
          <w:r>
            <w:rPr>
              <w:rFonts w:hint="eastAsia"/>
              <w:lang w:eastAsia="zh-CN"/>
            </w:rPr>
            <w:t>（一）资金支付未严格遵循合同约定</w:t>
          </w:r>
          <w:r>
            <w:tab/>
          </w:r>
          <w:r>
            <w:fldChar w:fldCharType="begin"/>
          </w:r>
          <w:r>
            <w:instrText xml:space="preserve"> PAGEREF _Toc11814 \h </w:instrText>
          </w:r>
          <w:r>
            <w:fldChar w:fldCharType="separate"/>
          </w:r>
          <w:r>
            <w:t>32</w:t>
          </w:r>
          <w:r>
            <w:fldChar w:fldCharType="end"/>
          </w:r>
          <w:r>
            <w:fldChar w:fldCharType="end"/>
          </w:r>
        </w:p>
        <w:p w14:paraId="2A7B4943">
          <w:pPr>
            <w:pStyle w:val="6"/>
            <w:tabs>
              <w:tab w:val="right" w:leader="dot" w:pos="8306"/>
            </w:tabs>
          </w:pPr>
          <w:r>
            <w:fldChar w:fldCharType="begin"/>
          </w:r>
          <w:r>
            <w:instrText xml:space="preserve"> HYPERLINK \l _Toc32363 </w:instrText>
          </w:r>
          <w:r>
            <w:fldChar w:fldCharType="separate"/>
          </w:r>
          <w:r>
            <w:rPr>
              <w:rFonts w:hint="eastAsia"/>
              <w:lang w:eastAsia="zh-CN"/>
            </w:rPr>
            <w:t>（二）部分合同及验收资料关键信息缺失</w:t>
          </w:r>
          <w:r>
            <w:tab/>
          </w:r>
          <w:r>
            <w:fldChar w:fldCharType="begin"/>
          </w:r>
          <w:r>
            <w:instrText xml:space="preserve"> PAGEREF _Toc32363 \h </w:instrText>
          </w:r>
          <w:r>
            <w:fldChar w:fldCharType="separate"/>
          </w:r>
          <w:r>
            <w:t>33</w:t>
          </w:r>
          <w:r>
            <w:fldChar w:fldCharType="end"/>
          </w:r>
          <w:r>
            <w:fldChar w:fldCharType="end"/>
          </w:r>
        </w:p>
        <w:p w14:paraId="2443CB4C">
          <w:pPr>
            <w:pStyle w:val="6"/>
            <w:tabs>
              <w:tab w:val="right" w:leader="dot" w:pos="8306"/>
            </w:tabs>
          </w:pPr>
          <w:r>
            <w:fldChar w:fldCharType="begin"/>
          </w:r>
          <w:r>
            <w:instrText xml:space="preserve"> HYPERLINK \l _Toc30945 </w:instrText>
          </w:r>
          <w:r>
            <w:fldChar w:fldCharType="separate"/>
          </w:r>
          <w:r>
            <w:rPr>
              <w:rFonts w:hint="eastAsia"/>
              <w:lang w:eastAsia="zh-CN"/>
            </w:rPr>
            <w:t>（三）工程项目交付出现延期</w:t>
          </w:r>
          <w:r>
            <w:tab/>
          </w:r>
          <w:r>
            <w:fldChar w:fldCharType="begin"/>
          </w:r>
          <w:r>
            <w:instrText xml:space="preserve"> PAGEREF _Toc30945 \h </w:instrText>
          </w:r>
          <w:r>
            <w:fldChar w:fldCharType="separate"/>
          </w:r>
          <w:r>
            <w:t>33</w:t>
          </w:r>
          <w:r>
            <w:fldChar w:fldCharType="end"/>
          </w:r>
          <w:r>
            <w:fldChar w:fldCharType="end"/>
          </w:r>
        </w:p>
        <w:p w14:paraId="421DB994">
          <w:pPr>
            <w:pStyle w:val="6"/>
            <w:tabs>
              <w:tab w:val="right" w:leader="dot" w:pos="8306"/>
            </w:tabs>
          </w:pPr>
          <w:r>
            <w:fldChar w:fldCharType="begin"/>
          </w:r>
          <w:r>
            <w:instrText xml:space="preserve"> HYPERLINK \l _Toc13088 </w:instrText>
          </w:r>
          <w:r>
            <w:fldChar w:fldCharType="separate"/>
          </w:r>
          <w:r>
            <w:rPr>
              <w:rFonts w:hint="eastAsia"/>
              <w:lang w:eastAsia="zh-CN"/>
            </w:rPr>
            <w:t>（四）执法人员专业能力有待提高</w:t>
          </w:r>
          <w:r>
            <w:tab/>
          </w:r>
          <w:r>
            <w:fldChar w:fldCharType="begin"/>
          </w:r>
          <w:r>
            <w:instrText xml:space="preserve"> PAGEREF _Toc13088 \h </w:instrText>
          </w:r>
          <w:r>
            <w:fldChar w:fldCharType="separate"/>
          </w:r>
          <w:r>
            <w:t>33</w:t>
          </w:r>
          <w:r>
            <w:fldChar w:fldCharType="end"/>
          </w:r>
          <w:r>
            <w:fldChar w:fldCharType="end"/>
          </w:r>
        </w:p>
        <w:p w14:paraId="0A42D936">
          <w:pPr>
            <w:pStyle w:val="6"/>
            <w:tabs>
              <w:tab w:val="right" w:leader="dot" w:pos="8306"/>
            </w:tabs>
          </w:pPr>
          <w:r>
            <w:fldChar w:fldCharType="begin"/>
          </w:r>
          <w:r>
            <w:instrText xml:space="preserve"> HYPERLINK \l _Toc1320 </w:instrText>
          </w:r>
          <w:r>
            <w:fldChar w:fldCharType="separate"/>
          </w:r>
          <w:r>
            <w:rPr>
              <w:rFonts w:hint="eastAsia"/>
              <w:lang w:eastAsia="zh-CN"/>
            </w:rPr>
            <w:t>（五）食品安全监管覆盖不全面</w:t>
          </w:r>
          <w:r>
            <w:tab/>
          </w:r>
          <w:r>
            <w:fldChar w:fldCharType="begin"/>
          </w:r>
          <w:r>
            <w:instrText xml:space="preserve"> PAGEREF _Toc1320 \h </w:instrText>
          </w:r>
          <w:r>
            <w:fldChar w:fldCharType="separate"/>
          </w:r>
          <w:r>
            <w:t>33</w:t>
          </w:r>
          <w:r>
            <w:fldChar w:fldCharType="end"/>
          </w:r>
          <w:r>
            <w:fldChar w:fldCharType="end"/>
          </w:r>
        </w:p>
        <w:p w14:paraId="38B17F2B">
          <w:pPr>
            <w:pStyle w:val="11"/>
            <w:tabs>
              <w:tab w:val="right" w:leader="dot" w:pos="8306"/>
            </w:tabs>
          </w:pPr>
          <w:r>
            <w:fldChar w:fldCharType="begin"/>
          </w:r>
          <w:r>
            <w:instrText xml:space="preserve"> HYPERLINK \l _Toc21426 </w:instrText>
          </w:r>
          <w:r>
            <w:fldChar w:fldCharType="separate"/>
          </w:r>
          <w:r>
            <w:rPr>
              <w:rFonts w:hint="eastAsia"/>
              <w:lang w:eastAsia="zh-CN"/>
            </w:rPr>
            <w:t>十、提出建议</w:t>
          </w:r>
          <w:r>
            <w:tab/>
          </w:r>
          <w:r>
            <w:fldChar w:fldCharType="begin"/>
          </w:r>
          <w:r>
            <w:instrText xml:space="preserve"> PAGEREF _Toc21426 \h </w:instrText>
          </w:r>
          <w:r>
            <w:fldChar w:fldCharType="separate"/>
          </w:r>
          <w:r>
            <w:t>34</w:t>
          </w:r>
          <w:r>
            <w:fldChar w:fldCharType="end"/>
          </w:r>
          <w:r>
            <w:fldChar w:fldCharType="end"/>
          </w:r>
        </w:p>
        <w:p w14:paraId="15D9B567">
          <w:pPr>
            <w:pStyle w:val="6"/>
            <w:tabs>
              <w:tab w:val="right" w:leader="dot" w:pos="8306"/>
            </w:tabs>
          </w:pPr>
          <w:r>
            <w:fldChar w:fldCharType="begin"/>
          </w:r>
          <w:r>
            <w:instrText xml:space="preserve"> HYPERLINK \l _Toc1377 </w:instrText>
          </w:r>
          <w:r>
            <w:fldChar w:fldCharType="separate"/>
          </w:r>
          <w:r>
            <w:rPr>
              <w:rFonts w:hint="eastAsia"/>
              <w:lang w:eastAsia="zh-CN"/>
            </w:rPr>
            <w:t>（一）加强资金支付管理，规范预算执行</w:t>
          </w:r>
          <w:r>
            <w:tab/>
          </w:r>
          <w:r>
            <w:fldChar w:fldCharType="begin"/>
          </w:r>
          <w:r>
            <w:instrText xml:space="preserve"> PAGEREF _Toc1377 \h </w:instrText>
          </w:r>
          <w:r>
            <w:fldChar w:fldCharType="separate"/>
          </w:r>
          <w:r>
            <w:t>34</w:t>
          </w:r>
          <w:r>
            <w:fldChar w:fldCharType="end"/>
          </w:r>
          <w:r>
            <w:fldChar w:fldCharType="end"/>
          </w:r>
        </w:p>
        <w:p w14:paraId="2C0E9431">
          <w:pPr>
            <w:pStyle w:val="6"/>
            <w:tabs>
              <w:tab w:val="right" w:leader="dot" w:pos="8306"/>
            </w:tabs>
          </w:pPr>
          <w:r>
            <w:fldChar w:fldCharType="begin"/>
          </w:r>
          <w:r>
            <w:instrText xml:space="preserve"> HYPERLINK \l _Toc5853 </w:instrText>
          </w:r>
          <w:r>
            <w:fldChar w:fldCharType="separate"/>
          </w:r>
          <w:r>
            <w:rPr>
              <w:rFonts w:hint="eastAsia"/>
              <w:lang w:eastAsia="zh-CN"/>
            </w:rPr>
            <w:t>（二）完善合同与验收资料管理流程</w:t>
          </w:r>
          <w:r>
            <w:tab/>
          </w:r>
          <w:r>
            <w:fldChar w:fldCharType="begin"/>
          </w:r>
          <w:r>
            <w:instrText xml:space="preserve"> PAGEREF _Toc5853 \h </w:instrText>
          </w:r>
          <w:r>
            <w:fldChar w:fldCharType="separate"/>
          </w:r>
          <w:r>
            <w:t>34</w:t>
          </w:r>
          <w:r>
            <w:fldChar w:fldCharType="end"/>
          </w:r>
          <w:r>
            <w:fldChar w:fldCharType="end"/>
          </w:r>
        </w:p>
        <w:p w14:paraId="1A15DB84">
          <w:pPr>
            <w:pStyle w:val="6"/>
            <w:tabs>
              <w:tab w:val="right" w:leader="dot" w:pos="8306"/>
            </w:tabs>
          </w:pPr>
          <w:r>
            <w:fldChar w:fldCharType="begin"/>
          </w:r>
          <w:r>
            <w:instrText xml:space="preserve"> HYPERLINK \l _Toc13182 </w:instrText>
          </w:r>
          <w:r>
            <w:fldChar w:fldCharType="separate"/>
          </w:r>
          <w:r>
            <w:rPr>
              <w:rFonts w:hint="eastAsia"/>
              <w:lang w:eastAsia="zh-CN"/>
            </w:rPr>
            <w:t>（三）强化项目验收管理，确保项目按时交付</w:t>
          </w:r>
          <w:r>
            <w:tab/>
          </w:r>
          <w:r>
            <w:fldChar w:fldCharType="begin"/>
          </w:r>
          <w:r>
            <w:instrText xml:space="preserve"> PAGEREF _Toc13182 \h </w:instrText>
          </w:r>
          <w:r>
            <w:fldChar w:fldCharType="separate"/>
          </w:r>
          <w:r>
            <w:t>34</w:t>
          </w:r>
          <w:r>
            <w:fldChar w:fldCharType="end"/>
          </w:r>
          <w:r>
            <w:fldChar w:fldCharType="end"/>
          </w:r>
        </w:p>
        <w:p w14:paraId="7DA9A20C">
          <w:pPr>
            <w:pStyle w:val="6"/>
            <w:tabs>
              <w:tab w:val="right" w:leader="dot" w:pos="8306"/>
            </w:tabs>
          </w:pPr>
          <w:r>
            <w:fldChar w:fldCharType="begin"/>
          </w:r>
          <w:r>
            <w:instrText xml:space="preserve"> HYPERLINK \l _Toc23630 </w:instrText>
          </w:r>
          <w:r>
            <w:fldChar w:fldCharType="separate"/>
          </w:r>
          <w:r>
            <w:rPr>
              <w:rFonts w:hint="eastAsia"/>
              <w:lang w:eastAsia="zh-CN"/>
            </w:rPr>
            <w:t>（四）构建系统化培训体系，提升执法人员专业素养</w:t>
          </w:r>
          <w:r>
            <w:tab/>
          </w:r>
          <w:r>
            <w:fldChar w:fldCharType="begin"/>
          </w:r>
          <w:r>
            <w:instrText xml:space="preserve"> PAGEREF _Toc23630 \h </w:instrText>
          </w:r>
          <w:r>
            <w:fldChar w:fldCharType="separate"/>
          </w:r>
          <w:r>
            <w:t>35</w:t>
          </w:r>
          <w:r>
            <w:fldChar w:fldCharType="end"/>
          </w:r>
          <w:r>
            <w:fldChar w:fldCharType="end"/>
          </w:r>
        </w:p>
        <w:p w14:paraId="61A96D19">
          <w:pPr>
            <w:pStyle w:val="6"/>
            <w:tabs>
              <w:tab w:val="right" w:leader="dot" w:pos="8306"/>
            </w:tabs>
          </w:pPr>
          <w:r>
            <w:fldChar w:fldCharType="begin"/>
          </w:r>
          <w:r>
            <w:instrText xml:space="preserve"> HYPERLINK \l _Toc20465 </w:instrText>
          </w:r>
          <w:r>
            <w:fldChar w:fldCharType="separate"/>
          </w:r>
          <w:r>
            <w:rPr>
              <w:rFonts w:hint="eastAsia"/>
              <w:lang w:eastAsia="zh-CN"/>
            </w:rPr>
            <w:t>（五）完善食品安全全链条监管，筑牢风险防控体系</w:t>
          </w:r>
          <w:r>
            <w:tab/>
          </w:r>
          <w:r>
            <w:fldChar w:fldCharType="begin"/>
          </w:r>
          <w:r>
            <w:instrText xml:space="preserve"> PAGEREF _Toc20465 \h </w:instrText>
          </w:r>
          <w:r>
            <w:fldChar w:fldCharType="separate"/>
          </w:r>
          <w:r>
            <w:t>35</w:t>
          </w:r>
          <w:r>
            <w:fldChar w:fldCharType="end"/>
          </w:r>
          <w:r>
            <w:fldChar w:fldCharType="end"/>
          </w:r>
        </w:p>
        <w:p w14:paraId="189491D9">
          <w:pPr>
            <w:pStyle w:val="11"/>
            <w:tabs>
              <w:tab w:val="right" w:leader="dot" w:pos="8306"/>
            </w:tabs>
          </w:pPr>
          <w:r>
            <w:fldChar w:fldCharType="begin"/>
          </w:r>
          <w:r>
            <w:instrText xml:space="preserve"> HYPERLINK \l _Toc11333 </w:instrText>
          </w:r>
          <w:r>
            <w:fldChar w:fldCharType="separate"/>
          </w:r>
          <w:r>
            <w:rPr>
              <w:rFonts w:hint="eastAsia"/>
              <w:lang w:eastAsia="zh-CN"/>
            </w:rPr>
            <w:t>十一、其他需说明事项</w:t>
          </w:r>
          <w:r>
            <w:tab/>
          </w:r>
          <w:r>
            <w:fldChar w:fldCharType="begin"/>
          </w:r>
          <w:r>
            <w:instrText xml:space="preserve"> PAGEREF _Toc11333 \h </w:instrText>
          </w:r>
          <w:r>
            <w:fldChar w:fldCharType="separate"/>
          </w:r>
          <w:r>
            <w:t>35</w:t>
          </w:r>
          <w:r>
            <w:fldChar w:fldCharType="end"/>
          </w:r>
          <w:r>
            <w:fldChar w:fldCharType="end"/>
          </w:r>
        </w:p>
        <w:p w14:paraId="6E1D2C84">
          <w:pPr>
            <w:pStyle w:val="11"/>
            <w:tabs>
              <w:tab w:val="right" w:leader="dot" w:pos="8306"/>
            </w:tabs>
          </w:pPr>
          <w:r>
            <w:fldChar w:fldCharType="begin"/>
          </w:r>
          <w:r>
            <w:instrText xml:space="preserve"> HYPERLINK \l _Toc11591 </w:instrText>
          </w:r>
          <w:r>
            <w:fldChar w:fldCharType="separate"/>
          </w:r>
          <w:r>
            <w:rPr>
              <w:rFonts w:hint="eastAsia"/>
              <w:lang w:eastAsia="zh-CN"/>
            </w:rPr>
            <w:t>附件一：调查问卷</w:t>
          </w:r>
          <w:r>
            <w:tab/>
          </w:r>
          <w:r>
            <w:fldChar w:fldCharType="begin"/>
          </w:r>
          <w:r>
            <w:instrText xml:space="preserve"> PAGEREF _Toc11591 \h </w:instrText>
          </w:r>
          <w:r>
            <w:fldChar w:fldCharType="separate"/>
          </w:r>
          <w:r>
            <w:t>36</w:t>
          </w:r>
          <w:r>
            <w:fldChar w:fldCharType="end"/>
          </w:r>
          <w:r>
            <w:fldChar w:fldCharType="end"/>
          </w:r>
        </w:p>
        <w:p w14:paraId="0D73A34D">
          <w:pPr>
            <w:pStyle w:val="11"/>
            <w:tabs>
              <w:tab w:val="right" w:leader="dot" w:pos="8306"/>
            </w:tabs>
          </w:pPr>
          <w:r>
            <w:fldChar w:fldCharType="begin"/>
          </w:r>
          <w:r>
            <w:instrText xml:space="preserve"> HYPERLINK \l _Toc30005 </w:instrText>
          </w:r>
          <w:r>
            <w:fldChar w:fldCharType="separate"/>
          </w:r>
          <w:r>
            <w:rPr>
              <w:rFonts w:hint="eastAsia"/>
              <w:lang w:eastAsia="zh-CN"/>
            </w:rPr>
            <w:t>附件二：访谈相关照片</w:t>
          </w:r>
          <w:r>
            <w:tab/>
          </w:r>
          <w:r>
            <w:fldChar w:fldCharType="begin"/>
          </w:r>
          <w:r>
            <w:instrText xml:space="preserve"> PAGEREF _Toc30005 \h </w:instrText>
          </w:r>
          <w:r>
            <w:fldChar w:fldCharType="separate"/>
          </w:r>
          <w:r>
            <w:t>42</w:t>
          </w:r>
          <w:r>
            <w:fldChar w:fldCharType="end"/>
          </w:r>
          <w:r>
            <w:fldChar w:fldCharType="end"/>
          </w:r>
        </w:p>
        <w:p w14:paraId="6E319E31">
          <w:pPr>
            <w:pStyle w:val="11"/>
            <w:tabs>
              <w:tab w:val="right" w:leader="dot" w:pos="8306"/>
            </w:tabs>
          </w:pPr>
          <w:r>
            <w:fldChar w:fldCharType="begin"/>
          </w:r>
          <w:r>
            <w:instrText xml:space="preserve"> HYPERLINK \l _Toc21950 </w:instrText>
          </w:r>
          <w:r>
            <w:fldChar w:fldCharType="separate"/>
          </w:r>
          <w:r>
            <w:rPr>
              <w:rFonts w:hint="eastAsia"/>
              <w:lang w:eastAsia="zh-CN"/>
            </w:rPr>
            <w:t>附件三：绩效评价指标体系及得分情况表</w:t>
          </w:r>
          <w:r>
            <w:tab/>
          </w:r>
          <w:r>
            <w:fldChar w:fldCharType="begin"/>
          </w:r>
          <w:r>
            <w:instrText xml:space="preserve"> PAGEREF _Toc21950 \h </w:instrText>
          </w:r>
          <w:r>
            <w:fldChar w:fldCharType="separate"/>
          </w:r>
          <w:r>
            <w:t>43</w:t>
          </w:r>
          <w:r>
            <w:fldChar w:fldCharType="end"/>
          </w:r>
          <w:r>
            <w:fldChar w:fldCharType="end"/>
          </w:r>
        </w:p>
        <w:p w14:paraId="30CA2B2E">
          <w:pPr>
            <w:rPr>
              <w:rFonts w:hint="eastAsia" w:ascii="方正小标宋简体" w:hAnsi="方正小标宋简体" w:eastAsia="方正小标宋简体" w:cs="Arial"/>
              <w:snapToGrid w:val="0"/>
              <w:color w:val="000000"/>
              <w:kern w:val="44"/>
              <w:sz w:val="44"/>
              <w:szCs w:val="21"/>
              <w:lang w:val="en-US" w:eastAsia="zh-CN" w:bidi="ar-SA"/>
            </w:rPr>
          </w:pPr>
          <w:r>
            <w:fldChar w:fldCharType="end"/>
          </w:r>
        </w:p>
      </w:sdtContent>
    </w:sdt>
    <w:p w14:paraId="25BCB9A9">
      <w:pPr>
        <w:rPr>
          <w:rFonts w:hint="eastAsia"/>
          <w:lang w:eastAsia="zh-CN"/>
        </w:rPr>
        <w:sectPr>
          <w:footerReference r:id="rId7" w:type="default"/>
          <w:pgSz w:w="11906" w:h="16839"/>
          <w:pgMar w:top="1440" w:right="1800" w:bottom="1440" w:left="1800" w:header="0" w:footer="987" w:gutter="0"/>
          <w:pgNumType w:start="1"/>
          <w:cols w:space="720" w:num="1"/>
        </w:sectPr>
      </w:pPr>
    </w:p>
    <w:p w14:paraId="7714F53F">
      <w:pPr>
        <w:pStyle w:val="2"/>
        <w:bidi w:val="0"/>
        <w:rPr>
          <w:rFonts w:hint="eastAsia"/>
          <w:lang w:eastAsia="zh-CN"/>
        </w:rPr>
      </w:pPr>
      <w:bookmarkStart w:id="18" w:name="_Toc20707"/>
      <w:bookmarkStart w:id="19" w:name="_Toc9674"/>
      <w:bookmarkStart w:id="20" w:name="_Toc8393"/>
      <w:r>
        <w:rPr>
          <w:rFonts w:hint="eastAsia"/>
          <w:lang w:eastAsia="zh-CN"/>
        </w:rPr>
        <w:t>2024年度泉州市洛江区市场监督管理局部门绩效评价报告</w:t>
      </w:r>
      <w:bookmarkEnd w:id="15"/>
      <w:bookmarkEnd w:id="16"/>
      <w:bookmarkEnd w:id="17"/>
      <w:bookmarkEnd w:id="18"/>
      <w:bookmarkEnd w:id="19"/>
      <w:bookmarkEnd w:id="20"/>
    </w:p>
    <w:p w14:paraId="3497D312">
      <w:pPr>
        <w:widowControl w:val="0"/>
        <w:overflowPunct w:val="0"/>
        <w:snapToGrid/>
        <w:spacing w:before="240" w:after="120" w:line="408" w:lineRule="auto"/>
        <w:ind w:firstLine="552" w:firstLineChars="200"/>
        <w:rPr>
          <w:rFonts w:hint="eastAsia" w:ascii="仿宋" w:hAnsi="仿宋" w:eastAsia="仿宋" w:cs="仿宋"/>
          <w:color w:val="auto"/>
          <w:spacing w:val="-2"/>
          <w:sz w:val="28"/>
          <w:szCs w:val="28"/>
          <w:lang w:eastAsia="zh-CN"/>
        </w:rPr>
      </w:pPr>
      <w:bookmarkStart w:id="21" w:name="_Toc28630"/>
    </w:p>
    <w:p w14:paraId="7A11681F">
      <w:pPr>
        <w:bidi w:val="0"/>
        <w:rPr>
          <w:rFonts w:hint="eastAsia"/>
          <w:lang w:eastAsia="zh-CN"/>
        </w:rPr>
      </w:pPr>
      <w:r>
        <w:rPr>
          <w:rFonts w:hint="eastAsia"/>
          <w:lang w:eastAsia="zh-CN"/>
        </w:rPr>
        <w:t>为提升部门资金使用效益和预算管理水平，泉州市启程财务咨询有限公司受泉州市洛江区财政局委托，成立绩效评价小组，对泉州市洛江区市场监督管理局</w:t>
      </w:r>
      <w:r>
        <w:rPr>
          <w:lang w:eastAsia="zh-CN"/>
        </w:rPr>
        <w:t>2024</w:t>
      </w:r>
      <w:r>
        <w:rPr>
          <w:rFonts w:hint="eastAsia"/>
          <w:lang w:eastAsia="zh-CN"/>
        </w:rPr>
        <w:t>年度部门支出实施绩效评价。评价小组</w:t>
      </w:r>
      <w:r>
        <w:rPr>
          <w:rFonts w:hint="eastAsia"/>
        </w:rPr>
        <w:t>通过实地调研，收集、整理、汇总并深入分析相关绩效评价资料，拟定科学合理的绩效评价指标体系，对照评价指标与标准进行综合评议与量化评分，</w:t>
      </w:r>
      <w:r>
        <w:rPr>
          <w:rFonts w:hint="eastAsia"/>
          <w:lang w:eastAsia="zh-CN"/>
        </w:rPr>
        <w:t>并形成《</w:t>
      </w:r>
      <w:r>
        <w:rPr>
          <w:lang w:eastAsia="zh-CN"/>
        </w:rPr>
        <w:t>2024</w:t>
      </w:r>
      <w:r>
        <w:rPr>
          <w:rFonts w:hint="eastAsia"/>
          <w:lang w:eastAsia="zh-CN"/>
        </w:rPr>
        <w:t>年度泉州市洛江区市场监督管理局</w:t>
      </w:r>
      <w:bookmarkStart w:id="22" w:name="OLE_LINK5"/>
      <w:r>
        <w:rPr>
          <w:rFonts w:hint="eastAsia"/>
          <w:lang w:eastAsia="zh-CN"/>
        </w:rPr>
        <w:t>部门绩效</w:t>
      </w:r>
      <w:bookmarkEnd w:id="22"/>
      <w:r>
        <w:rPr>
          <w:rFonts w:hint="eastAsia"/>
          <w:lang w:eastAsia="zh-CN"/>
        </w:rPr>
        <w:t>评价报告》。</w:t>
      </w:r>
    </w:p>
    <w:bookmarkEnd w:id="21"/>
    <w:p w14:paraId="08D45F62">
      <w:pPr>
        <w:pStyle w:val="3"/>
        <w:bidi w:val="0"/>
        <w:rPr>
          <w:rFonts w:hint="eastAsia"/>
          <w:lang w:eastAsia="zh-CN"/>
        </w:rPr>
      </w:pPr>
      <w:bookmarkStart w:id="23" w:name="_Toc181557991"/>
      <w:bookmarkStart w:id="24" w:name="_Toc29094"/>
      <w:bookmarkStart w:id="25" w:name="_Toc17323"/>
      <w:bookmarkStart w:id="26" w:name="_Toc217363487"/>
      <w:r>
        <w:rPr>
          <w:rFonts w:hint="eastAsia"/>
          <w:lang w:eastAsia="zh-CN"/>
        </w:rPr>
        <w:t>一、部门概况</w:t>
      </w:r>
      <w:bookmarkEnd w:id="23"/>
      <w:bookmarkEnd w:id="24"/>
      <w:bookmarkEnd w:id="25"/>
      <w:bookmarkEnd w:id="26"/>
    </w:p>
    <w:p w14:paraId="565BD84A">
      <w:pPr>
        <w:pStyle w:val="4"/>
        <w:bidi w:val="0"/>
        <w:rPr>
          <w:rFonts w:hint="eastAsia"/>
          <w:lang w:eastAsia="zh-CN"/>
        </w:rPr>
      </w:pPr>
      <w:bookmarkStart w:id="27" w:name="_Toc28409"/>
      <w:bookmarkStart w:id="28" w:name="_Toc217363488"/>
      <w:bookmarkStart w:id="29" w:name="_Toc29808"/>
      <w:bookmarkStart w:id="30" w:name="_Toc181557992"/>
      <w:r>
        <w:rPr>
          <w:rFonts w:hint="eastAsia"/>
          <w:lang w:eastAsia="zh-CN"/>
        </w:rPr>
        <w:t>（一）</w:t>
      </w:r>
      <w:bookmarkStart w:id="31" w:name="bookmark5"/>
      <w:bookmarkEnd w:id="31"/>
      <w:r>
        <w:rPr>
          <w:rFonts w:hint="eastAsia"/>
          <w:lang w:eastAsia="zh-CN"/>
        </w:rPr>
        <w:t>主要职责</w:t>
      </w:r>
      <w:bookmarkEnd w:id="27"/>
      <w:bookmarkEnd w:id="28"/>
      <w:bookmarkEnd w:id="29"/>
      <w:bookmarkEnd w:id="30"/>
    </w:p>
    <w:p w14:paraId="1C8576BC">
      <w:pPr>
        <w:bidi w:val="0"/>
        <w:rPr>
          <w:rFonts w:hint="eastAsia"/>
          <w:lang w:eastAsia="zh-CN"/>
        </w:rPr>
      </w:pPr>
      <w:r>
        <w:rPr>
          <w:rFonts w:hint="eastAsia"/>
          <w:lang w:eastAsia="zh-CN"/>
        </w:rPr>
        <w:t>泉州市洛江区市场监督管理局作为泉州市洛江区的行政机构，</w:t>
      </w:r>
      <w:r>
        <w:rPr>
          <w:lang w:eastAsia="zh-CN"/>
        </w:rPr>
        <w:t>核心职责是统筹市场监督管理和知识产权工作，规范市场秩序、保障安全底线、服务市场主体与消费者</w:t>
      </w:r>
      <w:r>
        <w:rPr>
          <w:rFonts w:hint="eastAsia"/>
          <w:lang w:eastAsia="zh-CN"/>
        </w:rPr>
        <w:t>。其主要职责如下：</w:t>
      </w:r>
    </w:p>
    <w:p w14:paraId="4728DAB2">
      <w:pPr>
        <w:bidi w:val="0"/>
        <w:rPr>
          <w:rFonts w:hint="eastAsia"/>
          <w:lang w:eastAsia="zh-CN"/>
        </w:rPr>
      </w:pPr>
      <w:r>
        <w:rPr>
          <w:rFonts w:hint="eastAsia"/>
          <w:lang w:eastAsia="zh-CN"/>
        </w:rPr>
        <w:t>（1）负责市场综合监督管理和知识产权管理。贯彻执行国家、省、市有关市场综合监督管理和知识产权法律法规和规章，拟订并组织实施市场监督管理和知识产权规范性文件。组织实施质量强区战略、品牌战略、食品安全战略、标准化战略和知识产权战略，拟订并组织实施有关规划，规范和维护市场秩序，营造诚实守信、公平竞争的市场环境。</w:t>
      </w:r>
    </w:p>
    <w:p w14:paraId="055AB4B0">
      <w:pPr>
        <w:bidi w:val="0"/>
        <w:rPr>
          <w:rFonts w:hint="eastAsia"/>
          <w:lang w:eastAsia="zh-CN"/>
        </w:rPr>
      </w:pPr>
      <w:r>
        <w:rPr>
          <w:rFonts w:hint="eastAsia"/>
          <w:lang w:eastAsia="zh-CN"/>
        </w:rPr>
        <w:t>（2）负责市场主体统一登记注册、信息公示和共享机制建设。负责各类企业、农民专业合作社和从事经营活动的单位、个体工商户以及外国（地区）企业常驻代表机构等市场主体的登记注册工作。依法公示和共享有关信息，加强信用监管，推动市场主体信用体系建设。</w:t>
      </w:r>
    </w:p>
    <w:p w14:paraId="03D26522">
      <w:pPr>
        <w:bidi w:val="0"/>
        <w:rPr>
          <w:rFonts w:hint="eastAsia"/>
          <w:lang w:eastAsia="zh-CN"/>
        </w:rPr>
      </w:pPr>
      <w:r>
        <w:rPr>
          <w:rFonts w:hint="eastAsia"/>
          <w:lang w:eastAsia="zh-CN"/>
        </w:rPr>
        <w:t>（3）负责市场监督管理和知识产权相关行政审核审批工作。</w:t>
      </w:r>
    </w:p>
    <w:p w14:paraId="397E8EBC">
      <w:pPr>
        <w:bidi w:val="0"/>
        <w:rPr>
          <w:rFonts w:hint="eastAsia"/>
          <w:lang w:eastAsia="zh-CN"/>
        </w:rPr>
      </w:pPr>
      <w:r>
        <w:rPr>
          <w:rFonts w:hint="eastAsia"/>
          <w:lang w:eastAsia="zh-CN"/>
        </w:rPr>
        <w:t>（4）负责监督管理市场秩序。依法监督管理市场交易、网络商品交易及有关服务的行为。组织协调查处价格收费违法违规、不正当竞争、违法直销传销、侵犯商标专利知识产权和制售假冒伪劣行为。指导广告业发展，监督管理广告活动。组织协调查处无照生产经营和相关无证生产经营行为。组织实施公平竞争审查制度，组织协调依法开展反不正当竞争执法，配合上级部门开展反垄断调查。承担同城快送行业监管职责。承担区打击侵犯知识产权和制售假冒伪劣商品工作领导小组办公室日常工作。</w:t>
      </w:r>
    </w:p>
    <w:p w14:paraId="4736A3C7">
      <w:pPr>
        <w:bidi w:val="0"/>
        <w:rPr>
          <w:rFonts w:hint="eastAsia"/>
          <w:lang w:eastAsia="zh-CN"/>
        </w:rPr>
      </w:pPr>
      <w:r>
        <w:rPr>
          <w:rFonts w:hint="eastAsia"/>
          <w:lang w:eastAsia="zh-CN"/>
        </w:rPr>
        <w:t>（5）负责消费者权益保护工作。负责消费者咨询、投诉、举报的受理、处理，负责市场监督管理投诉举报网络体系建设与管理，保护经营者、消费者合法权益。指导区消费者权益保护委员会开展消费维权工作。</w:t>
      </w:r>
    </w:p>
    <w:p w14:paraId="1635EF33">
      <w:pPr>
        <w:bidi w:val="0"/>
        <w:rPr>
          <w:rFonts w:hint="eastAsia"/>
          <w:lang w:eastAsia="zh-CN"/>
        </w:rPr>
      </w:pPr>
      <w:r>
        <w:rPr>
          <w:rFonts w:hint="eastAsia"/>
          <w:lang w:eastAsia="zh-CN"/>
        </w:rPr>
        <w:t>（6）负责宏观质量管理。拟订并实施质量发展的制度措施。统筹全区质量基础设施的协同服务与应用工作，会同有关部门组织实施重大工程设备质量监理制度，组织重大质量事故调查。落实缺陷产品召回相关工作，监督管理产品防伪工作。</w:t>
      </w:r>
    </w:p>
    <w:p w14:paraId="2E262C34">
      <w:pPr>
        <w:bidi w:val="0"/>
        <w:rPr>
          <w:rFonts w:hint="eastAsia"/>
          <w:lang w:eastAsia="zh-CN"/>
        </w:rPr>
      </w:pPr>
      <w:r>
        <w:rPr>
          <w:rFonts w:hint="eastAsia"/>
          <w:lang w:eastAsia="zh-CN"/>
        </w:rPr>
        <w:t>（7）负责产品质量安全监督管理。管理产品质量安全风险监控、监督抽查工作。组织实施质量分级制度、质量安全追溯制度。负责工业产品生产许可管理。负责纤维制品质量监督工作。</w:t>
      </w:r>
    </w:p>
    <w:p w14:paraId="097A94F8">
      <w:pPr>
        <w:bidi w:val="0"/>
        <w:rPr>
          <w:rFonts w:hint="eastAsia"/>
          <w:lang w:eastAsia="zh-CN"/>
        </w:rPr>
      </w:pPr>
      <w:r>
        <w:rPr>
          <w:rFonts w:hint="eastAsia"/>
          <w:lang w:eastAsia="zh-CN"/>
        </w:rPr>
        <w:t>（8）负责特种设备安全监督管理。综合管理特种设备安全监察、监督、风险防范工作，监督检查高耗能特种设备节能标准和锅炉环境保护标准的执行情况。依法承担特种设备安全事故调查工作。</w:t>
      </w:r>
    </w:p>
    <w:p w14:paraId="3EB1ABE9">
      <w:pPr>
        <w:bidi w:val="0"/>
        <w:rPr>
          <w:rFonts w:hint="eastAsia"/>
          <w:lang w:eastAsia="zh-CN"/>
        </w:rPr>
      </w:pPr>
      <w:r>
        <w:rPr>
          <w:rFonts w:hint="eastAsia"/>
          <w:lang w:eastAsia="zh-CN"/>
        </w:rPr>
        <w:t>（9）负责食品安全监督管理综合协调。统筹指导全区食品安全工作。负责拟订食品安全工作规划、食品安全监管年度计划并组织实施。负责食品安全应急体系建设，组织指导重大食品安全事件应急处置和调查处理工作。建立食品安全信息统一公布制度，依法公布重大食品安全信息。承担区食品安全委员会日常工作。</w:t>
      </w:r>
    </w:p>
    <w:p w14:paraId="411CDDDD">
      <w:pPr>
        <w:bidi w:val="0"/>
        <w:rPr>
          <w:rFonts w:hint="eastAsia"/>
          <w:lang w:eastAsia="zh-CN"/>
        </w:rPr>
      </w:pPr>
      <w:r>
        <w:rPr>
          <w:rFonts w:hint="eastAsia"/>
          <w:lang w:eastAsia="zh-CN"/>
        </w:rPr>
        <w:t>（10）负责食品安全监督管理。建立覆盖食品生产、流通、消费环节全过程的监督检查制度和隐患排查治理机制并组织实施，防范区域性、系统性食品安全风险。推动建立食品生产经营者落实主体责任的机制，健全食品安全追溯体系。组织开展食品安全监督抽检、核查处置和风险预警、风险交流工作。此句与前文食品安全监督管理。</w:t>
      </w:r>
    </w:p>
    <w:p w14:paraId="0B78476C">
      <w:pPr>
        <w:bidi w:val="0"/>
        <w:rPr>
          <w:rFonts w:hint="eastAsia"/>
          <w:lang w:eastAsia="zh-CN"/>
        </w:rPr>
      </w:pPr>
      <w:r>
        <w:rPr>
          <w:rFonts w:hint="eastAsia"/>
          <w:lang w:eastAsia="zh-CN"/>
        </w:rPr>
        <w:t>（11）负责药品零售、医疗器械和化妆品经营以及药品、医疗器械使用环节质量安全监督管理。监督实施药品、医疗器械、化妆品标准和分类管理制度、问题产品召回和处置制度，以及经营使用质量管理规范。负责组织协调药品零售、医疗器械经营许可、检查和处罚，以及化妆品经营和药品、医疗器械使用环节的检查和处罚。组织指导药品、医疗器械和化妆品不良反应事件监测、评价和处置工作。</w:t>
      </w:r>
    </w:p>
    <w:p w14:paraId="2058AF70">
      <w:pPr>
        <w:bidi w:val="0"/>
        <w:rPr>
          <w:rFonts w:hint="eastAsia"/>
          <w:lang w:eastAsia="zh-CN"/>
        </w:rPr>
      </w:pPr>
      <w:r>
        <w:rPr>
          <w:rFonts w:hint="eastAsia"/>
          <w:lang w:eastAsia="zh-CN"/>
        </w:rPr>
        <w:t>（12）负责统一管理计量工作。贯彻执行国家计量制度，推行国家法定计量单位，依职责管理计量器具及量值传递、溯源和比对工作。规范商品量和市场计量行为。</w:t>
      </w:r>
    </w:p>
    <w:p w14:paraId="054F0DD2">
      <w:pPr>
        <w:bidi w:val="0"/>
        <w:rPr>
          <w:rFonts w:hint="eastAsia"/>
          <w:lang w:eastAsia="zh-CN"/>
        </w:rPr>
      </w:pPr>
      <w:r>
        <w:rPr>
          <w:rFonts w:hint="eastAsia"/>
          <w:lang w:eastAsia="zh-CN"/>
        </w:rPr>
        <w:t>（13）负责统一管理标准化工作。依法协调、指导地方标准、团体标准、企业标准制定工作。组织制定并实施标准化激励政策，规范标准化活动。承担我区法人和其他组织统一社会信用代码相关工作。管理商品条码工作。</w:t>
      </w:r>
    </w:p>
    <w:p w14:paraId="44D1D242">
      <w:pPr>
        <w:bidi w:val="0"/>
        <w:rPr>
          <w:rFonts w:hint="eastAsia"/>
          <w:lang w:eastAsia="zh-CN"/>
        </w:rPr>
      </w:pPr>
      <w:r>
        <w:rPr>
          <w:rFonts w:hint="eastAsia"/>
          <w:lang w:eastAsia="zh-CN"/>
        </w:rPr>
        <w:t>（14）</w:t>
      </w:r>
      <w:r>
        <w:rPr>
          <w:lang w:eastAsia="zh-CN"/>
        </w:rPr>
        <w:t>负责统一管理认证认可与检验检测工作。拟订实施认证与检验检测监督管理的制度措施。指导、规范全区认证与检验检测行业发展。依法监督管理认证认可与检验检测活动</w:t>
      </w:r>
      <w:r>
        <w:rPr>
          <w:rFonts w:hint="eastAsia"/>
          <w:lang w:eastAsia="zh-CN"/>
        </w:rPr>
        <w:t>。</w:t>
      </w:r>
    </w:p>
    <w:p w14:paraId="407C04D2">
      <w:pPr>
        <w:bidi w:val="0"/>
        <w:rPr>
          <w:rFonts w:hint="eastAsia"/>
          <w:lang w:eastAsia="zh-CN"/>
        </w:rPr>
      </w:pPr>
      <w:r>
        <w:rPr>
          <w:rFonts w:hint="eastAsia"/>
          <w:lang w:eastAsia="zh-CN"/>
        </w:rPr>
        <w:t>（15）</w:t>
      </w:r>
      <w:r>
        <w:rPr>
          <w:lang w:eastAsia="zh-CN"/>
        </w:rPr>
        <w:t>承办区委、区政府及上级相关部门交办的其他工作任务</w:t>
      </w:r>
      <w:r>
        <w:rPr>
          <w:rFonts w:hint="eastAsia"/>
          <w:lang w:eastAsia="zh-CN"/>
        </w:rPr>
        <w:t>。</w:t>
      </w:r>
    </w:p>
    <w:p w14:paraId="70D1B3C5">
      <w:pPr>
        <w:pStyle w:val="4"/>
        <w:bidi w:val="0"/>
        <w:rPr>
          <w:rFonts w:hint="eastAsia"/>
          <w:lang w:eastAsia="zh-CN"/>
        </w:rPr>
      </w:pPr>
      <w:bookmarkStart w:id="32" w:name="_Toc15131"/>
      <w:bookmarkStart w:id="33" w:name="_Toc13843"/>
      <w:bookmarkStart w:id="34" w:name="_Toc217363489"/>
      <w:bookmarkStart w:id="35" w:name="_Toc181557993"/>
      <w:r>
        <w:rPr>
          <w:rFonts w:hint="eastAsia"/>
          <w:lang w:eastAsia="zh-CN"/>
        </w:rPr>
        <w:t>（二）单位构成及人员结构</w:t>
      </w:r>
      <w:bookmarkEnd w:id="32"/>
      <w:bookmarkEnd w:id="33"/>
      <w:bookmarkEnd w:id="34"/>
      <w:bookmarkEnd w:id="35"/>
    </w:p>
    <w:p w14:paraId="37EA7159">
      <w:pPr>
        <w:bidi w:val="0"/>
        <w:rPr>
          <w:rFonts w:hint="eastAsia"/>
          <w:lang w:eastAsia="zh-CN"/>
        </w:rPr>
      </w:pPr>
      <w:r>
        <w:rPr>
          <w:rFonts w:hint="eastAsia"/>
          <w:lang w:eastAsia="zh-CN"/>
        </w:rPr>
        <w:t>泉州市洛江区市场监督管理局内设9个机构及1个下属单位（泉州市洛江区消费者委员会）。截至2024年12月，泉州市洛江区市场监督管理局编制数</w:t>
      </w:r>
      <w:r>
        <w:rPr>
          <w:lang w:eastAsia="zh-CN"/>
        </w:rPr>
        <w:t>62</w:t>
      </w:r>
      <w:r>
        <w:rPr>
          <w:rFonts w:hint="eastAsia"/>
          <w:lang w:eastAsia="zh-CN"/>
        </w:rPr>
        <w:t>人，在</w:t>
      </w:r>
      <w:r>
        <w:rPr>
          <w:rFonts w:hint="eastAsia"/>
          <w:lang w:val="en-US" w:eastAsia="zh-CN"/>
        </w:rPr>
        <w:t>编</w:t>
      </w:r>
      <w:r>
        <w:rPr>
          <w:rFonts w:hint="eastAsia"/>
          <w:lang w:eastAsia="zh-CN"/>
        </w:rPr>
        <w:t>人员</w:t>
      </w:r>
      <w:r>
        <w:rPr>
          <w:rFonts w:hint="eastAsia"/>
          <w:lang w:val="en-US" w:eastAsia="zh-CN"/>
        </w:rPr>
        <w:t>53</w:t>
      </w:r>
      <w:r>
        <w:rPr>
          <w:rFonts w:hint="eastAsia"/>
          <w:lang w:eastAsia="zh-CN"/>
        </w:rPr>
        <w:t>人。科室构成如下表1所示：</w:t>
      </w:r>
    </w:p>
    <w:p w14:paraId="380B22A6">
      <w:pPr>
        <w:pStyle w:val="17"/>
        <w:bidi w:val="0"/>
        <w:rPr>
          <w:rFonts w:hint="eastAsia"/>
          <w:lang w:eastAsia="zh-CN"/>
        </w:rPr>
      </w:pPr>
      <w:r>
        <w:rPr>
          <w:lang w:eastAsia="zh-CN"/>
        </w:rPr>
        <w:t>表</w:t>
      </w:r>
      <w:r>
        <w:rPr>
          <w:rFonts w:hint="eastAsia"/>
          <w:lang w:eastAsia="zh-CN"/>
        </w:rPr>
        <w:t>1   2024</w:t>
      </w:r>
      <w:r>
        <w:rPr>
          <w:lang w:eastAsia="zh-CN"/>
        </w:rPr>
        <w:t>年度</w:t>
      </w:r>
      <w:r>
        <w:rPr>
          <w:rFonts w:hint="eastAsia"/>
          <w:lang w:eastAsia="zh-CN"/>
        </w:rPr>
        <w:t>泉州市洛江区市场监督管理局内设机构情况表</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2"/>
        <w:gridCol w:w="1515"/>
        <w:gridCol w:w="6405"/>
      </w:tblGrid>
      <w:tr w14:paraId="18342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tblHeader/>
        </w:trPr>
        <w:tc>
          <w:tcPr>
            <w:tcW w:w="353" w:type="pct"/>
            <w:shd w:val="clear" w:color="auto" w:fill="D8D8D8" w:themeFill="background1" w:themeFillShade="D9"/>
            <w:noWrap/>
            <w:vAlign w:val="center"/>
          </w:tcPr>
          <w:p w14:paraId="1E3D0071">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jc w:val="center"/>
              <w:textAlignment w:val="baseline"/>
              <w:rPr>
                <w:rFonts w:hint="eastAsia"/>
                <w:b/>
                <w:bCs/>
                <w:lang w:eastAsia="zh-CN"/>
              </w:rPr>
            </w:pPr>
            <w:r>
              <w:rPr>
                <w:rFonts w:hint="eastAsia"/>
                <w:b/>
                <w:bCs/>
                <w:lang w:eastAsia="zh-CN"/>
              </w:rPr>
              <w:t>序号</w:t>
            </w:r>
          </w:p>
        </w:tc>
        <w:tc>
          <w:tcPr>
            <w:tcW w:w="889" w:type="pct"/>
            <w:shd w:val="clear" w:color="auto" w:fill="D8D8D8" w:themeFill="background1" w:themeFillShade="D9"/>
            <w:noWrap/>
            <w:vAlign w:val="center"/>
          </w:tcPr>
          <w:p w14:paraId="2546A321">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jc w:val="center"/>
              <w:textAlignment w:val="baseline"/>
              <w:rPr>
                <w:rFonts w:hint="eastAsia"/>
                <w:b/>
                <w:bCs/>
                <w:lang w:eastAsia="zh-CN"/>
              </w:rPr>
            </w:pPr>
            <w:r>
              <w:rPr>
                <w:rFonts w:hint="eastAsia"/>
                <w:b/>
                <w:bCs/>
                <w:lang w:eastAsia="zh-CN"/>
              </w:rPr>
              <w:t>单位名称</w:t>
            </w:r>
          </w:p>
        </w:tc>
        <w:tc>
          <w:tcPr>
            <w:tcW w:w="3758" w:type="pct"/>
            <w:shd w:val="clear" w:color="auto" w:fill="D8D8D8" w:themeFill="background1" w:themeFillShade="D9"/>
            <w:noWrap/>
            <w:vAlign w:val="center"/>
          </w:tcPr>
          <w:p w14:paraId="21ECE5AF">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jc w:val="center"/>
              <w:textAlignment w:val="baseline"/>
              <w:rPr>
                <w:rFonts w:hint="eastAsia"/>
                <w:b/>
                <w:bCs/>
                <w:lang w:eastAsia="zh-CN"/>
              </w:rPr>
            </w:pPr>
            <w:r>
              <w:rPr>
                <w:rFonts w:hint="eastAsia"/>
                <w:b/>
                <w:bCs/>
                <w:lang w:eastAsia="zh-CN"/>
              </w:rPr>
              <w:t>主要职责</w:t>
            </w:r>
          </w:p>
        </w:tc>
      </w:tr>
      <w:tr w14:paraId="108F9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20" w:hRule="atLeast"/>
        </w:trPr>
        <w:tc>
          <w:tcPr>
            <w:tcW w:w="353" w:type="pct"/>
            <w:noWrap/>
            <w:vAlign w:val="center"/>
          </w:tcPr>
          <w:p w14:paraId="232F61DC">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jc w:val="center"/>
              <w:textAlignment w:val="baseline"/>
              <w:rPr>
                <w:rFonts w:hint="eastAsia"/>
                <w:lang w:eastAsia="zh-CN"/>
              </w:rPr>
            </w:pPr>
            <w:r>
              <w:rPr>
                <w:rFonts w:hint="eastAsia"/>
                <w:lang w:eastAsia="zh-CN"/>
              </w:rPr>
              <w:t>1</w:t>
            </w:r>
          </w:p>
        </w:tc>
        <w:tc>
          <w:tcPr>
            <w:tcW w:w="889" w:type="pct"/>
            <w:noWrap/>
            <w:vAlign w:val="center"/>
          </w:tcPr>
          <w:p w14:paraId="6BCA0ADD">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textAlignment w:val="baseline"/>
              <w:rPr>
                <w:rFonts w:hint="eastAsia"/>
                <w:lang w:eastAsia="zh-CN"/>
              </w:rPr>
            </w:pPr>
            <w:r>
              <w:rPr>
                <w:lang w:eastAsia="zh-CN"/>
              </w:rPr>
              <w:t>综合股</w:t>
            </w:r>
          </w:p>
        </w:tc>
        <w:tc>
          <w:tcPr>
            <w:tcW w:w="3758" w:type="pct"/>
            <w:noWrap/>
            <w:vAlign w:val="center"/>
          </w:tcPr>
          <w:p w14:paraId="410FA73D">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textAlignment w:val="baseline"/>
              <w:rPr>
                <w:rFonts w:hint="eastAsia"/>
                <w:lang w:eastAsia="zh-CN"/>
              </w:rPr>
            </w:pPr>
            <w:r>
              <w:rPr>
                <w:lang w:eastAsia="zh-CN"/>
              </w:rPr>
              <w:t>综合协调机关和所属单位工作。负责机关政务规章制度建设，保障日常运转。承担起草综合性文稿</w:t>
            </w:r>
            <w:r>
              <w:rPr>
                <w:rFonts w:hint="eastAsia"/>
                <w:lang w:eastAsia="zh-CN"/>
              </w:rPr>
              <w:t>、文电，以及</w:t>
            </w:r>
            <w:r>
              <w:rPr>
                <w:lang w:eastAsia="zh-CN"/>
              </w:rPr>
              <w:t>政务公开、信息公开、政务信息、绩效管理、效能建设、督查督办、保密机要、档案管理、信访、会务保障、内部安全等工作。牵头协调办理人大建议和政协提案的答复工作。牵头组织综合性工作调研。负责机关接待工作。负责机关和所属单位的机构编制、人事管理、干部队伍、专业人才队伍建设及退休人员管理服务工作。负责对外交流合作有关工作。指导基层市场监管体系规范化建设。负责教育培训、职称评定和专业技术人员管理工作。</w:t>
            </w:r>
          </w:p>
        </w:tc>
      </w:tr>
      <w:tr w14:paraId="7AE96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20" w:hRule="atLeast"/>
        </w:trPr>
        <w:tc>
          <w:tcPr>
            <w:tcW w:w="353" w:type="pct"/>
            <w:noWrap/>
            <w:vAlign w:val="center"/>
          </w:tcPr>
          <w:p w14:paraId="6FE6529B">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jc w:val="center"/>
              <w:textAlignment w:val="baseline"/>
              <w:rPr>
                <w:rFonts w:hint="eastAsia"/>
                <w:lang w:eastAsia="zh-CN"/>
              </w:rPr>
            </w:pPr>
            <w:r>
              <w:rPr>
                <w:rFonts w:hint="eastAsia"/>
                <w:lang w:eastAsia="zh-CN"/>
              </w:rPr>
              <w:t>2</w:t>
            </w:r>
          </w:p>
        </w:tc>
        <w:tc>
          <w:tcPr>
            <w:tcW w:w="889" w:type="pct"/>
            <w:noWrap/>
            <w:vAlign w:val="center"/>
          </w:tcPr>
          <w:p w14:paraId="71FBE57D">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textAlignment w:val="baseline"/>
              <w:rPr>
                <w:rFonts w:hint="eastAsia"/>
                <w:lang w:eastAsia="zh-CN"/>
              </w:rPr>
            </w:pPr>
            <w:r>
              <w:rPr>
                <w:lang w:eastAsia="zh-CN"/>
              </w:rPr>
              <w:t>行政审核审批股</w:t>
            </w:r>
          </w:p>
        </w:tc>
        <w:tc>
          <w:tcPr>
            <w:tcW w:w="3758" w:type="pct"/>
            <w:noWrap/>
            <w:vAlign w:val="center"/>
          </w:tcPr>
          <w:p w14:paraId="679FDCE0">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textAlignment w:val="baseline"/>
              <w:rPr>
                <w:rFonts w:hint="eastAsia"/>
                <w:lang w:eastAsia="zh-CN"/>
              </w:rPr>
            </w:pPr>
            <w:r>
              <w:rPr>
                <w:lang w:eastAsia="zh-CN"/>
              </w:rPr>
              <w:t>负责组织实施本部门的行政审批及公共服务事项。拟订市场主体登记注册的具体措施、办法，并负责组织实施。承办上级委托的审核审批和服务工作。承担登记注册信息的分析公开工作。负责驻行政服务中心窗口管理工作。配合属地党委组织开展小微企业、个体工商户、专业市场党建工作</w:t>
            </w:r>
            <w:r>
              <w:rPr>
                <w:rFonts w:hint="eastAsia"/>
                <w:lang w:eastAsia="zh-CN"/>
              </w:rPr>
              <w:t>。</w:t>
            </w:r>
          </w:p>
        </w:tc>
      </w:tr>
      <w:tr w14:paraId="10A143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20" w:hRule="atLeast"/>
        </w:trPr>
        <w:tc>
          <w:tcPr>
            <w:tcW w:w="353" w:type="pct"/>
            <w:noWrap/>
            <w:vAlign w:val="center"/>
          </w:tcPr>
          <w:p w14:paraId="68783FF9">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jc w:val="center"/>
              <w:textAlignment w:val="baseline"/>
              <w:rPr>
                <w:rFonts w:hint="eastAsia"/>
                <w:lang w:eastAsia="zh-CN"/>
              </w:rPr>
            </w:pPr>
            <w:r>
              <w:rPr>
                <w:rFonts w:hint="eastAsia"/>
                <w:lang w:eastAsia="zh-CN"/>
              </w:rPr>
              <w:t>3</w:t>
            </w:r>
          </w:p>
        </w:tc>
        <w:tc>
          <w:tcPr>
            <w:tcW w:w="889" w:type="pct"/>
            <w:noWrap/>
            <w:vAlign w:val="center"/>
          </w:tcPr>
          <w:p w14:paraId="683B21F9">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textAlignment w:val="baseline"/>
              <w:rPr>
                <w:rFonts w:hint="eastAsia"/>
                <w:lang w:eastAsia="zh-CN"/>
              </w:rPr>
            </w:pPr>
            <w:r>
              <w:rPr>
                <w:lang w:eastAsia="zh-CN"/>
              </w:rPr>
              <w:t>市场规范监督管理股</w:t>
            </w:r>
          </w:p>
        </w:tc>
        <w:tc>
          <w:tcPr>
            <w:tcW w:w="3758" w:type="pct"/>
            <w:noWrap/>
            <w:vAlign w:val="center"/>
          </w:tcPr>
          <w:p w14:paraId="3F934A96">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textAlignment w:val="baseline"/>
              <w:rPr>
                <w:rFonts w:hint="eastAsia"/>
                <w:lang w:eastAsia="zh-CN"/>
              </w:rPr>
            </w:pPr>
            <w:r>
              <w:rPr>
                <w:lang w:eastAsia="zh-CN"/>
              </w:rPr>
              <w:t>组织开展相关政策研究和综合分析。负责机关政策和规范性文件的合法性审查。组织编制权责清单和事权划分。承担或参与有关行政复议、行政应诉和行政赔偿工作。组织开展市场监管法治宣传教育。承担行政执法证件、公职律师和法律顾问的管理。拟订并组织实施广告业发展规划和政策。制定实施广告监督管理的制度措施。指导广告审查机构、广告行业组织发展工作。指导监督管理广告活动。组织监测各类媒介广告发布情况。组织协调查处虚假广告等违法违规行为。</w:t>
            </w:r>
          </w:p>
        </w:tc>
      </w:tr>
      <w:tr w14:paraId="7F403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20" w:hRule="atLeast"/>
        </w:trPr>
        <w:tc>
          <w:tcPr>
            <w:tcW w:w="353" w:type="pct"/>
            <w:noWrap/>
            <w:vAlign w:val="center"/>
          </w:tcPr>
          <w:p w14:paraId="15A2560D">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jc w:val="center"/>
              <w:textAlignment w:val="baseline"/>
              <w:rPr>
                <w:rFonts w:hint="eastAsia"/>
                <w:lang w:eastAsia="zh-CN"/>
              </w:rPr>
            </w:pPr>
            <w:r>
              <w:rPr>
                <w:rFonts w:hint="eastAsia"/>
                <w:lang w:eastAsia="zh-CN"/>
              </w:rPr>
              <w:t>4</w:t>
            </w:r>
          </w:p>
        </w:tc>
        <w:tc>
          <w:tcPr>
            <w:tcW w:w="889" w:type="pct"/>
            <w:noWrap/>
            <w:vAlign w:val="center"/>
          </w:tcPr>
          <w:p w14:paraId="0FCBEF97">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textAlignment w:val="baseline"/>
              <w:rPr>
                <w:rFonts w:hint="eastAsia"/>
                <w:lang w:eastAsia="zh-CN"/>
              </w:rPr>
            </w:pPr>
            <w:r>
              <w:rPr>
                <w:lang w:eastAsia="zh-CN"/>
              </w:rPr>
              <w:t>信用监督管理股</w:t>
            </w:r>
          </w:p>
        </w:tc>
        <w:tc>
          <w:tcPr>
            <w:tcW w:w="3758" w:type="pct"/>
            <w:noWrap/>
            <w:vAlign w:val="center"/>
          </w:tcPr>
          <w:p w14:paraId="1DB3368B">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textAlignment w:val="baseline"/>
              <w:rPr>
                <w:rFonts w:hint="eastAsia"/>
                <w:lang w:eastAsia="zh-CN"/>
              </w:rPr>
            </w:pPr>
            <w:r>
              <w:rPr>
                <w:lang w:eastAsia="zh-CN"/>
              </w:rPr>
              <w:t>拟订信用管理的具体措施、办法。组织、指导对市场主体登记注册行为的监督检查。组织、指导信用分类管理和信息公示工作。组织、协调国家企业信用信息公示系统（福建）的应用。组织、指导实施企业经营异常名录和严重违法失信企业名单管理制度。承担市场主体信用信息和监管信息公示与归集共享工作，以及联合惩戒的协调联系工作。组织协调查处无照生产经营以及与市场监管部门职能相关的无证生产经营行为。组织落实“双随机、一公开”制度，推动市场监管领域信用体系建设。贯彻落实价格监督检查的制度、措施、规则、指南。</w:t>
            </w:r>
          </w:p>
        </w:tc>
      </w:tr>
      <w:tr w14:paraId="26F6D8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20" w:hRule="atLeast"/>
        </w:trPr>
        <w:tc>
          <w:tcPr>
            <w:tcW w:w="353" w:type="pct"/>
            <w:noWrap/>
            <w:vAlign w:val="center"/>
          </w:tcPr>
          <w:p w14:paraId="5EC9276A">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jc w:val="center"/>
              <w:textAlignment w:val="baseline"/>
              <w:rPr>
                <w:rFonts w:hint="eastAsia"/>
                <w:lang w:eastAsia="zh-CN"/>
              </w:rPr>
            </w:pPr>
            <w:r>
              <w:rPr>
                <w:rFonts w:hint="eastAsia"/>
                <w:lang w:eastAsia="zh-CN"/>
              </w:rPr>
              <w:t>5</w:t>
            </w:r>
          </w:p>
        </w:tc>
        <w:tc>
          <w:tcPr>
            <w:tcW w:w="889" w:type="pct"/>
            <w:noWrap/>
            <w:vAlign w:val="center"/>
          </w:tcPr>
          <w:p w14:paraId="65FA016B">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textAlignment w:val="baseline"/>
              <w:rPr>
                <w:rFonts w:hint="eastAsia"/>
                <w:lang w:eastAsia="zh-CN"/>
              </w:rPr>
            </w:pPr>
            <w:r>
              <w:rPr>
                <w:lang w:eastAsia="zh-CN"/>
              </w:rPr>
              <w:t>食品餐饮监督管理股</w:t>
            </w:r>
          </w:p>
        </w:tc>
        <w:tc>
          <w:tcPr>
            <w:tcW w:w="3758" w:type="pct"/>
            <w:noWrap/>
            <w:vAlign w:val="center"/>
          </w:tcPr>
          <w:p w14:paraId="43156600">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textAlignment w:val="baseline"/>
              <w:rPr>
                <w:rFonts w:hint="eastAsia"/>
                <w:lang w:eastAsia="zh-CN"/>
              </w:rPr>
            </w:pPr>
            <w:r>
              <w:rPr>
                <w:lang w:eastAsia="zh-CN"/>
              </w:rPr>
              <w:t>统筹指导全区食品安全工作。组织实施推进食品安全战略的重大政策措施，拟订食品安全中长期规划和年度计划并组织实施。负责全区食品安全应急体系建设，组织指导重大食品安全事件应急处置和调查处理工作。建立食品安全信息统一公布制度，依法公布重大食品安全信息。组织开展食品安全重大专项行动和考核考评工作，统筹协调跨地区跨部门食品安全监管中的重大问题。承担区食品安全委员会日常工作。承担食品流通质量安全监督管理工作，组织协调查处相关违法行为。负责拟订食品流通、市场销售食用农产品监督管理措施、方案并监督实施，组织实施流通环节食品安全监督检查和专项整治行动。</w:t>
            </w:r>
          </w:p>
        </w:tc>
      </w:tr>
      <w:tr w14:paraId="1AA52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20" w:hRule="atLeast"/>
        </w:trPr>
        <w:tc>
          <w:tcPr>
            <w:tcW w:w="353" w:type="pct"/>
            <w:noWrap/>
            <w:vAlign w:val="center"/>
          </w:tcPr>
          <w:p w14:paraId="66E44EE6">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jc w:val="center"/>
              <w:textAlignment w:val="baseline"/>
              <w:rPr>
                <w:rFonts w:hint="eastAsia"/>
                <w:lang w:eastAsia="zh-CN"/>
              </w:rPr>
            </w:pPr>
            <w:r>
              <w:rPr>
                <w:rFonts w:hint="eastAsia"/>
                <w:lang w:eastAsia="zh-CN"/>
              </w:rPr>
              <w:t>6</w:t>
            </w:r>
          </w:p>
        </w:tc>
        <w:tc>
          <w:tcPr>
            <w:tcW w:w="889" w:type="pct"/>
            <w:noWrap/>
            <w:vAlign w:val="center"/>
          </w:tcPr>
          <w:p w14:paraId="5FB3C1C4">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textAlignment w:val="baseline"/>
              <w:rPr>
                <w:rFonts w:hint="eastAsia"/>
                <w:lang w:eastAsia="zh-CN"/>
              </w:rPr>
            </w:pPr>
            <w:r>
              <w:rPr>
                <w:lang w:eastAsia="zh-CN"/>
              </w:rPr>
              <w:t>药品药械监督管理股</w:t>
            </w:r>
          </w:p>
        </w:tc>
        <w:tc>
          <w:tcPr>
            <w:tcW w:w="3758" w:type="pct"/>
            <w:noWrap/>
            <w:vAlign w:val="center"/>
          </w:tcPr>
          <w:p w14:paraId="0E1D71D8">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textAlignment w:val="baseline"/>
              <w:rPr>
                <w:rFonts w:hint="eastAsia"/>
                <w:lang w:eastAsia="zh-CN"/>
              </w:rPr>
            </w:pPr>
            <w:r>
              <w:rPr>
                <w:lang w:eastAsia="zh-CN"/>
              </w:rPr>
              <w:t>负责药品零售、使用环节和化妆品经营环节的质量安全监管工作，监督实施药品分类管理制度、化妆品国家标准、药品经营质量管理规范。推动药品、化妆品检验检测体系、电子监管追溯体系建设。管理药品、化妆品不良反应报告和监测工作。负责医疗器械经营使用环节质量安全监管工作，监督实施医疗器械产品分类管理及企业质量管理规范体系。推动医疗器械检验检测体系、电子监管追溯体系和信息化建设。组织开展医疗器械安全风险预测、预警、交流和再评价工作。管理医疗器械不良反应报告和监测工作</w:t>
            </w:r>
            <w:r>
              <w:rPr>
                <w:rFonts w:hint="eastAsia"/>
                <w:lang w:eastAsia="zh-CN"/>
              </w:rPr>
              <w:t>。</w:t>
            </w:r>
          </w:p>
        </w:tc>
      </w:tr>
      <w:tr w14:paraId="2C61A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20" w:hRule="atLeast"/>
        </w:trPr>
        <w:tc>
          <w:tcPr>
            <w:tcW w:w="353" w:type="pct"/>
            <w:noWrap/>
            <w:vAlign w:val="center"/>
          </w:tcPr>
          <w:p w14:paraId="4CA3AFF2">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jc w:val="center"/>
              <w:textAlignment w:val="baseline"/>
              <w:rPr>
                <w:rFonts w:hint="eastAsia"/>
                <w:lang w:eastAsia="zh-CN"/>
              </w:rPr>
            </w:pPr>
            <w:r>
              <w:rPr>
                <w:rFonts w:hint="eastAsia"/>
                <w:lang w:eastAsia="zh-CN"/>
              </w:rPr>
              <w:t>7</w:t>
            </w:r>
          </w:p>
        </w:tc>
        <w:tc>
          <w:tcPr>
            <w:tcW w:w="889" w:type="pct"/>
            <w:noWrap/>
            <w:vAlign w:val="center"/>
          </w:tcPr>
          <w:p w14:paraId="3EA1BD0B">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textAlignment w:val="baseline"/>
              <w:rPr>
                <w:rFonts w:hint="eastAsia"/>
                <w:lang w:eastAsia="zh-CN"/>
              </w:rPr>
            </w:pPr>
            <w:r>
              <w:rPr>
                <w:lang w:eastAsia="zh-CN"/>
              </w:rPr>
              <w:t>质量综合监督管理股</w:t>
            </w:r>
          </w:p>
        </w:tc>
        <w:tc>
          <w:tcPr>
            <w:tcW w:w="3758" w:type="pct"/>
            <w:noWrap/>
            <w:vAlign w:val="center"/>
          </w:tcPr>
          <w:p w14:paraId="5DDE1893">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textAlignment w:val="baseline"/>
              <w:rPr>
                <w:rFonts w:hint="eastAsia"/>
                <w:lang w:eastAsia="zh-CN"/>
              </w:rPr>
            </w:pPr>
            <w:r>
              <w:rPr>
                <w:lang w:eastAsia="zh-CN"/>
              </w:rPr>
              <w:t>拟订推进质量强区战略的政策措施并组织实施。组织实施政府质量奖励制度。负责推进品牌建设。负责区质量基础设施的协同服务与应用工作。按照上级要求承担缺陷产品召回相关工作。组织重大质量事故调查，承办重大工程设备质量监理有关事项和产品防伪监督管理工作。开展服务质量监督监测。承担区质量强区工作领导小组办公室日常工作。负责全区产品质量的监督管理工作。承担对产品质量监督抽查、风险监控和分类监督管理工作。承担工业产品生产许可证获证企业产品质量监督。对承担区级监督抽查任务的产品质量检验机构的承检质量实施监督管理。承担食品相关产品生产许可获证企业产品质量监督，组织实施工业产品和食品相关产品获证企业产品区级质量监督抽查和风险监测。按规定组织协调相关产品质量安全事件的调查处理。组织实施质量分级制度、质量安全追溯制度。</w:t>
            </w:r>
          </w:p>
        </w:tc>
      </w:tr>
      <w:tr w14:paraId="22CA34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20" w:hRule="atLeast"/>
        </w:trPr>
        <w:tc>
          <w:tcPr>
            <w:tcW w:w="353" w:type="pct"/>
            <w:noWrap/>
            <w:vAlign w:val="center"/>
          </w:tcPr>
          <w:p w14:paraId="3962D8A0">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jc w:val="center"/>
              <w:textAlignment w:val="baseline"/>
              <w:rPr>
                <w:rFonts w:hint="eastAsia"/>
                <w:lang w:eastAsia="zh-CN"/>
              </w:rPr>
            </w:pPr>
            <w:r>
              <w:rPr>
                <w:rFonts w:hint="eastAsia"/>
                <w:lang w:eastAsia="zh-CN"/>
              </w:rPr>
              <w:t>8</w:t>
            </w:r>
          </w:p>
        </w:tc>
        <w:tc>
          <w:tcPr>
            <w:tcW w:w="889" w:type="pct"/>
            <w:noWrap/>
            <w:vAlign w:val="center"/>
          </w:tcPr>
          <w:p w14:paraId="201D3BC8">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textAlignment w:val="baseline"/>
              <w:rPr>
                <w:rFonts w:hint="eastAsia"/>
                <w:lang w:eastAsia="zh-CN"/>
              </w:rPr>
            </w:pPr>
            <w:r>
              <w:rPr>
                <w:lang w:eastAsia="zh-CN"/>
              </w:rPr>
              <w:t>特种设备安全监察股</w:t>
            </w:r>
          </w:p>
        </w:tc>
        <w:tc>
          <w:tcPr>
            <w:tcW w:w="3758" w:type="pct"/>
            <w:noWrap/>
            <w:vAlign w:val="center"/>
          </w:tcPr>
          <w:p w14:paraId="1C8B3057">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textAlignment w:val="baseline"/>
              <w:rPr>
                <w:rFonts w:hint="eastAsia"/>
                <w:lang w:eastAsia="zh-CN"/>
              </w:rPr>
            </w:pPr>
            <w:r>
              <w:rPr>
                <w:lang w:eastAsia="zh-CN"/>
              </w:rPr>
              <w:t>按照特种设备目录实施安全监督管理，组织落实特种设备安全技术规范。监督检查全市特种设备生产、经营、使用和检验检测，以及高耗能特种设备节能标准、锅炉环境保护标准的执行情况。接收全区特种设备安装、改造、修理施工告知。按规定权限组织调查处理特种设备事故并进行统计分析，指导全区特种设备事故应急处置与救援体系建设，组织协调查处相关违法行为。按规定权限监督管理特种设备检验检测机构和检验检测人员、作业人员。推动特种设备安全技术研究并推广应用。负责拟订市场监督管理领域突发事件应急管理制度或规定。统筹协调市场监督管理系统应急管理和安全生产工作。组织协调市场监督管理应急预案的编制、评审和演练。</w:t>
            </w:r>
          </w:p>
        </w:tc>
      </w:tr>
      <w:tr w14:paraId="0E390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20" w:hRule="atLeast"/>
        </w:trPr>
        <w:tc>
          <w:tcPr>
            <w:tcW w:w="353" w:type="pct"/>
            <w:noWrap/>
            <w:vAlign w:val="center"/>
          </w:tcPr>
          <w:p w14:paraId="424A03A1">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jc w:val="center"/>
              <w:textAlignment w:val="baseline"/>
              <w:rPr>
                <w:rFonts w:hint="eastAsia"/>
                <w:lang w:eastAsia="zh-CN"/>
              </w:rPr>
            </w:pPr>
            <w:r>
              <w:rPr>
                <w:rFonts w:hint="eastAsia"/>
                <w:lang w:eastAsia="zh-CN"/>
              </w:rPr>
              <w:t>9</w:t>
            </w:r>
          </w:p>
        </w:tc>
        <w:tc>
          <w:tcPr>
            <w:tcW w:w="889" w:type="pct"/>
            <w:noWrap/>
            <w:vAlign w:val="center"/>
          </w:tcPr>
          <w:p w14:paraId="2C79FCA6">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textAlignment w:val="baseline"/>
              <w:rPr>
                <w:rFonts w:hint="eastAsia"/>
                <w:lang w:eastAsia="zh-CN"/>
              </w:rPr>
            </w:pPr>
            <w:r>
              <w:rPr>
                <w:lang w:eastAsia="zh-CN"/>
              </w:rPr>
              <w:t>知识产权运用与保护股</w:t>
            </w:r>
          </w:p>
        </w:tc>
        <w:tc>
          <w:tcPr>
            <w:tcW w:w="3758" w:type="pct"/>
            <w:noWrap/>
            <w:vAlign w:val="center"/>
          </w:tcPr>
          <w:p w14:paraId="5EDE38E1">
            <w:pPr>
              <w:pStyle w:val="18"/>
              <w:keepNext w:val="0"/>
              <w:keepLines w:val="0"/>
              <w:pageBreakBefore w:val="0"/>
              <w:widowControl w:val="0"/>
              <w:kinsoku w:val="0"/>
              <w:wordWrap w:val="0"/>
              <w:overflowPunct w:val="0"/>
              <w:topLinePunct w:val="0"/>
              <w:autoSpaceDE/>
              <w:autoSpaceDN/>
              <w:bidi w:val="0"/>
              <w:adjustRightInd w:val="0"/>
              <w:snapToGrid w:val="0"/>
              <w:spacing w:line="320" w:lineRule="exact"/>
              <w:textAlignment w:val="baseline"/>
              <w:rPr>
                <w:rFonts w:hint="eastAsia"/>
                <w:lang w:eastAsia="zh-CN"/>
              </w:rPr>
            </w:pPr>
            <w:r>
              <w:rPr>
                <w:lang w:eastAsia="zh-CN"/>
              </w:rPr>
              <w:t>拟订保护知识产权政策并组织实施，推进知识产权保护体系及信用体系建设，组织开展商标、专利、原产地地理标志等专用权保护工作，指导知识产权争议处理和纠纷调处。负责处理专利侵权纠纷等行政裁决。组织协调查处知识产权违法案件。统筹协调涉外及涉台港澳知识产权事宜，指导知识产权海外维权工作。承担知识产权代理行业监管，推进知识产权服务业发展。研究实施鼓励新领域、新业态、新模式创新的知识产权保护、管理和服务政策措施。按规定做好打击侵权和假冒伪劣商品相关工作。</w:t>
            </w:r>
          </w:p>
        </w:tc>
      </w:tr>
    </w:tbl>
    <w:p w14:paraId="3C0EBA47">
      <w:pPr>
        <w:pStyle w:val="4"/>
        <w:bidi w:val="0"/>
        <w:rPr>
          <w:rFonts w:hint="eastAsia"/>
          <w:lang w:eastAsia="zh-CN"/>
        </w:rPr>
      </w:pPr>
      <w:bookmarkStart w:id="36" w:name="_Toc217363490"/>
      <w:bookmarkStart w:id="37" w:name="_Toc181557994"/>
      <w:bookmarkStart w:id="38" w:name="_Toc21703"/>
      <w:bookmarkStart w:id="39" w:name="_Toc8593"/>
      <w:r>
        <w:rPr>
          <w:rFonts w:hint="eastAsia"/>
          <w:lang w:eastAsia="zh-CN"/>
        </w:rPr>
        <w:t>（三）部门管理制度</w:t>
      </w:r>
      <w:bookmarkEnd w:id="36"/>
      <w:bookmarkEnd w:id="37"/>
      <w:bookmarkEnd w:id="38"/>
      <w:bookmarkEnd w:id="39"/>
    </w:p>
    <w:p w14:paraId="1C0D0E70">
      <w:pPr>
        <w:bidi w:val="0"/>
        <w:rPr>
          <w:rFonts w:hint="eastAsia"/>
          <w:lang w:eastAsia="zh-CN"/>
        </w:rPr>
      </w:pPr>
      <w:bookmarkStart w:id="40" w:name="bookmark7"/>
      <w:bookmarkEnd w:id="40"/>
      <w:r>
        <w:rPr>
          <w:rFonts w:hint="eastAsia"/>
          <w:lang w:eastAsia="zh-CN"/>
        </w:rPr>
        <w:t>为加强泉州市洛江区市场监督管理局财务管理和会计核算，规范财务行为，降低行政成本，提高资金使用效益，强化财务监督，加强单位内部控制，泉州市洛江区市场监督管理局出台了</w:t>
      </w:r>
      <w:bookmarkStart w:id="41" w:name="_Hlk213537563"/>
      <w:bookmarkStart w:id="42" w:name="_Hlk212712727"/>
      <w:r>
        <w:rPr>
          <w:rFonts w:hint="eastAsia"/>
          <w:lang w:eastAsia="zh-CN"/>
        </w:rPr>
        <w:t>《泉州市洛江区市场监督管理局关于印发采购内部控制制度的通知》《泉州市洛江区市场监督管理局固定资产管理制度》《关于印发洛江区市场监督管理系统“三重一大”决策制度的通知》</w:t>
      </w:r>
      <w:bookmarkEnd w:id="41"/>
      <w:r>
        <w:rPr>
          <w:rFonts w:hint="eastAsia"/>
          <w:lang w:eastAsia="zh-CN"/>
        </w:rPr>
        <w:t>等多项管理制度文件</w:t>
      </w:r>
      <w:bookmarkEnd w:id="42"/>
      <w:r>
        <w:rPr>
          <w:rFonts w:hint="eastAsia"/>
          <w:lang w:eastAsia="zh-CN"/>
        </w:rPr>
        <w:t>，这些制度对泉州市洛江区市场监督管理局的财务管理、预算管理、收支管理、资金管理、审批管理等进行了严格规定。加强了泉州市洛江区市场监督管理局采购活动内部控制，规范采购行为，提高资金使用效益。</w:t>
      </w:r>
    </w:p>
    <w:p w14:paraId="3BEF8D98">
      <w:pPr>
        <w:pStyle w:val="4"/>
        <w:bidi w:val="0"/>
        <w:rPr>
          <w:rFonts w:hint="eastAsia"/>
          <w:lang w:eastAsia="zh-CN"/>
        </w:rPr>
      </w:pPr>
      <w:bookmarkStart w:id="43" w:name="bookmark9"/>
      <w:bookmarkEnd w:id="43"/>
      <w:bookmarkStart w:id="44" w:name="bookmark8"/>
      <w:bookmarkEnd w:id="44"/>
      <w:bookmarkStart w:id="45" w:name="_Toc181557995"/>
      <w:bookmarkStart w:id="46" w:name="_Toc28550"/>
      <w:bookmarkStart w:id="47" w:name="_Toc217363491"/>
      <w:bookmarkStart w:id="48" w:name="_Toc2059"/>
      <w:r>
        <w:rPr>
          <w:rFonts w:hint="eastAsia"/>
          <w:lang w:eastAsia="zh-CN"/>
        </w:rPr>
        <w:t>（四）部门整体收支情况</w:t>
      </w:r>
      <w:bookmarkEnd w:id="45"/>
      <w:bookmarkEnd w:id="46"/>
      <w:bookmarkEnd w:id="47"/>
      <w:bookmarkEnd w:id="48"/>
      <w:bookmarkStart w:id="49" w:name="bookmark10"/>
      <w:bookmarkEnd w:id="49"/>
    </w:p>
    <w:p w14:paraId="7017CED1">
      <w:pPr>
        <w:bidi w:val="0"/>
        <w:rPr>
          <w:rFonts w:hint="eastAsia"/>
          <w:lang w:eastAsia="zh-CN"/>
        </w:rPr>
      </w:pPr>
      <w:bookmarkStart w:id="50" w:name="_Toc23750"/>
      <w:bookmarkStart w:id="51" w:name="_Toc217363492"/>
      <w:bookmarkStart w:id="52" w:name="_Toc181557996"/>
      <w:r>
        <w:rPr>
          <w:rFonts w:hint="eastAsia"/>
          <w:lang w:eastAsia="zh-CN"/>
        </w:rPr>
        <w:t>1.</w:t>
      </w:r>
      <w:bookmarkEnd w:id="50"/>
      <w:r>
        <w:rPr>
          <w:rFonts w:hint="eastAsia"/>
          <w:lang w:eastAsia="zh-CN"/>
        </w:rPr>
        <w:t>资金预算和执行情况</w:t>
      </w:r>
      <w:bookmarkEnd w:id="51"/>
      <w:bookmarkEnd w:id="52"/>
    </w:p>
    <w:p w14:paraId="5C661685">
      <w:pPr>
        <w:bidi w:val="0"/>
        <w:rPr>
          <w:rFonts w:hint="eastAsia"/>
          <w:lang w:eastAsia="zh-CN"/>
        </w:rPr>
      </w:pPr>
      <w:r>
        <w:rPr>
          <w:rFonts w:hint="eastAsia"/>
          <w:lang w:eastAsia="zh-CN"/>
        </w:rPr>
        <w:t>泉州市洛江区市场监督管理局2024年部门年初收入预算为</w:t>
      </w:r>
      <w:r>
        <w:rPr>
          <w:lang w:eastAsia="zh-CN"/>
        </w:rPr>
        <w:t>1,869.51</w:t>
      </w:r>
      <w:r>
        <w:rPr>
          <w:rFonts w:hint="eastAsia"/>
          <w:lang w:eastAsia="zh-CN"/>
        </w:rPr>
        <w:t>万元，其中，一般公共预算财政拨款收入</w:t>
      </w:r>
      <w:r>
        <w:rPr>
          <w:lang w:eastAsia="zh-CN"/>
        </w:rPr>
        <w:t>1,799.51</w:t>
      </w:r>
      <w:r>
        <w:rPr>
          <w:rFonts w:hint="eastAsia"/>
          <w:lang w:eastAsia="zh-CN"/>
        </w:rPr>
        <w:t>万元，年初结转结余金额</w:t>
      </w:r>
      <w:r>
        <w:rPr>
          <w:lang w:eastAsia="zh-CN"/>
        </w:rPr>
        <w:t>70.00</w:t>
      </w:r>
      <w:r>
        <w:rPr>
          <w:rFonts w:hint="eastAsia"/>
          <w:lang w:eastAsia="zh-CN"/>
        </w:rPr>
        <w:t>万元。部门年初预算总支出</w:t>
      </w:r>
      <w:r>
        <w:rPr>
          <w:lang w:eastAsia="zh-CN"/>
        </w:rPr>
        <w:t>1,869.51</w:t>
      </w:r>
      <w:r>
        <w:rPr>
          <w:rFonts w:hint="eastAsia"/>
          <w:lang w:eastAsia="zh-CN"/>
        </w:rPr>
        <w:t>万元，基本支出</w:t>
      </w:r>
      <w:r>
        <w:rPr>
          <w:lang w:eastAsia="zh-CN"/>
        </w:rPr>
        <w:t>1,432.51</w:t>
      </w:r>
      <w:r>
        <w:rPr>
          <w:rFonts w:hint="eastAsia"/>
          <w:lang w:eastAsia="zh-CN"/>
        </w:rPr>
        <w:t>万元，项目支出</w:t>
      </w:r>
      <w:r>
        <w:rPr>
          <w:lang w:eastAsia="zh-CN"/>
        </w:rPr>
        <w:t>437.00</w:t>
      </w:r>
      <w:r>
        <w:rPr>
          <w:rFonts w:hint="eastAsia"/>
          <w:lang w:eastAsia="zh-CN"/>
        </w:rPr>
        <w:t>万元。具体部门收入情况和部门预算安排情况如下表2：</w:t>
      </w:r>
    </w:p>
    <w:p w14:paraId="40DAA4ED">
      <w:pPr>
        <w:pStyle w:val="17"/>
        <w:bidi w:val="0"/>
        <w:rPr>
          <w:rFonts w:hint="eastAsia"/>
          <w:lang w:eastAsia="zh-CN"/>
        </w:rPr>
      </w:pPr>
      <w:r>
        <w:rPr>
          <w:lang w:eastAsia="zh-CN"/>
        </w:rPr>
        <w:t>表</w:t>
      </w:r>
      <w:r>
        <w:rPr>
          <w:rFonts w:hint="eastAsia"/>
          <w:lang w:eastAsia="zh-CN"/>
        </w:rPr>
        <w:t>2  泉州市洛江区市场监督管理局2024</w:t>
      </w:r>
      <w:r>
        <w:rPr>
          <w:lang w:eastAsia="zh-CN"/>
        </w:rPr>
        <w:t>年</w:t>
      </w:r>
      <w:r>
        <w:rPr>
          <w:rFonts w:hint="eastAsia"/>
          <w:lang w:eastAsia="zh-CN"/>
        </w:rPr>
        <w:t>年初</w:t>
      </w:r>
      <w:r>
        <w:rPr>
          <w:lang w:eastAsia="zh-CN"/>
        </w:rPr>
        <w:t>预算安排情况</w:t>
      </w:r>
    </w:p>
    <w:p w14:paraId="1EF5EC8B">
      <w:pPr>
        <w:widowControl w:val="0"/>
        <w:tabs>
          <w:tab w:val="left" w:pos="8400"/>
        </w:tabs>
        <w:overflowPunct w:val="0"/>
        <w:spacing w:line="240" w:lineRule="auto"/>
        <w:ind w:firstLine="556"/>
        <w:jc w:val="right"/>
        <w:rPr>
          <w:rFonts w:hint="eastAsia" w:ascii="仿宋" w:hAnsi="仿宋" w:eastAsia="仿宋"/>
          <w:color w:val="auto"/>
          <w:sz w:val="24"/>
        </w:rPr>
      </w:pPr>
      <w:r>
        <w:rPr>
          <w:rFonts w:hint="eastAsia" w:ascii="仿宋" w:hAnsi="仿宋" w:eastAsia="仿宋" w:cs="仿宋"/>
          <w:spacing w:val="-2"/>
          <w:sz w:val="24"/>
          <w:lang w:eastAsia="zh-CN"/>
          <w14:textOutline w14:w="5105" w14:cap="sq" w14:cmpd="sng" w14:algn="ctr">
            <w14:solidFill>
              <w14:srgbClr w14:val="000000"/>
            </w14:solidFill>
            <w14:prstDash w14:val="solid"/>
            <w14:bevel/>
          </w14:textOutline>
        </w:rPr>
        <w:t>单位：万元</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64"/>
        <w:gridCol w:w="1712"/>
        <w:gridCol w:w="1674"/>
        <w:gridCol w:w="1672"/>
      </w:tblGrid>
      <w:tr w14:paraId="3439D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032" w:type="pct"/>
            <w:vMerge w:val="restart"/>
            <w:shd w:val="clear" w:color="auto" w:fill="D8D8D8" w:themeFill="background1" w:themeFillShade="D9"/>
            <w:vAlign w:val="center"/>
          </w:tcPr>
          <w:p w14:paraId="5B805F2B">
            <w:pPr>
              <w:pStyle w:val="18"/>
              <w:bidi w:val="0"/>
              <w:jc w:val="center"/>
              <w:rPr>
                <w:rFonts w:hint="eastAsia"/>
                <w:b/>
                <w:bCs/>
                <w:lang w:eastAsia="zh-CN"/>
              </w:rPr>
            </w:pPr>
            <w:r>
              <w:rPr>
                <w:b/>
                <w:bCs/>
                <w:lang w:eastAsia="zh-CN"/>
              </w:rPr>
              <w:t>资金来源</w:t>
            </w:r>
          </w:p>
        </w:tc>
        <w:tc>
          <w:tcPr>
            <w:tcW w:w="1004" w:type="pct"/>
            <w:vMerge w:val="restart"/>
            <w:shd w:val="clear" w:color="auto" w:fill="D8D8D8" w:themeFill="background1" w:themeFillShade="D9"/>
            <w:vAlign w:val="center"/>
          </w:tcPr>
          <w:p w14:paraId="66CFEA2E">
            <w:pPr>
              <w:pStyle w:val="18"/>
              <w:bidi w:val="0"/>
              <w:jc w:val="center"/>
              <w:rPr>
                <w:rFonts w:hint="eastAsia"/>
                <w:b/>
                <w:bCs/>
                <w:lang w:eastAsia="zh-CN"/>
              </w:rPr>
            </w:pPr>
            <w:r>
              <w:rPr>
                <w:rFonts w:hint="eastAsia"/>
                <w:b/>
                <w:bCs/>
                <w:lang w:eastAsia="zh-CN"/>
              </w:rPr>
              <w:t>年初</w:t>
            </w:r>
            <w:r>
              <w:rPr>
                <w:b/>
                <w:bCs/>
                <w:lang w:eastAsia="zh-CN"/>
              </w:rPr>
              <w:t>预算收入</w:t>
            </w:r>
          </w:p>
        </w:tc>
        <w:tc>
          <w:tcPr>
            <w:tcW w:w="1963" w:type="pct"/>
            <w:gridSpan w:val="2"/>
            <w:shd w:val="clear" w:color="auto" w:fill="D8D8D8" w:themeFill="background1" w:themeFillShade="D9"/>
            <w:vAlign w:val="center"/>
          </w:tcPr>
          <w:p w14:paraId="5157E6B0">
            <w:pPr>
              <w:pStyle w:val="18"/>
              <w:bidi w:val="0"/>
              <w:jc w:val="center"/>
              <w:rPr>
                <w:rFonts w:hint="eastAsia"/>
                <w:b/>
                <w:bCs/>
                <w:lang w:eastAsia="zh-CN"/>
              </w:rPr>
            </w:pPr>
            <w:r>
              <w:rPr>
                <w:rFonts w:hint="eastAsia"/>
                <w:b/>
                <w:bCs/>
                <w:lang w:eastAsia="zh-CN"/>
              </w:rPr>
              <w:t>年初</w:t>
            </w:r>
            <w:r>
              <w:rPr>
                <w:b/>
                <w:bCs/>
                <w:lang w:eastAsia="zh-CN"/>
              </w:rPr>
              <w:t>收入预算安排</w:t>
            </w:r>
          </w:p>
        </w:tc>
      </w:tr>
      <w:tr w14:paraId="075A7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032" w:type="pct"/>
            <w:vMerge w:val="continue"/>
            <w:shd w:val="clear" w:color="auto" w:fill="D8D8D8" w:themeFill="background1" w:themeFillShade="D9"/>
            <w:vAlign w:val="center"/>
          </w:tcPr>
          <w:p w14:paraId="29165EEE">
            <w:pPr>
              <w:pStyle w:val="18"/>
              <w:bidi w:val="0"/>
              <w:jc w:val="center"/>
              <w:rPr>
                <w:rFonts w:hint="eastAsia"/>
                <w:b/>
                <w:bCs/>
                <w:lang w:eastAsia="zh-CN"/>
              </w:rPr>
            </w:pPr>
          </w:p>
        </w:tc>
        <w:tc>
          <w:tcPr>
            <w:tcW w:w="1004" w:type="pct"/>
            <w:vMerge w:val="continue"/>
            <w:shd w:val="clear" w:color="auto" w:fill="D8D8D8" w:themeFill="background1" w:themeFillShade="D9"/>
            <w:vAlign w:val="center"/>
          </w:tcPr>
          <w:p w14:paraId="5A449D90">
            <w:pPr>
              <w:pStyle w:val="18"/>
              <w:bidi w:val="0"/>
              <w:jc w:val="center"/>
              <w:rPr>
                <w:rFonts w:hint="eastAsia"/>
                <w:b/>
                <w:bCs/>
                <w:lang w:eastAsia="zh-CN"/>
              </w:rPr>
            </w:pPr>
          </w:p>
        </w:tc>
        <w:tc>
          <w:tcPr>
            <w:tcW w:w="982" w:type="pct"/>
            <w:shd w:val="clear" w:color="auto" w:fill="D8D8D8" w:themeFill="background1" w:themeFillShade="D9"/>
            <w:vAlign w:val="center"/>
          </w:tcPr>
          <w:p w14:paraId="155D73A2">
            <w:pPr>
              <w:pStyle w:val="18"/>
              <w:bidi w:val="0"/>
              <w:jc w:val="center"/>
              <w:rPr>
                <w:rFonts w:hint="eastAsia"/>
                <w:b/>
                <w:bCs/>
                <w:lang w:eastAsia="zh-CN"/>
              </w:rPr>
            </w:pPr>
            <w:r>
              <w:rPr>
                <w:b/>
                <w:bCs/>
                <w:lang w:eastAsia="zh-CN"/>
              </w:rPr>
              <w:t>基本支出</w:t>
            </w:r>
          </w:p>
        </w:tc>
        <w:tc>
          <w:tcPr>
            <w:tcW w:w="981" w:type="pct"/>
            <w:shd w:val="clear" w:color="auto" w:fill="D8D8D8" w:themeFill="background1" w:themeFillShade="D9"/>
            <w:vAlign w:val="center"/>
          </w:tcPr>
          <w:p w14:paraId="3D29CAEB">
            <w:pPr>
              <w:pStyle w:val="18"/>
              <w:bidi w:val="0"/>
              <w:jc w:val="center"/>
              <w:rPr>
                <w:rFonts w:hint="eastAsia"/>
                <w:b/>
                <w:bCs/>
                <w:lang w:eastAsia="zh-CN"/>
              </w:rPr>
            </w:pPr>
            <w:r>
              <w:rPr>
                <w:b/>
                <w:bCs/>
                <w:lang w:eastAsia="zh-CN"/>
              </w:rPr>
              <w:t>项目支出</w:t>
            </w:r>
          </w:p>
        </w:tc>
      </w:tr>
      <w:tr w14:paraId="7CFF3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032" w:type="pct"/>
            <w:vAlign w:val="center"/>
          </w:tcPr>
          <w:p w14:paraId="34394DD5">
            <w:pPr>
              <w:pStyle w:val="18"/>
              <w:bidi w:val="0"/>
              <w:rPr>
                <w:rFonts w:hint="eastAsia"/>
                <w:lang w:eastAsia="zh-CN"/>
              </w:rPr>
            </w:pPr>
            <w:r>
              <w:rPr>
                <w:lang w:eastAsia="zh-CN"/>
              </w:rPr>
              <w:t>一般公共预算财政拨款收入</w:t>
            </w:r>
          </w:p>
        </w:tc>
        <w:tc>
          <w:tcPr>
            <w:tcW w:w="1004" w:type="pct"/>
            <w:vAlign w:val="center"/>
          </w:tcPr>
          <w:p w14:paraId="156BBC33">
            <w:pPr>
              <w:pStyle w:val="18"/>
              <w:bidi w:val="0"/>
              <w:rPr>
                <w:rFonts w:hint="eastAsia"/>
              </w:rPr>
            </w:pPr>
            <w:r>
              <w:rPr>
                <w:rFonts w:hint="eastAsia"/>
              </w:rPr>
              <w:t>1,799.51</w:t>
            </w:r>
          </w:p>
        </w:tc>
        <w:tc>
          <w:tcPr>
            <w:tcW w:w="982" w:type="pct"/>
            <w:vMerge w:val="restart"/>
            <w:vAlign w:val="center"/>
          </w:tcPr>
          <w:p w14:paraId="611F9F81">
            <w:pPr>
              <w:pStyle w:val="18"/>
              <w:bidi w:val="0"/>
              <w:rPr>
                <w:rFonts w:hint="eastAsia"/>
              </w:rPr>
            </w:pPr>
            <w:r>
              <w:t>1,432.51</w:t>
            </w:r>
          </w:p>
        </w:tc>
        <w:tc>
          <w:tcPr>
            <w:tcW w:w="981" w:type="pct"/>
            <w:vMerge w:val="restart"/>
            <w:vAlign w:val="center"/>
          </w:tcPr>
          <w:p w14:paraId="153713CC">
            <w:pPr>
              <w:pStyle w:val="18"/>
              <w:bidi w:val="0"/>
              <w:rPr>
                <w:rFonts w:hint="eastAsia"/>
                <w:lang w:eastAsia="zh-CN"/>
              </w:rPr>
            </w:pPr>
            <w:r>
              <w:rPr>
                <w:lang w:eastAsia="zh-CN"/>
              </w:rPr>
              <w:t>437.00</w:t>
            </w:r>
          </w:p>
        </w:tc>
      </w:tr>
      <w:tr w14:paraId="26F86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032" w:type="pct"/>
            <w:vAlign w:val="center"/>
          </w:tcPr>
          <w:p w14:paraId="66DC6B74">
            <w:pPr>
              <w:pStyle w:val="18"/>
              <w:bidi w:val="0"/>
              <w:rPr>
                <w:rFonts w:hint="eastAsia"/>
                <w:lang w:eastAsia="zh-CN"/>
              </w:rPr>
            </w:pPr>
            <w:r>
              <w:rPr>
                <w:rFonts w:hint="eastAsia"/>
                <w:lang w:eastAsia="zh-CN"/>
              </w:rPr>
              <w:t>年初结转和结余</w:t>
            </w:r>
          </w:p>
        </w:tc>
        <w:tc>
          <w:tcPr>
            <w:tcW w:w="1004" w:type="pct"/>
            <w:vAlign w:val="center"/>
          </w:tcPr>
          <w:p w14:paraId="31132060">
            <w:pPr>
              <w:pStyle w:val="18"/>
              <w:bidi w:val="0"/>
              <w:rPr>
                <w:rFonts w:hint="eastAsia"/>
              </w:rPr>
            </w:pPr>
            <w:r>
              <w:rPr>
                <w:rFonts w:hint="eastAsia"/>
              </w:rPr>
              <w:t>70.00</w:t>
            </w:r>
          </w:p>
        </w:tc>
        <w:tc>
          <w:tcPr>
            <w:tcW w:w="982" w:type="pct"/>
            <w:vMerge w:val="continue"/>
          </w:tcPr>
          <w:p w14:paraId="45CDD78B">
            <w:pPr>
              <w:pStyle w:val="18"/>
              <w:bidi w:val="0"/>
              <w:rPr>
                <w:rFonts w:hint="eastAsia"/>
              </w:rPr>
            </w:pPr>
          </w:p>
        </w:tc>
        <w:tc>
          <w:tcPr>
            <w:tcW w:w="981" w:type="pct"/>
            <w:vMerge w:val="continue"/>
            <w:vAlign w:val="center"/>
          </w:tcPr>
          <w:p w14:paraId="04D2D314">
            <w:pPr>
              <w:pStyle w:val="18"/>
              <w:bidi w:val="0"/>
              <w:rPr>
                <w:rFonts w:hint="eastAsia"/>
                <w:lang w:eastAsia="zh-CN"/>
              </w:rPr>
            </w:pPr>
          </w:p>
        </w:tc>
      </w:tr>
      <w:tr w14:paraId="0A362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032" w:type="pct"/>
            <w:tcBorders>
              <w:left w:val="single" w:color="auto" w:sz="4" w:space="0"/>
            </w:tcBorders>
            <w:vAlign w:val="center"/>
          </w:tcPr>
          <w:p w14:paraId="22E4E530">
            <w:pPr>
              <w:pStyle w:val="18"/>
              <w:bidi w:val="0"/>
              <w:rPr>
                <w:rFonts w:hint="eastAsia"/>
              </w:rPr>
            </w:pPr>
            <w:r>
              <w:rPr>
                <w:rFonts w:hint="eastAsia"/>
                <w:lang w:eastAsia="zh-CN"/>
              </w:rPr>
              <w:t>收入</w:t>
            </w:r>
            <w:r>
              <w:t>合计</w:t>
            </w:r>
          </w:p>
        </w:tc>
        <w:tc>
          <w:tcPr>
            <w:tcW w:w="1004" w:type="pct"/>
            <w:vAlign w:val="center"/>
          </w:tcPr>
          <w:p w14:paraId="423914A4">
            <w:pPr>
              <w:pStyle w:val="18"/>
              <w:bidi w:val="0"/>
              <w:rPr>
                <w:rFonts w:hint="eastAsia"/>
              </w:rPr>
            </w:pPr>
            <w:r>
              <w:rPr>
                <w:rFonts w:hint="eastAsia"/>
              </w:rPr>
              <w:t>1,869.51</w:t>
            </w:r>
          </w:p>
        </w:tc>
        <w:tc>
          <w:tcPr>
            <w:tcW w:w="982" w:type="pct"/>
          </w:tcPr>
          <w:p w14:paraId="22D9A5E1">
            <w:pPr>
              <w:pStyle w:val="18"/>
              <w:bidi w:val="0"/>
              <w:rPr>
                <w:rFonts w:hint="eastAsia"/>
              </w:rPr>
            </w:pPr>
            <w:r>
              <w:t>1,432.51</w:t>
            </w:r>
          </w:p>
        </w:tc>
        <w:tc>
          <w:tcPr>
            <w:tcW w:w="981" w:type="pct"/>
            <w:vAlign w:val="center"/>
          </w:tcPr>
          <w:p w14:paraId="12BD7B76">
            <w:pPr>
              <w:pStyle w:val="18"/>
              <w:bidi w:val="0"/>
              <w:rPr>
                <w:rFonts w:hint="eastAsia"/>
                <w:lang w:eastAsia="zh-CN"/>
              </w:rPr>
            </w:pPr>
            <w:r>
              <w:rPr>
                <w:lang w:eastAsia="zh-CN"/>
              </w:rPr>
              <w:t>437.00</w:t>
            </w:r>
          </w:p>
        </w:tc>
      </w:tr>
    </w:tbl>
    <w:p w14:paraId="5A520B76">
      <w:pPr>
        <w:bidi w:val="0"/>
        <w:rPr>
          <w:rFonts w:hint="eastAsia"/>
          <w:lang w:eastAsia="zh-CN"/>
        </w:rPr>
      </w:pPr>
      <w:bookmarkStart w:id="53" w:name="_Toc181557997"/>
      <w:bookmarkStart w:id="54" w:name="_Toc217363493"/>
      <w:bookmarkStart w:id="55" w:name="_Toc8998"/>
      <w:r>
        <w:rPr>
          <w:rFonts w:hint="eastAsia"/>
          <w:lang w:eastAsia="zh-CN"/>
        </w:rPr>
        <w:t>2.资金年度调剂情况</w:t>
      </w:r>
      <w:bookmarkEnd w:id="53"/>
      <w:bookmarkEnd w:id="54"/>
      <w:bookmarkEnd w:id="55"/>
    </w:p>
    <w:p w14:paraId="188EA53B">
      <w:pPr>
        <w:bidi w:val="0"/>
        <w:rPr>
          <w:rFonts w:hint="eastAsia"/>
          <w:lang w:eastAsia="zh-CN"/>
        </w:rPr>
      </w:pPr>
      <w:r>
        <w:rPr>
          <w:lang w:eastAsia="zh-CN"/>
        </w:rPr>
        <w:t>202</w:t>
      </w:r>
      <w:r>
        <w:rPr>
          <w:rFonts w:hint="eastAsia"/>
          <w:lang w:eastAsia="zh-CN"/>
        </w:rPr>
        <w:t>4年部门全年收入预算</w:t>
      </w:r>
      <w:r>
        <w:rPr>
          <w:lang w:eastAsia="zh-CN"/>
        </w:rPr>
        <w:t>1,769.97</w:t>
      </w:r>
      <w:r>
        <w:rPr>
          <w:rFonts w:hint="eastAsia"/>
          <w:lang w:eastAsia="zh-CN"/>
        </w:rPr>
        <w:t>万元。部门共追加调整</w:t>
      </w:r>
      <w:r>
        <w:rPr>
          <w:lang w:eastAsia="zh-CN"/>
        </w:rPr>
        <w:t>-99.54</w:t>
      </w:r>
      <w:r>
        <w:rPr>
          <w:rFonts w:hint="eastAsia"/>
          <w:lang w:eastAsia="zh-CN"/>
        </w:rPr>
        <w:t>万元，其中一般公共预算财政拨款追加调整</w:t>
      </w:r>
      <w:r>
        <w:rPr>
          <w:lang w:eastAsia="zh-CN"/>
        </w:rPr>
        <w:t>-44.97</w:t>
      </w:r>
      <w:r>
        <w:rPr>
          <w:rFonts w:hint="eastAsia"/>
          <w:lang w:eastAsia="zh-CN"/>
        </w:rPr>
        <w:t>万元。年初结转结余金额追加调整</w:t>
      </w:r>
      <w:r>
        <w:rPr>
          <w:lang w:eastAsia="zh-CN"/>
        </w:rPr>
        <w:t>-54.57</w:t>
      </w:r>
      <w:r>
        <w:rPr>
          <w:rFonts w:hint="eastAsia"/>
          <w:lang w:eastAsia="zh-CN"/>
        </w:rPr>
        <w:t>万元。</w:t>
      </w:r>
      <w:r>
        <w:rPr>
          <w:lang w:eastAsia="zh-CN"/>
        </w:rPr>
        <w:t>2024</w:t>
      </w:r>
      <w:r>
        <w:rPr>
          <w:rFonts w:hint="eastAsia"/>
          <w:lang w:eastAsia="zh-CN"/>
        </w:rPr>
        <w:t>年度部门全年支出预算为</w:t>
      </w:r>
      <w:r>
        <w:rPr>
          <w:lang w:eastAsia="zh-CN"/>
        </w:rPr>
        <w:t>1,769.97</w:t>
      </w:r>
      <w:r>
        <w:rPr>
          <w:rFonts w:hint="eastAsia"/>
          <w:lang w:eastAsia="zh-CN"/>
        </w:rPr>
        <w:t>万元。（其中，基本支出</w:t>
      </w:r>
      <w:r>
        <w:rPr>
          <w:lang w:eastAsia="zh-CN"/>
        </w:rPr>
        <w:t>1,398.17</w:t>
      </w:r>
      <w:r>
        <w:rPr>
          <w:rFonts w:hint="eastAsia"/>
          <w:lang w:eastAsia="zh-CN"/>
        </w:rPr>
        <w:t>万元，项目支出</w:t>
      </w:r>
      <w:r>
        <w:rPr>
          <w:lang w:eastAsia="zh-CN"/>
        </w:rPr>
        <w:t>371.80</w:t>
      </w:r>
      <w:r>
        <w:rPr>
          <w:rFonts w:hint="eastAsia"/>
          <w:lang w:eastAsia="zh-CN"/>
        </w:rPr>
        <w:t>万元）。部门收入预算安排情况如下表3所示：</w:t>
      </w:r>
    </w:p>
    <w:p w14:paraId="33658979">
      <w:pPr>
        <w:pStyle w:val="17"/>
        <w:bidi w:val="0"/>
        <w:rPr>
          <w:rFonts w:hint="eastAsia"/>
          <w:lang w:eastAsia="zh-CN"/>
        </w:rPr>
      </w:pPr>
      <w:bookmarkStart w:id="56" w:name="_Toc19496"/>
      <w:r>
        <w:rPr>
          <w:lang w:eastAsia="zh-CN"/>
        </w:rPr>
        <w:t>表</w:t>
      </w:r>
      <w:r>
        <w:rPr>
          <w:rFonts w:hint="eastAsia"/>
          <w:lang w:eastAsia="zh-CN"/>
        </w:rPr>
        <w:t>3   泉州市洛江区市场监督管理局2024</w:t>
      </w:r>
      <w:r>
        <w:rPr>
          <w:lang w:eastAsia="zh-CN"/>
        </w:rPr>
        <w:t>年</w:t>
      </w:r>
      <w:r>
        <w:rPr>
          <w:rFonts w:hint="eastAsia"/>
          <w:lang w:eastAsia="zh-CN"/>
        </w:rPr>
        <w:t>全年</w:t>
      </w:r>
      <w:r>
        <w:rPr>
          <w:lang w:eastAsia="zh-CN"/>
        </w:rPr>
        <w:t>预算情况</w:t>
      </w:r>
      <w:bookmarkEnd w:id="56"/>
    </w:p>
    <w:p w14:paraId="5957B3E8">
      <w:pPr>
        <w:widowControl w:val="0"/>
        <w:overflowPunct w:val="0"/>
        <w:spacing w:line="240" w:lineRule="auto"/>
        <w:jc w:val="right"/>
        <w:rPr>
          <w:rFonts w:hint="eastAsia" w:ascii="仿宋" w:hAnsi="仿宋" w:eastAsia="仿宋"/>
          <w:bCs/>
          <w:color w:val="auto"/>
          <w:sz w:val="24"/>
          <w:lang w:eastAsia="zh-CN"/>
        </w:rPr>
      </w:pPr>
      <w:r>
        <w:rPr>
          <w:rFonts w:hint="eastAsia" w:ascii="仿宋" w:hAnsi="仿宋" w:eastAsia="仿宋" w:cs="仿宋"/>
          <w:bCs/>
          <w:spacing w:val="-2"/>
          <w:sz w:val="24"/>
          <w:lang w:eastAsia="zh-CN"/>
          <w14:textOutline w14:w="5105" w14:cap="sq" w14:cmpd="sng" w14:algn="ctr">
            <w14:solidFill>
              <w14:srgbClr w14:val="000000"/>
            </w14:solidFill>
            <w14:prstDash w14:val="solid"/>
            <w14:bevel/>
          </w14:textOutline>
        </w:rPr>
        <w:t>单位：万元</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15"/>
        <w:gridCol w:w="1674"/>
        <w:gridCol w:w="1459"/>
        <w:gridCol w:w="1674"/>
      </w:tblGrid>
      <w:tr w14:paraId="37226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trPr>
        <w:tc>
          <w:tcPr>
            <w:tcW w:w="2180" w:type="pct"/>
            <w:vMerge w:val="restart"/>
            <w:shd w:val="clear" w:color="auto" w:fill="D8D8D8" w:themeFill="background1" w:themeFillShade="D9"/>
            <w:vAlign w:val="center"/>
          </w:tcPr>
          <w:p w14:paraId="149DBA07">
            <w:pPr>
              <w:pStyle w:val="18"/>
              <w:bidi w:val="0"/>
              <w:jc w:val="center"/>
              <w:rPr>
                <w:rFonts w:hint="eastAsia"/>
                <w:b/>
                <w:bCs/>
                <w:lang w:eastAsia="zh-CN"/>
              </w:rPr>
            </w:pPr>
            <w:r>
              <w:rPr>
                <w:b/>
                <w:bCs/>
                <w:lang w:eastAsia="zh-CN"/>
              </w:rPr>
              <w:t>资金来源</w:t>
            </w:r>
          </w:p>
        </w:tc>
        <w:tc>
          <w:tcPr>
            <w:tcW w:w="982" w:type="pct"/>
            <w:vMerge w:val="restart"/>
            <w:shd w:val="clear" w:color="auto" w:fill="D8D8D8" w:themeFill="background1" w:themeFillShade="D9"/>
            <w:vAlign w:val="center"/>
          </w:tcPr>
          <w:p w14:paraId="01F663DB">
            <w:pPr>
              <w:pStyle w:val="18"/>
              <w:bidi w:val="0"/>
              <w:jc w:val="center"/>
              <w:rPr>
                <w:rFonts w:hint="eastAsia"/>
                <w:b/>
                <w:bCs/>
                <w:lang w:eastAsia="zh-CN"/>
              </w:rPr>
            </w:pPr>
            <w:r>
              <w:rPr>
                <w:rFonts w:hint="eastAsia"/>
                <w:b/>
                <w:bCs/>
                <w:lang w:eastAsia="zh-CN"/>
              </w:rPr>
              <w:t>年初预算</w:t>
            </w:r>
            <w:r>
              <w:rPr>
                <w:b/>
                <w:bCs/>
                <w:lang w:eastAsia="zh-CN"/>
              </w:rPr>
              <w:t>收入</w:t>
            </w:r>
          </w:p>
        </w:tc>
        <w:tc>
          <w:tcPr>
            <w:tcW w:w="856" w:type="pct"/>
            <w:vMerge w:val="restart"/>
            <w:shd w:val="clear" w:color="auto" w:fill="D8D8D8" w:themeFill="background1" w:themeFillShade="D9"/>
            <w:vAlign w:val="center"/>
          </w:tcPr>
          <w:p w14:paraId="64617CB5">
            <w:pPr>
              <w:pStyle w:val="18"/>
              <w:bidi w:val="0"/>
              <w:jc w:val="center"/>
              <w:rPr>
                <w:rFonts w:hint="eastAsia"/>
                <w:b/>
                <w:bCs/>
                <w:lang w:eastAsia="zh-CN"/>
              </w:rPr>
            </w:pPr>
            <w:r>
              <w:rPr>
                <w:rFonts w:hint="eastAsia"/>
                <w:b/>
                <w:bCs/>
                <w:lang w:eastAsia="zh-CN"/>
              </w:rPr>
              <w:t>调剂收入</w:t>
            </w:r>
          </w:p>
        </w:tc>
        <w:tc>
          <w:tcPr>
            <w:tcW w:w="982" w:type="pct"/>
            <w:vMerge w:val="restart"/>
            <w:shd w:val="clear" w:color="auto" w:fill="D8D8D8" w:themeFill="background1" w:themeFillShade="D9"/>
            <w:vAlign w:val="center"/>
          </w:tcPr>
          <w:p w14:paraId="0AFA15C9">
            <w:pPr>
              <w:pStyle w:val="18"/>
              <w:bidi w:val="0"/>
              <w:jc w:val="center"/>
              <w:rPr>
                <w:rFonts w:hint="eastAsia"/>
                <w:b/>
                <w:bCs/>
                <w:lang w:eastAsia="zh-CN"/>
              </w:rPr>
            </w:pPr>
            <w:r>
              <w:rPr>
                <w:rFonts w:hint="eastAsia"/>
                <w:b/>
                <w:bCs/>
                <w:lang w:eastAsia="zh-CN"/>
              </w:rPr>
              <w:t>全年</w:t>
            </w:r>
            <w:r>
              <w:rPr>
                <w:b/>
                <w:bCs/>
                <w:lang w:eastAsia="zh-CN"/>
              </w:rPr>
              <w:t>预算收入</w:t>
            </w:r>
          </w:p>
        </w:tc>
      </w:tr>
      <w:tr w14:paraId="16E57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trPr>
        <w:tc>
          <w:tcPr>
            <w:tcW w:w="2180" w:type="pct"/>
            <w:vMerge w:val="continue"/>
            <w:shd w:val="clear" w:color="auto" w:fill="D8D8D8" w:themeFill="background1" w:themeFillShade="D9"/>
            <w:vAlign w:val="center"/>
          </w:tcPr>
          <w:p w14:paraId="3D87F9E6">
            <w:pPr>
              <w:pStyle w:val="18"/>
              <w:bidi w:val="0"/>
              <w:rPr>
                <w:rFonts w:hint="eastAsia"/>
              </w:rPr>
            </w:pPr>
          </w:p>
        </w:tc>
        <w:tc>
          <w:tcPr>
            <w:tcW w:w="982" w:type="pct"/>
            <w:vMerge w:val="continue"/>
            <w:shd w:val="clear" w:color="auto" w:fill="D8D8D8" w:themeFill="background1" w:themeFillShade="D9"/>
            <w:vAlign w:val="center"/>
          </w:tcPr>
          <w:p w14:paraId="248ABFCD">
            <w:pPr>
              <w:pStyle w:val="18"/>
              <w:bidi w:val="0"/>
              <w:rPr>
                <w:rFonts w:hint="eastAsia"/>
                <w:lang w:eastAsia="zh-CN"/>
              </w:rPr>
            </w:pPr>
          </w:p>
        </w:tc>
        <w:tc>
          <w:tcPr>
            <w:tcW w:w="856" w:type="pct"/>
            <w:vMerge w:val="continue"/>
            <w:shd w:val="clear" w:color="auto" w:fill="D8D8D8" w:themeFill="background1" w:themeFillShade="D9"/>
            <w:vAlign w:val="center"/>
          </w:tcPr>
          <w:p w14:paraId="79ECEDBE">
            <w:pPr>
              <w:pStyle w:val="18"/>
              <w:bidi w:val="0"/>
              <w:rPr>
                <w:rFonts w:hint="eastAsia"/>
                <w:lang w:eastAsia="zh-CN"/>
              </w:rPr>
            </w:pPr>
          </w:p>
        </w:tc>
        <w:tc>
          <w:tcPr>
            <w:tcW w:w="982" w:type="pct"/>
            <w:vMerge w:val="continue"/>
            <w:shd w:val="clear" w:color="auto" w:fill="D8D8D8" w:themeFill="background1" w:themeFillShade="D9"/>
            <w:vAlign w:val="center"/>
          </w:tcPr>
          <w:p w14:paraId="11697CCD">
            <w:pPr>
              <w:pStyle w:val="18"/>
              <w:bidi w:val="0"/>
              <w:rPr>
                <w:rFonts w:hint="eastAsia"/>
              </w:rPr>
            </w:pPr>
          </w:p>
        </w:tc>
      </w:tr>
      <w:tr w14:paraId="0B917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180" w:type="pct"/>
            <w:vAlign w:val="center"/>
          </w:tcPr>
          <w:p w14:paraId="7B4BC18D">
            <w:pPr>
              <w:pStyle w:val="18"/>
              <w:bidi w:val="0"/>
              <w:rPr>
                <w:rFonts w:hint="eastAsia"/>
                <w:lang w:eastAsia="zh-CN"/>
              </w:rPr>
            </w:pPr>
            <w:r>
              <w:rPr>
                <w:lang w:eastAsia="zh-CN"/>
              </w:rPr>
              <w:t>一般公共预算财政拨款收入</w:t>
            </w:r>
          </w:p>
        </w:tc>
        <w:tc>
          <w:tcPr>
            <w:tcW w:w="982" w:type="pct"/>
            <w:vAlign w:val="center"/>
          </w:tcPr>
          <w:p w14:paraId="244D36A2">
            <w:pPr>
              <w:pStyle w:val="18"/>
              <w:bidi w:val="0"/>
              <w:rPr>
                <w:rFonts w:hint="eastAsia"/>
                <w:lang w:eastAsia="zh-CN"/>
              </w:rPr>
            </w:pPr>
            <w:r>
              <w:rPr>
                <w:lang w:eastAsia="zh-CN"/>
              </w:rPr>
              <w:t>1,799.51</w:t>
            </w:r>
          </w:p>
        </w:tc>
        <w:tc>
          <w:tcPr>
            <w:tcW w:w="856" w:type="pct"/>
            <w:vAlign w:val="center"/>
          </w:tcPr>
          <w:p w14:paraId="4135BACB">
            <w:pPr>
              <w:pStyle w:val="18"/>
              <w:bidi w:val="0"/>
              <w:rPr>
                <w:rFonts w:hint="eastAsia"/>
                <w:lang w:eastAsia="zh-CN"/>
              </w:rPr>
            </w:pPr>
            <w:r>
              <w:rPr>
                <w:lang w:eastAsia="zh-CN"/>
              </w:rPr>
              <w:t>-44.97</w:t>
            </w:r>
          </w:p>
        </w:tc>
        <w:tc>
          <w:tcPr>
            <w:tcW w:w="982" w:type="pct"/>
            <w:vAlign w:val="center"/>
          </w:tcPr>
          <w:p w14:paraId="454BE4B3">
            <w:pPr>
              <w:pStyle w:val="18"/>
              <w:bidi w:val="0"/>
              <w:rPr>
                <w:rFonts w:hint="eastAsia"/>
                <w:lang w:eastAsia="zh-CN"/>
              </w:rPr>
            </w:pPr>
            <w:r>
              <w:rPr>
                <w:lang w:eastAsia="zh-CN"/>
              </w:rPr>
              <w:t>1,754.54</w:t>
            </w:r>
          </w:p>
        </w:tc>
      </w:tr>
      <w:tr w14:paraId="3B881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180" w:type="pct"/>
            <w:vAlign w:val="center"/>
          </w:tcPr>
          <w:p w14:paraId="6596F283">
            <w:pPr>
              <w:pStyle w:val="18"/>
              <w:bidi w:val="0"/>
              <w:rPr>
                <w:rFonts w:hint="eastAsia"/>
                <w:lang w:eastAsia="zh-CN"/>
              </w:rPr>
            </w:pPr>
            <w:r>
              <w:rPr>
                <w:rFonts w:hint="eastAsia"/>
                <w:lang w:eastAsia="zh-CN"/>
              </w:rPr>
              <w:t>年初结转和结余</w:t>
            </w:r>
          </w:p>
        </w:tc>
        <w:tc>
          <w:tcPr>
            <w:tcW w:w="982" w:type="pct"/>
            <w:vAlign w:val="center"/>
          </w:tcPr>
          <w:p w14:paraId="6AE27503">
            <w:pPr>
              <w:pStyle w:val="18"/>
              <w:bidi w:val="0"/>
              <w:rPr>
                <w:rFonts w:hint="eastAsia"/>
                <w:lang w:eastAsia="zh-CN"/>
              </w:rPr>
            </w:pPr>
            <w:r>
              <w:rPr>
                <w:rFonts w:hint="eastAsia"/>
                <w:lang w:eastAsia="zh-CN"/>
              </w:rPr>
              <w:t>70.00</w:t>
            </w:r>
          </w:p>
        </w:tc>
        <w:tc>
          <w:tcPr>
            <w:tcW w:w="856" w:type="pct"/>
            <w:vAlign w:val="center"/>
          </w:tcPr>
          <w:p w14:paraId="0CAFE3BD">
            <w:pPr>
              <w:pStyle w:val="18"/>
              <w:bidi w:val="0"/>
              <w:rPr>
                <w:rFonts w:hint="eastAsia"/>
                <w:lang w:eastAsia="zh-CN"/>
              </w:rPr>
            </w:pPr>
            <w:r>
              <w:rPr>
                <w:lang w:eastAsia="zh-CN"/>
              </w:rPr>
              <w:t>-54.57</w:t>
            </w:r>
          </w:p>
        </w:tc>
        <w:tc>
          <w:tcPr>
            <w:tcW w:w="982" w:type="pct"/>
            <w:vAlign w:val="center"/>
          </w:tcPr>
          <w:p w14:paraId="52C06FA6">
            <w:pPr>
              <w:pStyle w:val="18"/>
              <w:bidi w:val="0"/>
              <w:rPr>
                <w:rFonts w:hint="eastAsia"/>
                <w:lang w:eastAsia="zh-CN"/>
              </w:rPr>
            </w:pPr>
            <w:r>
              <w:rPr>
                <w:lang w:eastAsia="zh-CN"/>
              </w:rPr>
              <w:t>15.43</w:t>
            </w:r>
          </w:p>
        </w:tc>
      </w:tr>
      <w:tr w14:paraId="02E395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180" w:type="pct"/>
            <w:vAlign w:val="center"/>
          </w:tcPr>
          <w:p w14:paraId="6DF43008">
            <w:pPr>
              <w:pStyle w:val="18"/>
              <w:bidi w:val="0"/>
              <w:rPr>
                <w:rFonts w:hint="eastAsia"/>
              </w:rPr>
            </w:pPr>
            <w:r>
              <w:t>收入合计</w:t>
            </w:r>
          </w:p>
        </w:tc>
        <w:tc>
          <w:tcPr>
            <w:tcW w:w="982" w:type="pct"/>
            <w:vAlign w:val="center"/>
          </w:tcPr>
          <w:p w14:paraId="4BE3A0C9">
            <w:pPr>
              <w:pStyle w:val="18"/>
              <w:bidi w:val="0"/>
              <w:rPr>
                <w:rFonts w:hint="eastAsia"/>
                <w:lang w:eastAsia="zh-CN"/>
              </w:rPr>
            </w:pPr>
            <w:r>
              <w:rPr>
                <w:lang w:eastAsia="zh-CN"/>
              </w:rPr>
              <w:t>1869.51</w:t>
            </w:r>
          </w:p>
        </w:tc>
        <w:tc>
          <w:tcPr>
            <w:tcW w:w="856" w:type="pct"/>
            <w:vAlign w:val="center"/>
          </w:tcPr>
          <w:p w14:paraId="769C1EDA">
            <w:pPr>
              <w:pStyle w:val="18"/>
              <w:bidi w:val="0"/>
              <w:rPr>
                <w:rFonts w:hint="eastAsia"/>
                <w:lang w:eastAsia="zh-CN"/>
              </w:rPr>
            </w:pPr>
            <w:r>
              <w:rPr>
                <w:lang w:eastAsia="zh-CN"/>
              </w:rPr>
              <w:t>-99.54</w:t>
            </w:r>
          </w:p>
        </w:tc>
        <w:tc>
          <w:tcPr>
            <w:tcW w:w="982" w:type="pct"/>
            <w:vAlign w:val="center"/>
          </w:tcPr>
          <w:p w14:paraId="5E58773F">
            <w:pPr>
              <w:pStyle w:val="18"/>
              <w:bidi w:val="0"/>
              <w:rPr>
                <w:rFonts w:hint="eastAsia"/>
                <w:lang w:eastAsia="zh-CN"/>
              </w:rPr>
            </w:pPr>
            <w:r>
              <w:rPr>
                <w:lang w:eastAsia="zh-CN"/>
              </w:rPr>
              <w:t>1769.97</w:t>
            </w:r>
          </w:p>
        </w:tc>
      </w:tr>
    </w:tbl>
    <w:p w14:paraId="6FD867DB">
      <w:pPr>
        <w:bidi w:val="0"/>
        <w:rPr>
          <w:rFonts w:hint="eastAsia"/>
          <w:lang w:eastAsia="zh-CN"/>
        </w:rPr>
      </w:pPr>
      <w:bookmarkStart w:id="57" w:name="bookmark11"/>
      <w:bookmarkEnd w:id="57"/>
      <w:bookmarkStart w:id="58" w:name="_Toc181557998"/>
      <w:bookmarkStart w:id="59" w:name="_Toc217363494"/>
      <w:bookmarkStart w:id="60" w:name="_Toc15086"/>
      <w:r>
        <w:rPr>
          <w:rFonts w:hint="eastAsia"/>
          <w:lang w:eastAsia="zh-CN"/>
        </w:rPr>
        <w:t>3.资金预算执行情况</w:t>
      </w:r>
      <w:bookmarkEnd w:id="58"/>
      <w:bookmarkEnd w:id="59"/>
      <w:bookmarkEnd w:id="60"/>
    </w:p>
    <w:p w14:paraId="5C153F9C">
      <w:pPr>
        <w:bidi w:val="0"/>
        <w:rPr>
          <w:rFonts w:hint="eastAsia"/>
          <w:lang w:eastAsia="zh-CN"/>
        </w:rPr>
      </w:pPr>
      <w:r>
        <w:rPr>
          <w:rFonts w:hint="eastAsia"/>
          <w:lang w:eastAsia="zh-CN"/>
        </w:rPr>
        <w:t>根据</w:t>
      </w:r>
      <w:r>
        <w:rPr>
          <w:lang w:eastAsia="zh-CN"/>
        </w:rPr>
        <w:t>202</w:t>
      </w:r>
      <w:r>
        <w:rPr>
          <w:rFonts w:hint="eastAsia"/>
          <w:lang w:eastAsia="zh-CN"/>
        </w:rPr>
        <w:t>4年部门决算报表，实际支出金额（决算数）为</w:t>
      </w:r>
      <w:r>
        <w:rPr>
          <w:lang w:eastAsia="zh-CN"/>
        </w:rPr>
        <w:t>1,755.63</w:t>
      </w:r>
      <w:r>
        <w:rPr>
          <w:rFonts w:hint="eastAsia"/>
          <w:lang w:eastAsia="zh-CN"/>
        </w:rPr>
        <w:t>万元，其中基本支出金额为</w:t>
      </w:r>
      <w:r>
        <w:rPr>
          <w:lang w:eastAsia="zh-CN"/>
        </w:rPr>
        <w:t>1,384.46</w:t>
      </w:r>
      <w:r>
        <w:rPr>
          <w:rFonts w:hint="eastAsia"/>
          <w:lang w:eastAsia="zh-CN"/>
        </w:rPr>
        <w:t>万元，项目支出金额为</w:t>
      </w:r>
      <w:r>
        <w:rPr>
          <w:lang w:eastAsia="zh-CN"/>
        </w:rPr>
        <w:t>371.17</w:t>
      </w:r>
      <w:r>
        <w:rPr>
          <w:rFonts w:hint="eastAsia"/>
          <w:lang w:eastAsia="zh-CN"/>
        </w:rPr>
        <w:t>万元。根据泉州市洛江区市场监督管理局所提供的数据，2024年部门全年预算数为</w:t>
      </w:r>
      <w:r>
        <w:rPr>
          <w:lang w:eastAsia="zh-CN"/>
        </w:rPr>
        <w:t>1,769.97</w:t>
      </w:r>
      <w:r>
        <w:rPr>
          <w:rFonts w:hint="eastAsia"/>
          <w:lang w:eastAsia="zh-CN"/>
        </w:rPr>
        <w:t>万元。</w:t>
      </w:r>
      <w:r>
        <w:rPr>
          <w:lang w:eastAsia="zh-CN"/>
        </w:rPr>
        <w:t>202</w:t>
      </w:r>
      <w:r>
        <w:rPr>
          <w:rFonts w:hint="eastAsia"/>
          <w:lang w:eastAsia="zh-CN"/>
        </w:rPr>
        <w:t>4年部门预算执行率为</w:t>
      </w:r>
      <w:r>
        <w:rPr>
          <w:lang w:eastAsia="zh-CN"/>
        </w:rPr>
        <w:t>99.19%</w:t>
      </w:r>
      <w:r>
        <w:rPr>
          <w:rFonts w:hint="eastAsia"/>
          <w:lang w:eastAsia="zh-CN"/>
        </w:rPr>
        <w:t>（</w:t>
      </w:r>
      <w:r>
        <w:rPr>
          <w:lang w:eastAsia="zh-CN"/>
        </w:rPr>
        <w:t>202</w:t>
      </w:r>
      <w:r>
        <w:rPr>
          <w:rFonts w:hint="eastAsia"/>
          <w:lang w:eastAsia="zh-CN"/>
        </w:rPr>
        <w:t>4年部门预算执行率</w:t>
      </w:r>
      <w:r>
        <w:rPr>
          <w:lang w:eastAsia="zh-CN"/>
        </w:rPr>
        <w:t>=1,755.63/1,769.97*100%=99.19%</w:t>
      </w:r>
      <w:r>
        <w:rPr>
          <w:rFonts w:hint="eastAsia"/>
          <w:lang w:eastAsia="zh-CN"/>
        </w:rPr>
        <w:t>）。</w:t>
      </w:r>
      <w:bookmarkStart w:id="61" w:name="_Toc6901"/>
    </w:p>
    <w:p w14:paraId="3636289A">
      <w:pPr>
        <w:bidi w:val="0"/>
        <w:rPr>
          <w:rFonts w:hint="eastAsia"/>
          <w:lang w:eastAsia="zh-CN"/>
        </w:rPr>
      </w:pPr>
      <w:bookmarkStart w:id="62" w:name="_Toc217363495"/>
      <w:bookmarkStart w:id="63" w:name="_Toc181557999"/>
      <w:r>
        <w:rPr>
          <w:rFonts w:hint="eastAsia"/>
          <w:lang w:eastAsia="zh-CN"/>
        </w:rPr>
        <w:t>4.资金结余情况</w:t>
      </w:r>
      <w:bookmarkEnd w:id="61"/>
      <w:bookmarkEnd w:id="62"/>
      <w:bookmarkEnd w:id="63"/>
    </w:p>
    <w:p w14:paraId="56C0691F">
      <w:pPr>
        <w:bidi w:val="0"/>
        <w:rPr>
          <w:rFonts w:hint="eastAsia"/>
          <w:lang w:eastAsia="zh-CN"/>
        </w:rPr>
      </w:pPr>
      <w:bookmarkStart w:id="64" w:name="bookmark12"/>
      <w:bookmarkEnd w:id="64"/>
      <w:bookmarkStart w:id="65" w:name="_Toc22664"/>
      <w:bookmarkStart w:id="66" w:name="_Toc31296"/>
      <w:r>
        <w:rPr>
          <w:rFonts w:hint="eastAsia"/>
          <w:lang w:eastAsia="zh-CN"/>
        </w:rPr>
        <w:t>部门资金结余情况，具体如表4所示：</w:t>
      </w:r>
    </w:p>
    <w:p w14:paraId="2E8DA78D">
      <w:pPr>
        <w:pStyle w:val="17"/>
        <w:bidi w:val="0"/>
        <w:rPr>
          <w:rFonts w:hint="eastAsia"/>
          <w:lang w:eastAsia="zh-CN"/>
        </w:rPr>
      </w:pPr>
      <w:r>
        <w:rPr>
          <w:lang w:eastAsia="zh-CN"/>
        </w:rPr>
        <w:t>表</w:t>
      </w:r>
      <w:r>
        <w:rPr>
          <w:rFonts w:hint="eastAsia"/>
          <w:lang w:eastAsia="zh-CN"/>
        </w:rPr>
        <w:t>4    泉州市洛江区市场监督管理局2024</w:t>
      </w:r>
      <w:r>
        <w:rPr>
          <w:lang w:eastAsia="zh-CN"/>
        </w:rPr>
        <w:t>年部门资金结余情况</w:t>
      </w:r>
      <w:bookmarkEnd w:id="65"/>
      <w:bookmarkEnd w:id="66"/>
    </w:p>
    <w:p w14:paraId="0B61852C">
      <w:pPr>
        <w:widowControl w:val="0"/>
        <w:tabs>
          <w:tab w:val="left" w:pos="8400"/>
        </w:tabs>
        <w:overflowPunct w:val="0"/>
        <w:spacing w:line="240" w:lineRule="auto"/>
        <w:jc w:val="right"/>
        <w:rPr>
          <w:rFonts w:hint="eastAsia" w:ascii="仿宋" w:hAnsi="仿宋" w:eastAsia="仿宋"/>
          <w:bCs/>
          <w:color w:val="auto"/>
          <w:sz w:val="24"/>
        </w:rPr>
      </w:pPr>
      <w:r>
        <w:rPr>
          <w:rFonts w:hint="eastAsia" w:ascii="仿宋" w:hAnsi="仿宋" w:eastAsia="仿宋" w:cs="仿宋"/>
          <w:bCs/>
          <w:spacing w:val="-2"/>
          <w:sz w:val="24"/>
          <w:szCs w:val="28"/>
          <w:lang w:eastAsia="zh-CN"/>
          <w14:textOutline w14:w="5105" w14:cap="sq" w14:cmpd="sng" w14:algn="ctr">
            <w14:solidFill>
              <w14:srgbClr w14:val="000000"/>
            </w14:solidFill>
            <w14:prstDash w14:val="solid"/>
            <w14:bevel/>
          </w14:textOutline>
        </w:rPr>
        <w:t>单位：万元</w:t>
      </w:r>
    </w:p>
    <w:tbl>
      <w:tblPr>
        <w:tblStyle w:val="14"/>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2"/>
        <w:gridCol w:w="1503"/>
        <w:gridCol w:w="1767"/>
        <w:gridCol w:w="1595"/>
        <w:gridCol w:w="1074"/>
        <w:gridCol w:w="1421"/>
      </w:tblGrid>
      <w:tr w14:paraId="4E9C8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jc w:val="center"/>
        </w:trPr>
        <w:tc>
          <w:tcPr>
            <w:tcW w:w="682" w:type="pct"/>
            <w:shd w:val="clear" w:color="auto" w:fill="D8D8D8" w:themeFill="background1" w:themeFillShade="D9"/>
            <w:vAlign w:val="center"/>
          </w:tcPr>
          <w:p w14:paraId="373E9E42">
            <w:pPr>
              <w:pStyle w:val="18"/>
              <w:bidi w:val="0"/>
              <w:rPr>
                <w:rFonts w:hint="eastAsia"/>
                <w:b/>
                <w:bCs/>
              </w:rPr>
            </w:pPr>
            <w:r>
              <w:rPr>
                <w:rFonts w:hint="eastAsia"/>
                <w:b/>
                <w:bCs/>
                <w:lang w:eastAsia="zh-CN"/>
              </w:rPr>
              <w:t>支出内容</w:t>
            </w:r>
          </w:p>
        </w:tc>
        <w:tc>
          <w:tcPr>
            <w:tcW w:w="882" w:type="pct"/>
            <w:shd w:val="clear" w:color="auto" w:fill="D8D8D8" w:themeFill="background1" w:themeFillShade="D9"/>
            <w:vAlign w:val="center"/>
          </w:tcPr>
          <w:p w14:paraId="784A296F">
            <w:pPr>
              <w:pStyle w:val="18"/>
              <w:bidi w:val="0"/>
              <w:rPr>
                <w:rFonts w:hint="eastAsia"/>
                <w:b/>
                <w:bCs/>
              </w:rPr>
            </w:pPr>
            <w:r>
              <w:rPr>
                <w:rFonts w:hint="eastAsia"/>
                <w:b/>
                <w:bCs/>
                <w:lang w:eastAsia="zh-CN"/>
              </w:rPr>
              <w:t>上年度结转结</w:t>
            </w:r>
            <w:r>
              <w:rPr>
                <w:rFonts w:hint="default"/>
                <w:b/>
                <w:bCs/>
                <w:lang w:eastAsia="zh-CN"/>
              </w:rPr>
              <w:t>余资金</w:t>
            </w:r>
          </w:p>
        </w:tc>
        <w:tc>
          <w:tcPr>
            <w:tcW w:w="1037" w:type="pct"/>
            <w:shd w:val="clear" w:color="auto" w:fill="D8D8D8" w:themeFill="background1" w:themeFillShade="D9"/>
            <w:vAlign w:val="center"/>
          </w:tcPr>
          <w:p w14:paraId="502470E6">
            <w:pPr>
              <w:pStyle w:val="18"/>
              <w:bidi w:val="0"/>
              <w:rPr>
                <w:rFonts w:hint="eastAsia"/>
                <w:b/>
                <w:bCs/>
              </w:rPr>
            </w:pPr>
            <w:r>
              <w:rPr>
                <w:rFonts w:hint="eastAsia"/>
                <w:b/>
                <w:bCs/>
                <w:lang w:eastAsia="zh-CN"/>
              </w:rPr>
              <w:t>当年度结转</w:t>
            </w:r>
            <w:r>
              <w:rPr>
                <w:rFonts w:hint="default"/>
                <w:b/>
                <w:bCs/>
                <w:lang w:eastAsia="zh-CN"/>
              </w:rPr>
              <w:t>结余资金</w:t>
            </w:r>
          </w:p>
        </w:tc>
        <w:tc>
          <w:tcPr>
            <w:tcW w:w="936" w:type="pct"/>
            <w:shd w:val="clear" w:color="auto" w:fill="D8D8D8" w:themeFill="background1" w:themeFillShade="D9"/>
            <w:vAlign w:val="center"/>
          </w:tcPr>
          <w:p w14:paraId="210BFED9">
            <w:pPr>
              <w:pStyle w:val="18"/>
              <w:bidi w:val="0"/>
              <w:rPr>
                <w:rFonts w:hint="eastAsia"/>
                <w:b/>
                <w:bCs/>
                <w:lang w:eastAsia="zh-CN"/>
              </w:rPr>
            </w:pPr>
            <w:r>
              <w:rPr>
                <w:rFonts w:hint="eastAsia"/>
                <w:b/>
                <w:bCs/>
                <w:lang w:eastAsia="zh-CN"/>
              </w:rPr>
              <w:t>当年度支出</w:t>
            </w:r>
            <w:r>
              <w:rPr>
                <w:rFonts w:hint="default"/>
                <w:b/>
                <w:bCs/>
                <w:lang w:eastAsia="zh-CN"/>
              </w:rPr>
              <w:t>预算数（全年预算口径）</w:t>
            </w:r>
          </w:p>
        </w:tc>
        <w:tc>
          <w:tcPr>
            <w:tcW w:w="630" w:type="pct"/>
            <w:shd w:val="clear" w:color="auto" w:fill="D8D8D8" w:themeFill="background1" w:themeFillShade="D9"/>
            <w:vAlign w:val="center"/>
          </w:tcPr>
          <w:p w14:paraId="643C95C2">
            <w:pPr>
              <w:pStyle w:val="18"/>
              <w:bidi w:val="0"/>
              <w:rPr>
                <w:rFonts w:hint="eastAsia"/>
                <w:b/>
                <w:bCs/>
              </w:rPr>
            </w:pPr>
            <w:r>
              <w:rPr>
                <w:rFonts w:hint="eastAsia"/>
                <w:b/>
                <w:bCs/>
                <w:lang w:eastAsia="zh-CN"/>
              </w:rPr>
              <w:t>结转结余率</w:t>
            </w:r>
          </w:p>
        </w:tc>
        <w:tc>
          <w:tcPr>
            <w:tcW w:w="833" w:type="pct"/>
            <w:shd w:val="clear" w:color="auto" w:fill="D8D8D8" w:themeFill="background1" w:themeFillShade="D9"/>
            <w:vAlign w:val="center"/>
          </w:tcPr>
          <w:p w14:paraId="034A25E5">
            <w:pPr>
              <w:pStyle w:val="18"/>
              <w:bidi w:val="0"/>
              <w:rPr>
                <w:rFonts w:hint="eastAsia"/>
                <w:b/>
                <w:bCs/>
                <w:lang w:eastAsia="zh-CN"/>
              </w:rPr>
            </w:pPr>
            <w:r>
              <w:rPr>
                <w:rFonts w:hint="eastAsia"/>
                <w:b/>
                <w:bCs/>
                <w:lang w:eastAsia="zh-CN"/>
              </w:rPr>
              <w:t>结转结余变</w:t>
            </w:r>
            <w:r>
              <w:rPr>
                <w:rFonts w:hint="default"/>
                <w:b/>
                <w:bCs/>
                <w:lang w:eastAsia="zh-CN"/>
              </w:rPr>
              <w:t>动率</w:t>
            </w:r>
          </w:p>
        </w:tc>
      </w:tr>
      <w:tr w14:paraId="74AB26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4" w:hRule="atLeast"/>
          <w:jc w:val="center"/>
        </w:trPr>
        <w:tc>
          <w:tcPr>
            <w:tcW w:w="682" w:type="pct"/>
            <w:vAlign w:val="center"/>
          </w:tcPr>
          <w:p w14:paraId="65747A9C">
            <w:pPr>
              <w:pStyle w:val="18"/>
              <w:bidi w:val="0"/>
              <w:rPr>
                <w:rFonts w:hint="eastAsia"/>
              </w:rPr>
            </w:pPr>
            <w:r>
              <w:rPr>
                <w:rFonts w:hint="eastAsia"/>
                <w:lang w:eastAsia="zh-CN"/>
              </w:rPr>
              <w:t>基本支出</w:t>
            </w:r>
          </w:p>
        </w:tc>
        <w:tc>
          <w:tcPr>
            <w:tcW w:w="882" w:type="pct"/>
            <w:vAlign w:val="center"/>
          </w:tcPr>
          <w:p w14:paraId="40909FB1">
            <w:pPr>
              <w:pStyle w:val="18"/>
              <w:bidi w:val="0"/>
              <w:rPr>
                <w:rFonts w:hint="eastAsia"/>
                <w:lang w:eastAsia="zh-CN"/>
              </w:rPr>
            </w:pPr>
            <w:bookmarkStart w:id="67" w:name="OLE_LINK7"/>
            <w:r>
              <w:rPr>
                <w:lang w:eastAsia="zh-CN"/>
              </w:rPr>
              <w:t>70.00</w:t>
            </w:r>
            <w:bookmarkEnd w:id="67"/>
          </w:p>
        </w:tc>
        <w:tc>
          <w:tcPr>
            <w:tcW w:w="1037" w:type="pct"/>
            <w:vAlign w:val="center"/>
          </w:tcPr>
          <w:p w14:paraId="074B2E28">
            <w:pPr>
              <w:pStyle w:val="18"/>
              <w:bidi w:val="0"/>
              <w:rPr>
                <w:rFonts w:hint="eastAsia"/>
                <w:lang w:eastAsia="zh-CN"/>
              </w:rPr>
            </w:pPr>
            <w:bookmarkStart w:id="68" w:name="OLE_LINK8"/>
            <w:r>
              <w:rPr>
                <w:lang w:eastAsia="zh-CN"/>
              </w:rPr>
              <w:t>42.73</w:t>
            </w:r>
            <w:bookmarkEnd w:id="68"/>
          </w:p>
        </w:tc>
        <w:tc>
          <w:tcPr>
            <w:tcW w:w="936" w:type="pct"/>
          </w:tcPr>
          <w:p w14:paraId="6A367ABD">
            <w:pPr>
              <w:pStyle w:val="18"/>
              <w:bidi w:val="0"/>
              <w:rPr>
                <w:rFonts w:hint="eastAsia"/>
                <w:lang w:eastAsia="zh-CN"/>
              </w:rPr>
            </w:pPr>
            <w:r>
              <w:rPr>
                <w:lang w:eastAsia="zh-CN"/>
              </w:rPr>
              <w:t>1,398.17</w:t>
            </w:r>
          </w:p>
        </w:tc>
        <w:tc>
          <w:tcPr>
            <w:tcW w:w="630" w:type="pct"/>
          </w:tcPr>
          <w:p w14:paraId="470F8611">
            <w:pPr>
              <w:pStyle w:val="18"/>
              <w:bidi w:val="0"/>
              <w:rPr>
                <w:rFonts w:hint="eastAsia"/>
                <w:lang w:eastAsia="zh-CN"/>
              </w:rPr>
            </w:pPr>
            <w:r>
              <w:rPr>
                <w:lang w:eastAsia="zh-CN"/>
              </w:rPr>
              <w:t>3.06%</w:t>
            </w:r>
          </w:p>
        </w:tc>
        <w:tc>
          <w:tcPr>
            <w:tcW w:w="833" w:type="pct"/>
          </w:tcPr>
          <w:p w14:paraId="3997191C">
            <w:pPr>
              <w:pStyle w:val="18"/>
              <w:bidi w:val="0"/>
              <w:rPr>
                <w:rFonts w:hint="eastAsia"/>
                <w:lang w:eastAsia="zh-CN"/>
              </w:rPr>
            </w:pPr>
            <w:r>
              <w:rPr>
                <w:lang w:eastAsia="zh-CN"/>
              </w:rPr>
              <w:t>-38.96%</w:t>
            </w:r>
          </w:p>
        </w:tc>
      </w:tr>
      <w:tr w14:paraId="51690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682" w:type="pct"/>
            <w:vAlign w:val="center"/>
          </w:tcPr>
          <w:p w14:paraId="64EA5894">
            <w:pPr>
              <w:pStyle w:val="18"/>
              <w:bidi w:val="0"/>
              <w:rPr>
                <w:rFonts w:hint="eastAsia"/>
              </w:rPr>
            </w:pPr>
            <w:r>
              <w:rPr>
                <w:rFonts w:hint="eastAsia"/>
                <w:lang w:eastAsia="zh-CN"/>
              </w:rPr>
              <w:t>项目支出</w:t>
            </w:r>
          </w:p>
        </w:tc>
        <w:tc>
          <w:tcPr>
            <w:tcW w:w="882" w:type="pct"/>
          </w:tcPr>
          <w:p w14:paraId="0D550D8B">
            <w:pPr>
              <w:pStyle w:val="18"/>
              <w:bidi w:val="0"/>
              <w:rPr>
                <w:rFonts w:hint="eastAsia"/>
                <w:lang w:eastAsia="zh-CN"/>
              </w:rPr>
            </w:pPr>
            <w:r>
              <w:rPr>
                <w:rFonts w:hint="eastAsia"/>
                <w:lang w:eastAsia="zh-CN"/>
              </w:rPr>
              <w:t>0.00</w:t>
            </w:r>
          </w:p>
        </w:tc>
        <w:tc>
          <w:tcPr>
            <w:tcW w:w="1037" w:type="pct"/>
          </w:tcPr>
          <w:p w14:paraId="12F556EE">
            <w:pPr>
              <w:pStyle w:val="18"/>
              <w:bidi w:val="0"/>
              <w:rPr>
                <w:rFonts w:hint="eastAsia"/>
                <w:lang w:eastAsia="zh-CN"/>
              </w:rPr>
            </w:pPr>
            <w:r>
              <w:rPr>
                <w:rFonts w:hint="eastAsia"/>
                <w:lang w:eastAsia="zh-CN"/>
              </w:rPr>
              <w:t>0.00</w:t>
            </w:r>
          </w:p>
        </w:tc>
        <w:tc>
          <w:tcPr>
            <w:tcW w:w="936" w:type="pct"/>
          </w:tcPr>
          <w:p w14:paraId="69149C3C">
            <w:pPr>
              <w:pStyle w:val="18"/>
              <w:bidi w:val="0"/>
              <w:rPr>
                <w:rFonts w:hint="eastAsia"/>
                <w:lang w:eastAsia="zh-CN"/>
              </w:rPr>
            </w:pPr>
            <w:r>
              <w:rPr>
                <w:lang w:eastAsia="zh-CN"/>
              </w:rPr>
              <w:t>371.80</w:t>
            </w:r>
          </w:p>
        </w:tc>
        <w:tc>
          <w:tcPr>
            <w:tcW w:w="630" w:type="pct"/>
          </w:tcPr>
          <w:p w14:paraId="56BA9757">
            <w:pPr>
              <w:pStyle w:val="18"/>
              <w:bidi w:val="0"/>
              <w:rPr>
                <w:rFonts w:hint="eastAsia"/>
                <w:lang w:eastAsia="zh-CN"/>
              </w:rPr>
            </w:pPr>
            <w:r>
              <w:rPr>
                <w:rFonts w:hint="eastAsia"/>
                <w:lang w:eastAsia="zh-CN"/>
              </w:rPr>
              <w:t>0.00%</w:t>
            </w:r>
          </w:p>
        </w:tc>
        <w:tc>
          <w:tcPr>
            <w:tcW w:w="833" w:type="pct"/>
          </w:tcPr>
          <w:p w14:paraId="4F4CD3E0">
            <w:pPr>
              <w:pStyle w:val="18"/>
              <w:bidi w:val="0"/>
              <w:rPr>
                <w:rFonts w:hint="eastAsia"/>
                <w:lang w:eastAsia="zh-CN"/>
              </w:rPr>
            </w:pPr>
            <w:r>
              <w:rPr>
                <w:rFonts w:hint="eastAsia"/>
                <w:lang w:eastAsia="zh-CN"/>
              </w:rPr>
              <w:t>0.00%</w:t>
            </w:r>
          </w:p>
        </w:tc>
      </w:tr>
      <w:tr w14:paraId="49697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682" w:type="pct"/>
            <w:vAlign w:val="center"/>
          </w:tcPr>
          <w:p w14:paraId="45688B1C">
            <w:pPr>
              <w:pStyle w:val="18"/>
              <w:bidi w:val="0"/>
              <w:rPr>
                <w:rFonts w:hint="eastAsia"/>
              </w:rPr>
            </w:pPr>
            <w:r>
              <w:rPr>
                <w:rFonts w:hint="eastAsia"/>
                <w:lang w:eastAsia="zh-CN"/>
              </w:rPr>
              <w:t>合计</w:t>
            </w:r>
          </w:p>
        </w:tc>
        <w:tc>
          <w:tcPr>
            <w:tcW w:w="882" w:type="pct"/>
          </w:tcPr>
          <w:p w14:paraId="56AD9DD1">
            <w:pPr>
              <w:pStyle w:val="18"/>
              <w:bidi w:val="0"/>
              <w:rPr>
                <w:rFonts w:hint="eastAsia"/>
              </w:rPr>
            </w:pPr>
            <w:r>
              <w:rPr>
                <w:lang w:eastAsia="zh-CN"/>
              </w:rPr>
              <w:t>70.00</w:t>
            </w:r>
          </w:p>
        </w:tc>
        <w:tc>
          <w:tcPr>
            <w:tcW w:w="1037" w:type="pct"/>
          </w:tcPr>
          <w:p w14:paraId="5D8C434D">
            <w:pPr>
              <w:pStyle w:val="18"/>
              <w:bidi w:val="0"/>
              <w:rPr>
                <w:rFonts w:hint="eastAsia"/>
                <w:lang w:eastAsia="zh-CN"/>
              </w:rPr>
            </w:pPr>
            <w:r>
              <w:rPr>
                <w:lang w:eastAsia="zh-CN"/>
              </w:rPr>
              <w:t>42.73</w:t>
            </w:r>
          </w:p>
        </w:tc>
        <w:tc>
          <w:tcPr>
            <w:tcW w:w="936" w:type="pct"/>
          </w:tcPr>
          <w:p w14:paraId="68FEBBC9">
            <w:pPr>
              <w:pStyle w:val="18"/>
              <w:bidi w:val="0"/>
              <w:rPr>
                <w:rFonts w:hint="eastAsia"/>
                <w:lang w:eastAsia="zh-CN"/>
              </w:rPr>
            </w:pPr>
            <w:r>
              <w:rPr>
                <w:lang w:eastAsia="zh-CN"/>
              </w:rPr>
              <w:t>1,769.97</w:t>
            </w:r>
          </w:p>
        </w:tc>
        <w:tc>
          <w:tcPr>
            <w:tcW w:w="630" w:type="pct"/>
          </w:tcPr>
          <w:p w14:paraId="0F76ED8E">
            <w:pPr>
              <w:pStyle w:val="18"/>
              <w:bidi w:val="0"/>
              <w:rPr>
                <w:rFonts w:hint="eastAsia"/>
                <w:lang w:eastAsia="zh-CN"/>
              </w:rPr>
            </w:pPr>
            <w:r>
              <w:rPr>
                <w:lang w:eastAsia="zh-CN"/>
              </w:rPr>
              <w:t>2.41%</w:t>
            </w:r>
          </w:p>
        </w:tc>
        <w:tc>
          <w:tcPr>
            <w:tcW w:w="833" w:type="pct"/>
          </w:tcPr>
          <w:p w14:paraId="60842AC3">
            <w:pPr>
              <w:pStyle w:val="18"/>
              <w:bidi w:val="0"/>
              <w:rPr>
                <w:rFonts w:hint="eastAsia"/>
                <w:lang w:eastAsia="zh-CN"/>
              </w:rPr>
            </w:pPr>
            <w:r>
              <w:rPr>
                <w:lang w:eastAsia="zh-CN"/>
              </w:rPr>
              <w:t>-38.96%</w:t>
            </w:r>
          </w:p>
        </w:tc>
      </w:tr>
    </w:tbl>
    <w:p w14:paraId="6D9F724E">
      <w:pPr>
        <w:pStyle w:val="3"/>
        <w:bidi w:val="0"/>
        <w:rPr>
          <w:rFonts w:hint="eastAsia"/>
          <w:lang w:eastAsia="zh-CN"/>
        </w:rPr>
      </w:pPr>
      <w:bookmarkStart w:id="69" w:name="bookmark14"/>
      <w:bookmarkEnd w:id="69"/>
      <w:bookmarkStart w:id="70" w:name="bookmark13"/>
      <w:bookmarkEnd w:id="70"/>
      <w:bookmarkStart w:id="71" w:name="bookmark17"/>
      <w:bookmarkEnd w:id="71"/>
      <w:bookmarkStart w:id="72" w:name="bookmark18"/>
      <w:bookmarkEnd w:id="72"/>
      <w:bookmarkStart w:id="73" w:name="_Toc181558000"/>
      <w:bookmarkStart w:id="74" w:name="_Toc217363496"/>
      <w:bookmarkStart w:id="75" w:name="_Toc5546"/>
      <w:bookmarkStart w:id="76" w:name="_Toc22456"/>
      <w:r>
        <w:rPr>
          <w:rFonts w:hint="eastAsia"/>
          <w:lang w:eastAsia="zh-CN"/>
        </w:rPr>
        <w:t>二、资金使用方向、主要内容和涉及范围</w:t>
      </w:r>
      <w:bookmarkEnd w:id="73"/>
      <w:bookmarkEnd w:id="74"/>
      <w:bookmarkEnd w:id="75"/>
      <w:bookmarkEnd w:id="76"/>
    </w:p>
    <w:p w14:paraId="18F10D5B">
      <w:pPr>
        <w:pStyle w:val="4"/>
        <w:bidi w:val="0"/>
        <w:rPr>
          <w:rFonts w:hint="eastAsia"/>
          <w:lang w:eastAsia="zh-CN"/>
        </w:rPr>
      </w:pPr>
      <w:bookmarkStart w:id="77" w:name="_Toc181558001"/>
      <w:bookmarkStart w:id="78" w:name="_Toc217363497"/>
      <w:bookmarkStart w:id="79" w:name="_Toc15654"/>
      <w:bookmarkStart w:id="80" w:name="_Toc28487"/>
      <w:bookmarkStart w:id="81" w:name="_Toc11603"/>
      <w:r>
        <w:rPr>
          <w:rFonts w:hint="eastAsia"/>
          <w:lang w:eastAsia="zh-CN"/>
        </w:rPr>
        <w:t>1.基本支出</w:t>
      </w:r>
      <w:bookmarkEnd w:id="77"/>
      <w:bookmarkEnd w:id="78"/>
      <w:bookmarkEnd w:id="79"/>
      <w:bookmarkEnd w:id="80"/>
      <w:bookmarkEnd w:id="81"/>
    </w:p>
    <w:p w14:paraId="729A08A3">
      <w:pPr>
        <w:bidi w:val="0"/>
        <w:rPr>
          <w:rFonts w:hint="eastAsia"/>
          <w:lang w:eastAsia="zh-CN"/>
        </w:rPr>
      </w:pPr>
      <w:r>
        <w:rPr>
          <w:rFonts w:hint="eastAsia"/>
          <w:lang w:eastAsia="zh-CN"/>
        </w:rPr>
        <w:t>2024年基本支出全年预算数为</w:t>
      </w:r>
      <w:r>
        <w:rPr>
          <w:lang w:eastAsia="zh-CN"/>
        </w:rPr>
        <w:t>1,398.17</w:t>
      </w:r>
      <w:r>
        <w:rPr>
          <w:rFonts w:hint="eastAsia"/>
          <w:lang w:eastAsia="zh-CN"/>
        </w:rPr>
        <w:t>万元，实际支出数（决算数）</w:t>
      </w:r>
      <w:r>
        <w:rPr>
          <w:lang w:eastAsia="zh-CN"/>
        </w:rPr>
        <w:t>1,384.46</w:t>
      </w:r>
      <w:r>
        <w:rPr>
          <w:rFonts w:hint="eastAsia"/>
          <w:lang w:eastAsia="zh-CN"/>
        </w:rPr>
        <w:t>万元。基本支出的主要用途包括工资发放、津贴补贴、五险一金、办公费、差旅费、培训费、水电费、物业管理费、维修（护）费和其他对个人和家庭的补助等，其中工资福利支出</w:t>
      </w:r>
      <w:r>
        <w:rPr>
          <w:lang w:eastAsia="zh-CN"/>
        </w:rPr>
        <w:t>83.80%</w:t>
      </w:r>
      <w:r>
        <w:rPr>
          <w:rFonts w:hint="eastAsia"/>
          <w:lang w:eastAsia="zh-CN"/>
        </w:rPr>
        <w:t>、商品和服务支出</w:t>
      </w:r>
      <w:r>
        <w:rPr>
          <w:lang w:eastAsia="zh-CN"/>
        </w:rPr>
        <w:t>11.67%</w:t>
      </w:r>
      <w:r>
        <w:rPr>
          <w:rFonts w:hint="eastAsia"/>
          <w:lang w:eastAsia="zh-CN"/>
        </w:rPr>
        <w:t>、对个人和家庭的补助</w:t>
      </w:r>
      <w:r>
        <w:rPr>
          <w:lang w:eastAsia="zh-CN"/>
        </w:rPr>
        <w:t>4.53%</w:t>
      </w:r>
      <w:r>
        <w:rPr>
          <w:rFonts w:hint="eastAsia"/>
          <w:lang w:eastAsia="zh-CN"/>
        </w:rPr>
        <w:t>。具体基本支出情况如</w:t>
      </w:r>
      <w:bookmarkStart w:id="82" w:name="bookmark15"/>
      <w:bookmarkEnd w:id="82"/>
      <w:bookmarkStart w:id="83" w:name="_Toc14534"/>
      <w:r>
        <w:rPr>
          <w:rFonts w:hint="eastAsia"/>
          <w:lang w:eastAsia="zh-CN"/>
        </w:rPr>
        <w:t>表5所示：</w:t>
      </w:r>
    </w:p>
    <w:p w14:paraId="1A4A5858">
      <w:pPr>
        <w:pStyle w:val="17"/>
        <w:bidi w:val="0"/>
        <w:rPr>
          <w:rFonts w:hint="eastAsia"/>
          <w:lang w:eastAsia="zh-CN"/>
        </w:rPr>
      </w:pPr>
      <w:r>
        <w:rPr>
          <w:rFonts w:hint="eastAsia"/>
          <w:lang w:eastAsia="zh-CN"/>
        </w:rPr>
        <w:t>表5    泉州市洛江区市场监督管理局2024</w:t>
      </w:r>
      <w:r>
        <w:rPr>
          <w:lang w:eastAsia="zh-CN"/>
        </w:rPr>
        <w:t>年基本支出明细</w:t>
      </w:r>
      <w:bookmarkEnd w:id="83"/>
      <w:r>
        <w:rPr>
          <w:rFonts w:hint="eastAsia"/>
          <w:lang w:eastAsia="zh-CN"/>
        </w:rPr>
        <w:t>表</w:t>
      </w:r>
    </w:p>
    <w:p w14:paraId="312BD6A6">
      <w:pPr>
        <w:widowControl w:val="0"/>
        <w:tabs>
          <w:tab w:val="left" w:pos="8400"/>
        </w:tabs>
        <w:overflowPunct w:val="0"/>
        <w:spacing w:line="240" w:lineRule="auto"/>
        <w:ind w:firstLine="540"/>
        <w:jc w:val="right"/>
        <w:rPr>
          <w:rFonts w:hint="eastAsia" w:ascii="仿宋" w:hAnsi="仿宋" w:eastAsia="仿宋" w:cs="仿宋"/>
          <w:bCs/>
          <w:spacing w:val="-10"/>
          <w:sz w:val="24"/>
          <w14:textOutline w14:w="5105" w14:cap="sq" w14:cmpd="sng" w14:algn="ctr">
            <w14:solidFill>
              <w14:srgbClr w14:val="000000"/>
            </w14:solidFill>
            <w14:prstDash w14:val="solid"/>
            <w14:bevel/>
          </w14:textOutline>
        </w:rPr>
      </w:pPr>
      <w:r>
        <w:rPr>
          <w:rFonts w:ascii="仿宋" w:hAnsi="仿宋" w:eastAsia="仿宋" w:cs="仿宋"/>
          <w:bCs/>
          <w:spacing w:val="-10"/>
          <w:sz w:val="24"/>
          <w14:textOutline w14:w="5105" w14:cap="sq" w14:cmpd="sng" w14:algn="ctr">
            <w14:solidFill>
              <w14:srgbClr w14:val="000000"/>
            </w14:solidFill>
            <w14:prstDash w14:val="solid"/>
            <w14:bevel/>
          </w14:textOutline>
        </w:rPr>
        <w:t>单位：万元</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88"/>
        <w:gridCol w:w="2546"/>
        <w:gridCol w:w="1988"/>
      </w:tblGrid>
      <w:tr w14:paraId="197A5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trPr>
        <w:tc>
          <w:tcPr>
            <w:tcW w:w="2340" w:type="pct"/>
            <w:shd w:val="clear" w:color="auto" w:fill="D8D8D8" w:themeFill="background1" w:themeFillShade="D9"/>
            <w:vAlign w:val="center"/>
          </w:tcPr>
          <w:p w14:paraId="79D67E5C">
            <w:pPr>
              <w:pStyle w:val="18"/>
              <w:bidi w:val="0"/>
              <w:jc w:val="center"/>
              <w:rPr>
                <w:rFonts w:hint="eastAsia"/>
                <w:b/>
                <w:bCs/>
                <w:lang w:eastAsia="zh-CN"/>
              </w:rPr>
            </w:pPr>
            <w:r>
              <w:rPr>
                <w:rFonts w:hint="eastAsia"/>
                <w:b/>
                <w:bCs/>
                <w:lang w:eastAsia="zh-CN"/>
              </w:rPr>
              <w:t>支出项目</w:t>
            </w:r>
          </w:p>
        </w:tc>
        <w:tc>
          <w:tcPr>
            <w:tcW w:w="1494" w:type="pct"/>
            <w:shd w:val="clear" w:color="auto" w:fill="D8D8D8" w:themeFill="background1" w:themeFillShade="D9"/>
            <w:vAlign w:val="center"/>
          </w:tcPr>
          <w:p w14:paraId="34BA8A61">
            <w:pPr>
              <w:pStyle w:val="18"/>
              <w:bidi w:val="0"/>
              <w:jc w:val="center"/>
              <w:rPr>
                <w:rFonts w:hint="eastAsia"/>
                <w:b/>
                <w:bCs/>
                <w:lang w:eastAsia="zh-CN"/>
              </w:rPr>
            </w:pPr>
            <w:r>
              <w:rPr>
                <w:rFonts w:hint="eastAsia"/>
                <w:b/>
                <w:bCs/>
                <w:lang w:eastAsia="zh-CN"/>
              </w:rPr>
              <w:t>金额</w:t>
            </w:r>
          </w:p>
        </w:tc>
        <w:tc>
          <w:tcPr>
            <w:tcW w:w="1166" w:type="pct"/>
            <w:shd w:val="clear" w:color="auto" w:fill="D8D8D8" w:themeFill="background1" w:themeFillShade="D9"/>
            <w:noWrap/>
            <w:vAlign w:val="center"/>
          </w:tcPr>
          <w:p w14:paraId="735B87EC">
            <w:pPr>
              <w:pStyle w:val="18"/>
              <w:bidi w:val="0"/>
              <w:jc w:val="center"/>
              <w:rPr>
                <w:rFonts w:hint="eastAsia"/>
                <w:b/>
                <w:bCs/>
                <w:lang w:eastAsia="zh-CN"/>
              </w:rPr>
            </w:pPr>
            <w:r>
              <w:rPr>
                <w:rFonts w:hint="eastAsia"/>
                <w:b/>
                <w:bCs/>
                <w:lang w:eastAsia="zh-CN"/>
              </w:rPr>
              <w:t>占比</w:t>
            </w:r>
          </w:p>
        </w:tc>
      </w:tr>
      <w:tr w14:paraId="2596C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340" w:type="pct"/>
            <w:vAlign w:val="center"/>
          </w:tcPr>
          <w:p w14:paraId="064F856D">
            <w:pPr>
              <w:pStyle w:val="18"/>
              <w:bidi w:val="0"/>
              <w:rPr>
                <w:rFonts w:hint="eastAsia"/>
                <w:lang w:eastAsia="zh-CN"/>
              </w:rPr>
            </w:pPr>
            <w:r>
              <w:rPr>
                <w:rFonts w:hint="eastAsia"/>
                <w:lang w:eastAsia="zh-CN"/>
              </w:rPr>
              <w:t>工资福利支出</w:t>
            </w:r>
          </w:p>
        </w:tc>
        <w:tc>
          <w:tcPr>
            <w:tcW w:w="1494" w:type="pct"/>
            <w:vAlign w:val="center"/>
          </w:tcPr>
          <w:p w14:paraId="33BE5CB2">
            <w:pPr>
              <w:pStyle w:val="18"/>
              <w:bidi w:val="0"/>
              <w:rPr>
                <w:rFonts w:hint="eastAsia"/>
                <w:lang w:eastAsia="zh-CN"/>
              </w:rPr>
            </w:pPr>
            <w:r>
              <w:rPr>
                <w:rFonts w:hint="eastAsia"/>
                <w:lang w:eastAsia="zh-CN"/>
              </w:rPr>
              <w:t>1,160.16</w:t>
            </w:r>
          </w:p>
        </w:tc>
        <w:tc>
          <w:tcPr>
            <w:tcW w:w="1166" w:type="pct"/>
            <w:noWrap/>
            <w:vAlign w:val="center"/>
          </w:tcPr>
          <w:p w14:paraId="28F6F80D">
            <w:pPr>
              <w:pStyle w:val="18"/>
              <w:bidi w:val="0"/>
              <w:rPr>
                <w:rFonts w:hint="eastAsia"/>
                <w:lang w:eastAsia="zh-CN"/>
              </w:rPr>
            </w:pPr>
            <w:r>
              <w:rPr>
                <w:rFonts w:hint="eastAsia"/>
                <w:lang w:eastAsia="zh-CN"/>
              </w:rPr>
              <w:t>83.80%</w:t>
            </w:r>
          </w:p>
        </w:tc>
      </w:tr>
      <w:tr w14:paraId="264E8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340" w:type="pct"/>
            <w:vAlign w:val="center"/>
          </w:tcPr>
          <w:p w14:paraId="245BCD12">
            <w:pPr>
              <w:pStyle w:val="18"/>
              <w:bidi w:val="0"/>
              <w:rPr>
                <w:rFonts w:hint="eastAsia"/>
                <w:lang w:eastAsia="zh-CN"/>
              </w:rPr>
            </w:pPr>
            <w:r>
              <w:rPr>
                <w:rFonts w:hint="eastAsia"/>
                <w:lang w:eastAsia="zh-CN"/>
              </w:rPr>
              <w:t>商品和服务支出</w:t>
            </w:r>
          </w:p>
        </w:tc>
        <w:tc>
          <w:tcPr>
            <w:tcW w:w="1494" w:type="pct"/>
            <w:vAlign w:val="center"/>
          </w:tcPr>
          <w:p w14:paraId="70D6EF1F">
            <w:pPr>
              <w:pStyle w:val="18"/>
              <w:bidi w:val="0"/>
              <w:rPr>
                <w:rFonts w:hint="eastAsia"/>
                <w:lang w:eastAsia="zh-CN"/>
              </w:rPr>
            </w:pPr>
            <w:r>
              <w:rPr>
                <w:rFonts w:hint="eastAsia"/>
                <w:lang w:eastAsia="zh-CN"/>
              </w:rPr>
              <w:t>161.57</w:t>
            </w:r>
          </w:p>
        </w:tc>
        <w:tc>
          <w:tcPr>
            <w:tcW w:w="1166" w:type="pct"/>
            <w:noWrap/>
            <w:vAlign w:val="center"/>
          </w:tcPr>
          <w:p w14:paraId="00A07253">
            <w:pPr>
              <w:pStyle w:val="18"/>
              <w:bidi w:val="0"/>
              <w:rPr>
                <w:rFonts w:hint="eastAsia"/>
                <w:lang w:eastAsia="zh-CN"/>
              </w:rPr>
            </w:pPr>
            <w:r>
              <w:rPr>
                <w:rFonts w:hint="eastAsia"/>
                <w:lang w:eastAsia="zh-CN"/>
              </w:rPr>
              <w:t>11.67%</w:t>
            </w:r>
          </w:p>
        </w:tc>
      </w:tr>
      <w:tr w14:paraId="575CC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340" w:type="pct"/>
            <w:vAlign w:val="center"/>
          </w:tcPr>
          <w:p w14:paraId="2E00F225">
            <w:pPr>
              <w:pStyle w:val="18"/>
              <w:bidi w:val="0"/>
              <w:rPr>
                <w:rFonts w:hint="eastAsia"/>
                <w:lang w:eastAsia="zh-CN"/>
              </w:rPr>
            </w:pPr>
            <w:r>
              <w:rPr>
                <w:rFonts w:hint="eastAsia"/>
                <w:lang w:eastAsia="zh-CN"/>
              </w:rPr>
              <w:t>对个人和家庭的补助</w:t>
            </w:r>
          </w:p>
        </w:tc>
        <w:tc>
          <w:tcPr>
            <w:tcW w:w="1494" w:type="pct"/>
            <w:vAlign w:val="center"/>
          </w:tcPr>
          <w:p w14:paraId="755652B0">
            <w:pPr>
              <w:pStyle w:val="18"/>
              <w:bidi w:val="0"/>
              <w:rPr>
                <w:rFonts w:hint="eastAsia"/>
                <w:lang w:eastAsia="zh-CN"/>
              </w:rPr>
            </w:pPr>
            <w:r>
              <w:rPr>
                <w:rFonts w:hint="eastAsia"/>
                <w:lang w:eastAsia="zh-CN"/>
              </w:rPr>
              <w:t>62.73</w:t>
            </w:r>
          </w:p>
        </w:tc>
        <w:tc>
          <w:tcPr>
            <w:tcW w:w="1166" w:type="pct"/>
            <w:noWrap/>
            <w:vAlign w:val="center"/>
          </w:tcPr>
          <w:p w14:paraId="0BAF18F3">
            <w:pPr>
              <w:pStyle w:val="18"/>
              <w:bidi w:val="0"/>
              <w:rPr>
                <w:rFonts w:hint="eastAsia"/>
                <w:lang w:eastAsia="zh-CN"/>
              </w:rPr>
            </w:pPr>
            <w:r>
              <w:rPr>
                <w:rFonts w:hint="eastAsia"/>
                <w:lang w:eastAsia="zh-CN"/>
              </w:rPr>
              <w:t>4.53%</w:t>
            </w:r>
          </w:p>
        </w:tc>
      </w:tr>
      <w:tr w14:paraId="3593D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340" w:type="pct"/>
            <w:vAlign w:val="center"/>
          </w:tcPr>
          <w:p w14:paraId="1D36B92C">
            <w:pPr>
              <w:pStyle w:val="18"/>
              <w:bidi w:val="0"/>
              <w:rPr>
                <w:rFonts w:hint="eastAsia"/>
                <w:lang w:eastAsia="zh-CN"/>
              </w:rPr>
            </w:pPr>
            <w:r>
              <w:rPr>
                <w:rFonts w:hint="eastAsia"/>
                <w:lang w:eastAsia="zh-CN"/>
              </w:rPr>
              <w:t>资本性支出</w:t>
            </w:r>
          </w:p>
        </w:tc>
        <w:tc>
          <w:tcPr>
            <w:tcW w:w="1494" w:type="pct"/>
            <w:vAlign w:val="center"/>
          </w:tcPr>
          <w:p w14:paraId="576A7CB6">
            <w:pPr>
              <w:pStyle w:val="18"/>
              <w:bidi w:val="0"/>
              <w:rPr>
                <w:rFonts w:hint="eastAsia"/>
                <w:lang w:eastAsia="zh-CN"/>
              </w:rPr>
            </w:pPr>
            <w:r>
              <w:rPr>
                <w:rFonts w:hint="eastAsia"/>
                <w:lang w:eastAsia="zh-CN"/>
              </w:rPr>
              <w:t>-</w:t>
            </w:r>
          </w:p>
        </w:tc>
        <w:tc>
          <w:tcPr>
            <w:tcW w:w="1166" w:type="pct"/>
            <w:noWrap/>
            <w:vAlign w:val="center"/>
          </w:tcPr>
          <w:p w14:paraId="2B3F4702">
            <w:pPr>
              <w:pStyle w:val="18"/>
              <w:bidi w:val="0"/>
              <w:rPr>
                <w:rFonts w:hint="eastAsia"/>
                <w:lang w:eastAsia="zh-CN"/>
              </w:rPr>
            </w:pPr>
            <w:r>
              <w:rPr>
                <w:rFonts w:hint="eastAsia"/>
                <w:lang w:eastAsia="zh-CN"/>
              </w:rPr>
              <w:t>0.00%</w:t>
            </w:r>
          </w:p>
        </w:tc>
      </w:tr>
      <w:tr w14:paraId="78D9E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340" w:type="pct"/>
            <w:vAlign w:val="center"/>
          </w:tcPr>
          <w:p w14:paraId="03F843C5">
            <w:pPr>
              <w:pStyle w:val="18"/>
              <w:bidi w:val="0"/>
              <w:rPr>
                <w:rFonts w:hint="eastAsia"/>
                <w:lang w:eastAsia="zh-CN"/>
              </w:rPr>
            </w:pPr>
            <w:r>
              <w:rPr>
                <w:rFonts w:hint="eastAsia"/>
                <w:lang w:eastAsia="zh-CN"/>
              </w:rPr>
              <w:t>合计</w:t>
            </w:r>
          </w:p>
        </w:tc>
        <w:tc>
          <w:tcPr>
            <w:tcW w:w="1494" w:type="pct"/>
            <w:vAlign w:val="center"/>
          </w:tcPr>
          <w:p w14:paraId="664C9895">
            <w:pPr>
              <w:pStyle w:val="18"/>
              <w:bidi w:val="0"/>
              <w:rPr>
                <w:rFonts w:hint="eastAsia"/>
                <w:lang w:eastAsia="zh-CN"/>
              </w:rPr>
            </w:pPr>
            <w:r>
              <w:rPr>
                <w:rFonts w:hint="eastAsia"/>
                <w:lang w:eastAsia="zh-CN"/>
              </w:rPr>
              <w:t>1,384.46</w:t>
            </w:r>
          </w:p>
        </w:tc>
        <w:tc>
          <w:tcPr>
            <w:tcW w:w="1166" w:type="pct"/>
            <w:noWrap/>
            <w:vAlign w:val="center"/>
          </w:tcPr>
          <w:p w14:paraId="238678ED">
            <w:pPr>
              <w:pStyle w:val="18"/>
              <w:bidi w:val="0"/>
              <w:rPr>
                <w:rFonts w:hint="eastAsia"/>
                <w:lang w:eastAsia="zh-CN"/>
              </w:rPr>
            </w:pPr>
            <w:r>
              <w:rPr>
                <w:rFonts w:hint="eastAsia"/>
                <w:lang w:eastAsia="zh-CN"/>
              </w:rPr>
              <w:t>100%</w:t>
            </w:r>
          </w:p>
        </w:tc>
      </w:tr>
    </w:tbl>
    <w:p w14:paraId="5B415AEE">
      <w:pPr>
        <w:pStyle w:val="4"/>
        <w:bidi w:val="0"/>
        <w:rPr>
          <w:rFonts w:hint="eastAsia"/>
          <w:lang w:eastAsia="zh-CN"/>
        </w:rPr>
      </w:pPr>
      <w:bookmarkStart w:id="84" w:name="_Toc181558002"/>
      <w:bookmarkStart w:id="85" w:name="_Toc217363498"/>
      <w:bookmarkStart w:id="86" w:name="_Toc915"/>
      <w:bookmarkStart w:id="87" w:name="_Toc12483"/>
      <w:bookmarkStart w:id="88" w:name="_Toc13522"/>
      <w:r>
        <w:rPr>
          <w:rFonts w:hint="eastAsia"/>
          <w:lang w:eastAsia="zh-CN"/>
        </w:rPr>
        <w:t>2.</w:t>
      </w:r>
      <w:r>
        <w:rPr>
          <w:lang w:eastAsia="zh-CN"/>
        </w:rPr>
        <w:t>项目支出</w:t>
      </w:r>
      <w:bookmarkEnd w:id="84"/>
      <w:bookmarkEnd w:id="85"/>
      <w:bookmarkEnd w:id="86"/>
      <w:bookmarkEnd w:id="87"/>
      <w:bookmarkEnd w:id="88"/>
    </w:p>
    <w:p w14:paraId="754A3CE4">
      <w:pPr>
        <w:bidi w:val="0"/>
        <w:rPr>
          <w:rFonts w:hint="eastAsia"/>
          <w:lang w:eastAsia="zh-CN"/>
        </w:rPr>
      </w:pPr>
      <w:r>
        <w:rPr>
          <w:lang w:eastAsia="zh-CN"/>
        </w:rPr>
        <w:t>202</w:t>
      </w:r>
      <w:r>
        <w:rPr>
          <w:rFonts w:hint="eastAsia"/>
          <w:lang w:eastAsia="zh-CN"/>
        </w:rPr>
        <w:t>4年项目支出全年预算数为</w:t>
      </w:r>
      <w:r>
        <w:rPr>
          <w:lang w:eastAsia="zh-CN"/>
        </w:rPr>
        <w:t>371.80</w:t>
      </w:r>
      <w:r>
        <w:rPr>
          <w:rFonts w:hint="eastAsia"/>
          <w:lang w:eastAsia="zh-CN"/>
        </w:rPr>
        <w:t>万元，实际支出数（决算数）</w:t>
      </w:r>
      <w:r>
        <w:rPr>
          <w:lang w:eastAsia="zh-CN"/>
        </w:rPr>
        <w:t>371.17</w:t>
      </w:r>
      <w:r>
        <w:rPr>
          <w:rFonts w:hint="eastAsia"/>
          <w:lang w:eastAsia="zh-CN"/>
        </w:rPr>
        <w:t>万元</w:t>
      </w:r>
      <w:r>
        <w:rPr>
          <w:lang w:eastAsia="zh-CN"/>
        </w:rPr>
        <w:t>。</w:t>
      </w:r>
      <w:r>
        <w:rPr>
          <w:rFonts w:hint="eastAsia"/>
          <w:lang w:eastAsia="zh-CN"/>
        </w:rPr>
        <w:t>2024</w:t>
      </w:r>
      <w:r>
        <w:rPr>
          <w:lang w:eastAsia="zh-CN"/>
        </w:rPr>
        <w:t>年</w:t>
      </w:r>
      <w:r>
        <w:rPr>
          <w:rFonts w:hint="eastAsia"/>
          <w:lang w:eastAsia="zh-CN"/>
        </w:rPr>
        <w:t>泉州市洛江区市场监督管理局项目支出</w:t>
      </w:r>
      <w:r>
        <w:rPr>
          <w:lang w:eastAsia="zh-CN"/>
        </w:rPr>
        <w:t>明细如表</w:t>
      </w:r>
      <w:r>
        <w:rPr>
          <w:rFonts w:hint="eastAsia"/>
          <w:lang w:eastAsia="zh-CN"/>
        </w:rPr>
        <w:t>6</w:t>
      </w:r>
      <w:r>
        <w:rPr>
          <w:lang w:eastAsia="zh-CN"/>
        </w:rPr>
        <w:t>所示</w:t>
      </w:r>
      <w:r>
        <w:rPr>
          <w:rFonts w:hint="eastAsia"/>
          <w:lang w:eastAsia="zh-CN"/>
        </w:rPr>
        <w:t>。</w:t>
      </w:r>
    </w:p>
    <w:p w14:paraId="3C0EEE44">
      <w:pPr>
        <w:pStyle w:val="17"/>
        <w:bidi w:val="0"/>
        <w:rPr>
          <w:rFonts w:hint="eastAsia"/>
          <w:lang w:eastAsia="zh-CN"/>
        </w:rPr>
      </w:pPr>
      <w:bookmarkStart w:id="89" w:name="_Toc22100"/>
      <w:r>
        <w:rPr>
          <w:rFonts w:hint="eastAsia"/>
          <w:lang w:eastAsia="zh-CN"/>
        </w:rPr>
        <w:t>表6    泉州市洛江区市场监督管理局2024</w:t>
      </w:r>
      <w:r>
        <w:rPr>
          <w:lang w:eastAsia="zh-CN"/>
        </w:rPr>
        <w:t>年项目支出明细表</w:t>
      </w:r>
      <w:bookmarkEnd w:id="89"/>
    </w:p>
    <w:p w14:paraId="23D76EDC">
      <w:pPr>
        <w:widowControl w:val="0"/>
        <w:tabs>
          <w:tab w:val="left" w:pos="8400"/>
        </w:tabs>
        <w:overflowPunct w:val="0"/>
        <w:spacing w:line="240" w:lineRule="auto"/>
        <w:ind w:firstLine="556"/>
        <w:jc w:val="right"/>
        <w:rPr>
          <w:rFonts w:hint="eastAsia" w:ascii="仿宋" w:hAnsi="仿宋" w:eastAsia="仿宋" w:cs="仿宋"/>
          <w:color w:val="333333"/>
          <w:spacing w:val="-2"/>
          <w:sz w:val="24"/>
          <w:szCs w:val="28"/>
          <w14:textOutline w14:w="5105" w14:cap="sq" w14:cmpd="sng" w14:algn="ctr">
            <w14:solidFill>
              <w14:srgbClr w14:val="333333"/>
            </w14:solidFill>
            <w14:prstDash w14:val="solid"/>
            <w14:bevel/>
          </w14:textOutline>
        </w:rPr>
      </w:pPr>
      <w:r>
        <w:rPr>
          <w:rFonts w:ascii="仿宋" w:hAnsi="仿宋" w:eastAsia="仿宋" w:cs="仿宋"/>
          <w:bCs/>
          <w:color w:val="333333"/>
          <w:spacing w:val="-2"/>
          <w:sz w:val="24"/>
          <w:szCs w:val="28"/>
          <w14:textOutline w14:w="5105" w14:cap="sq" w14:cmpd="sng" w14:algn="ctr">
            <w14:solidFill>
              <w14:srgbClr w14:val="333333"/>
            </w14:solidFill>
            <w14:prstDash w14:val="solid"/>
            <w14:bevel/>
          </w14:textOutline>
        </w:rPr>
        <w:t>单位：万元</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88"/>
        <w:gridCol w:w="2812"/>
        <w:gridCol w:w="1722"/>
      </w:tblGrid>
      <w:tr w14:paraId="5A95A2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340" w:type="pct"/>
            <w:shd w:val="clear" w:color="auto" w:fill="D8D8D8" w:themeFill="background1" w:themeFillShade="D9"/>
            <w:vAlign w:val="center"/>
          </w:tcPr>
          <w:p w14:paraId="1AC4C4B1">
            <w:pPr>
              <w:pStyle w:val="18"/>
              <w:bidi w:val="0"/>
              <w:jc w:val="center"/>
              <w:rPr>
                <w:rFonts w:hint="eastAsia"/>
                <w:b/>
                <w:bCs/>
                <w:lang w:eastAsia="zh-CN"/>
              </w:rPr>
            </w:pPr>
            <w:r>
              <w:rPr>
                <w:rFonts w:hint="eastAsia"/>
                <w:b/>
                <w:bCs/>
                <w:lang w:eastAsia="zh-CN"/>
              </w:rPr>
              <w:t>支出项目</w:t>
            </w:r>
          </w:p>
        </w:tc>
        <w:tc>
          <w:tcPr>
            <w:tcW w:w="1650" w:type="pct"/>
            <w:shd w:val="clear" w:color="auto" w:fill="D8D8D8" w:themeFill="background1" w:themeFillShade="D9"/>
            <w:vAlign w:val="center"/>
          </w:tcPr>
          <w:p w14:paraId="09BA7AD1">
            <w:pPr>
              <w:pStyle w:val="18"/>
              <w:bidi w:val="0"/>
              <w:jc w:val="center"/>
              <w:rPr>
                <w:rFonts w:hint="eastAsia"/>
                <w:b/>
                <w:bCs/>
                <w:lang w:eastAsia="zh-CN"/>
              </w:rPr>
            </w:pPr>
            <w:r>
              <w:rPr>
                <w:rFonts w:hint="eastAsia"/>
                <w:b/>
                <w:bCs/>
                <w:lang w:eastAsia="zh-CN"/>
              </w:rPr>
              <w:t>金额</w:t>
            </w:r>
          </w:p>
        </w:tc>
        <w:tc>
          <w:tcPr>
            <w:tcW w:w="1010" w:type="pct"/>
            <w:shd w:val="clear" w:color="auto" w:fill="D8D8D8" w:themeFill="background1" w:themeFillShade="D9"/>
            <w:noWrap/>
            <w:vAlign w:val="center"/>
          </w:tcPr>
          <w:p w14:paraId="52066676">
            <w:pPr>
              <w:pStyle w:val="18"/>
              <w:bidi w:val="0"/>
              <w:jc w:val="center"/>
              <w:rPr>
                <w:rFonts w:hint="eastAsia"/>
                <w:b/>
                <w:bCs/>
                <w:lang w:eastAsia="zh-CN"/>
              </w:rPr>
            </w:pPr>
            <w:r>
              <w:rPr>
                <w:rFonts w:hint="eastAsia"/>
                <w:b/>
                <w:bCs/>
                <w:lang w:eastAsia="zh-CN"/>
              </w:rPr>
              <w:t>占比</w:t>
            </w:r>
          </w:p>
        </w:tc>
      </w:tr>
      <w:tr w14:paraId="5CB70B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340" w:type="pct"/>
            <w:vAlign w:val="center"/>
          </w:tcPr>
          <w:p w14:paraId="39785BC5">
            <w:pPr>
              <w:pStyle w:val="18"/>
              <w:bidi w:val="0"/>
              <w:rPr>
                <w:rFonts w:hint="eastAsia"/>
                <w:lang w:eastAsia="zh-CN"/>
              </w:rPr>
            </w:pPr>
            <w:r>
              <w:rPr>
                <w:rFonts w:hint="eastAsia"/>
                <w:lang w:eastAsia="zh-CN"/>
              </w:rPr>
              <w:t>工资福利支出</w:t>
            </w:r>
          </w:p>
        </w:tc>
        <w:tc>
          <w:tcPr>
            <w:tcW w:w="1650" w:type="pct"/>
            <w:vAlign w:val="center"/>
          </w:tcPr>
          <w:p w14:paraId="5965615E">
            <w:pPr>
              <w:pStyle w:val="18"/>
              <w:bidi w:val="0"/>
              <w:rPr>
                <w:rFonts w:hint="eastAsia"/>
                <w:lang w:eastAsia="zh-CN"/>
              </w:rPr>
            </w:pPr>
            <w:r>
              <w:rPr>
                <w:rFonts w:hint="eastAsia"/>
                <w:lang w:eastAsia="zh-CN"/>
              </w:rPr>
              <w:t>-</w:t>
            </w:r>
          </w:p>
        </w:tc>
        <w:tc>
          <w:tcPr>
            <w:tcW w:w="1010" w:type="pct"/>
            <w:noWrap/>
            <w:vAlign w:val="center"/>
          </w:tcPr>
          <w:p w14:paraId="215533F5">
            <w:pPr>
              <w:pStyle w:val="18"/>
              <w:bidi w:val="0"/>
              <w:rPr>
                <w:rFonts w:hint="eastAsia"/>
                <w:lang w:eastAsia="zh-CN"/>
              </w:rPr>
            </w:pPr>
            <w:r>
              <w:rPr>
                <w:rFonts w:hint="eastAsia"/>
                <w:lang w:eastAsia="zh-CN"/>
              </w:rPr>
              <w:t>0.00%</w:t>
            </w:r>
          </w:p>
        </w:tc>
      </w:tr>
      <w:tr w14:paraId="645F9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340" w:type="pct"/>
            <w:vAlign w:val="center"/>
          </w:tcPr>
          <w:p w14:paraId="75432059">
            <w:pPr>
              <w:pStyle w:val="18"/>
              <w:bidi w:val="0"/>
              <w:rPr>
                <w:rFonts w:hint="eastAsia"/>
                <w:lang w:eastAsia="zh-CN"/>
              </w:rPr>
            </w:pPr>
            <w:r>
              <w:rPr>
                <w:rFonts w:hint="eastAsia"/>
                <w:lang w:eastAsia="zh-CN"/>
              </w:rPr>
              <w:t>商品和服务支出</w:t>
            </w:r>
          </w:p>
        </w:tc>
        <w:tc>
          <w:tcPr>
            <w:tcW w:w="1650" w:type="pct"/>
            <w:vAlign w:val="center"/>
          </w:tcPr>
          <w:p w14:paraId="2B3CE767">
            <w:pPr>
              <w:pStyle w:val="18"/>
              <w:bidi w:val="0"/>
              <w:rPr>
                <w:rFonts w:hint="eastAsia"/>
                <w:lang w:eastAsia="zh-CN"/>
              </w:rPr>
            </w:pPr>
            <w:r>
              <w:rPr>
                <w:rFonts w:hint="eastAsia"/>
                <w:lang w:eastAsia="zh-CN"/>
              </w:rPr>
              <w:t>205.13</w:t>
            </w:r>
          </w:p>
        </w:tc>
        <w:tc>
          <w:tcPr>
            <w:tcW w:w="1010" w:type="pct"/>
            <w:noWrap/>
            <w:vAlign w:val="center"/>
          </w:tcPr>
          <w:p w14:paraId="5A8611A4">
            <w:pPr>
              <w:pStyle w:val="18"/>
              <w:bidi w:val="0"/>
              <w:rPr>
                <w:rFonts w:hint="eastAsia"/>
                <w:lang w:eastAsia="zh-CN"/>
              </w:rPr>
            </w:pPr>
            <w:r>
              <w:rPr>
                <w:rFonts w:hint="eastAsia"/>
                <w:lang w:eastAsia="zh-CN"/>
              </w:rPr>
              <w:t>55.27%</w:t>
            </w:r>
          </w:p>
        </w:tc>
      </w:tr>
      <w:tr w14:paraId="584A0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340" w:type="pct"/>
            <w:noWrap/>
            <w:vAlign w:val="center"/>
          </w:tcPr>
          <w:p w14:paraId="41F33535">
            <w:pPr>
              <w:pStyle w:val="18"/>
              <w:bidi w:val="0"/>
              <w:rPr>
                <w:rFonts w:hint="eastAsia"/>
                <w:lang w:eastAsia="zh-CN"/>
              </w:rPr>
            </w:pPr>
            <w:r>
              <w:rPr>
                <w:rFonts w:hint="eastAsia"/>
                <w:lang w:eastAsia="zh-CN"/>
              </w:rPr>
              <w:t>对个人和家庭的补助</w:t>
            </w:r>
          </w:p>
        </w:tc>
        <w:tc>
          <w:tcPr>
            <w:tcW w:w="1650" w:type="pct"/>
            <w:noWrap/>
            <w:vAlign w:val="center"/>
          </w:tcPr>
          <w:p w14:paraId="2A4D1336">
            <w:pPr>
              <w:pStyle w:val="18"/>
              <w:bidi w:val="0"/>
              <w:rPr>
                <w:rFonts w:hint="eastAsia"/>
                <w:lang w:eastAsia="zh-CN"/>
              </w:rPr>
            </w:pPr>
            <w:r>
              <w:rPr>
                <w:rFonts w:hint="eastAsia"/>
                <w:lang w:eastAsia="zh-CN"/>
              </w:rPr>
              <w:t>-</w:t>
            </w:r>
          </w:p>
        </w:tc>
        <w:tc>
          <w:tcPr>
            <w:tcW w:w="1010" w:type="pct"/>
            <w:noWrap/>
            <w:vAlign w:val="center"/>
          </w:tcPr>
          <w:p w14:paraId="69E6DA1A">
            <w:pPr>
              <w:pStyle w:val="18"/>
              <w:bidi w:val="0"/>
              <w:rPr>
                <w:rFonts w:hint="eastAsia"/>
                <w:lang w:eastAsia="zh-CN"/>
              </w:rPr>
            </w:pPr>
            <w:r>
              <w:rPr>
                <w:rFonts w:hint="eastAsia"/>
                <w:lang w:eastAsia="zh-CN"/>
              </w:rPr>
              <w:t>0.00%</w:t>
            </w:r>
          </w:p>
        </w:tc>
      </w:tr>
      <w:tr w14:paraId="7C5805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340" w:type="pct"/>
            <w:noWrap/>
            <w:vAlign w:val="center"/>
          </w:tcPr>
          <w:p w14:paraId="2C3AFB55">
            <w:pPr>
              <w:pStyle w:val="18"/>
              <w:bidi w:val="0"/>
              <w:rPr>
                <w:rFonts w:hint="eastAsia"/>
                <w:lang w:eastAsia="zh-CN"/>
              </w:rPr>
            </w:pPr>
            <w:r>
              <w:rPr>
                <w:rFonts w:hint="eastAsia"/>
                <w:lang w:eastAsia="zh-CN"/>
              </w:rPr>
              <w:t>资本性支出</w:t>
            </w:r>
          </w:p>
        </w:tc>
        <w:tc>
          <w:tcPr>
            <w:tcW w:w="1650" w:type="pct"/>
            <w:noWrap/>
            <w:vAlign w:val="center"/>
          </w:tcPr>
          <w:p w14:paraId="6DC8C258">
            <w:pPr>
              <w:pStyle w:val="18"/>
              <w:bidi w:val="0"/>
              <w:rPr>
                <w:rFonts w:hint="eastAsia"/>
                <w:lang w:eastAsia="zh-CN"/>
              </w:rPr>
            </w:pPr>
            <w:r>
              <w:rPr>
                <w:rFonts w:hint="eastAsia"/>
                <w:lang w:eastAsia="zh-CN"/>
              </w:rPr>
              <w:t>51.83</w:t>
            </w:r>
          </w:p>
        </w:tc>
        <w:tc>
          <w:tcPr>
            <w:tcW w:w="1010" w:type="pct"/>
            <w:noWrap/>
            <w:vAlign w:val="center"/>
          </w:tcPr>
          <w:p w14:paraId="49D49B56">
            <w:pPr>
              <w:pStyle w:val="18"/>
              <w:bidi w:val="0"/>
              <w:rPr>
                <w:rFonts w:hint="eastAsia"/>
                <w:lang w:eastAsia="zh-CN"/>
              </w:rPr>
            </w:pPr>
            <w:r>
              <w:rPr>
                <w:rFonts w:hint="eastAsia"/>
                <w:lang w:eastAsia="zh-CN"/>
              </w:rPr>
              <w:t>13.97%</w:t>
            </w:r>
          </w:p>
        </w:tc>
      </w:tr>
      <w:tr w14:paraId="41A6E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340" w:type="pct"/>
            <w:noWrap/>
            <w:vAlign w:val="center"/>
          </w:tcPr>
          <w:p w14:paraId="57D19EF0">
            <w:pPr>
              <w:pStyle w:val="18"/>
              <w:bidi w:val="0"/>
              <w:rPr>
                <w:rFonts w:hint="eastAsia"/>
                <w:lang w:eastAsia="zh-CN"/>
              </w:rPr>
            </w:pPr>
            <w:r>
              <w:rPr>
                <w:rFonts w:hint="eastAsia"/>
                <w:lang w:eastAsia="zh-CN"/>
              </w:rPr>
              <w:t>对企业补助</w:t>
            </w:r>
          </w:p>
        </w:tc>
        <w:tc>
          <w:tcPr>
            <w:tcW w:w="1650" w:type="pct"/>
            <w:noWrap/>
            <w:vAlign w:val="center"/>
          </w:tcPr>
          <w:p w14:paraId="1FCB5034">
            <w:pPr>
              <w:pStyle w:val="18"/>
              <w:bidi w:val="0"/>
              <w:rPr>
                <w:rFonts w:hint="eastAsia"/>
                <w:lang w:eastAsia="zh-CN"/>
              </w:rPr>
            </w:pPr>
            <w:r>
              <w:rPr>
                <w:rFonts w:hint="eastAsia"/>
                <w:lang w:eastAsia="zh-CN"/>
              </w:rPr>
              <w:t>114.20</w:t>
            </w:r>
          </w:p>
        </w:tc>
        <w:tc>
          <w:tcPr>
            <w:tcW w:w="1010" w:type="pct"/>
            <w:noWrap/>
            <w:vAlign w:val="center"/>
          </w:tcPr>
          <w:p w14:paraId="55D0ADC3">
            <w:pPr>
              <w:pStyle w:val="18"/>
              <w:bidi w:val="0"/>
              <w:rPr>
                <w:rFonts w:hint="eastAsia"/>
                <w:lang w:eastAsia="zh-CN"/>
              </w:rPr>
            </w:pPr>
            <w:r>
              <w:rPr>
                <w:rFonts w:hint="eastAsia"/>
                <w:lang w:eastAsia="zh-CN"/>
              </w:rPr>
              <w:t>30.77%</w:t>
            </w:r>
          </w:p>
        </w:tc>
      </w:tr>
      <w:tr w14:paraId="19404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2340" w:type="pct"/>
            <w:noWrap/>
            <w:vAlign w:val="center"/>
          </w:tcPr>
          <w:p w14:paraId="3B110ADE">
            <w:pPr>
              <w:pStyle w:val="18"/>
              <w:bidi w:val="0"/>
              <w:rPr>
                <w:rFonts w:hint="eastAsia"/>
                <w:lang w:eastAsia="zh-CN"/>
              </w:rPr>
            </w:pPr>
            <w:r>
              <w:rPr>
                <w:rFonts w:hint="eastAsia"/>
                <w:lang w:eastAsia="zh-CN"/>
              </w:rPr>
              <w:t>合计</w:t>
            </w:r>
          </w:p>
        </w:tc>
        <w:tc>
          <w:tcPr>
            <w:tcW w:w="1650" w:type="pct"/>
            <w:noWrap/>
            <w:vAlign w:val="center"/>
          </w:tcPr>
          <w:p w14:paraId="17DAB866">
            <w:pPr>
              <w:pStyle w:val="18"/>
              <w:bidi w:val="0"/>
              <w:rPr>
                <w:rFonts w:hint="eastAsia"/>
                <w:lang w:eastAsia="zh-CN"/>
              </w:rPr>
            </w:pPr>
            <w:r>
              <w:rPr>
                <w:rFonts w:hint="eastAsia"/>
                <w:lang w:eastAsia="zh-CN"/>
              </w:rPr>
              <w:t>371.17</w:t>
            </w:r>
          </w:p>
        </w:tc>
        <w:tc>
          <w:tcPr>
            <w:tcW w:w="1010" w:type="pct"/>
            <w:noWrap/>
            <w:vAlign w:val="center"/>
          </w:tcPr>
          <w:p w14:paraId="3CE0DB0D">
            <w:pPr>
              <w:pStyle w:val="18"/>
              <w:bidi w:val="0"/>
              <w:rPr>
                <w:rFonts w:hint="eastAsia"/>
                <w:lang w:eastAsia="zh-CN"/>
              </w:rPr>
            </w:pPr>
            <w:r>
              <w:rPr>
                <w:rFonts w:hint="eastAsia"/>
                <w:lang w:eastAsia="zh-CN"/>
              </w:rPr>
              <w:t>100%</w:t>
            </w:r>
          </w:p>
        </w:tc>
      </w:tr>
    </w:tbl>
    <w:p w14:paraId="52A9D024">
      <w:pPr>
        <w:pStyle w:val="4"/>
        <w:bidi w:val="0"/>
        <w:rPr>
          <w:rFonts w:hint="eastAsia"/>
          <w:lang w:eastAsia="zh-CN"/>
        </w:rPr>
      </w:pPr>
      <w:bookmarkStart w:id="90" w:name="_Toc19018"/>
      <w:bookmarkStart w:id="91" w:name="_Toc181558003"/>
      <w:bookmarkStart w:id="92" w:name="_Toc217363499"/>
      <w:bookmarkStart w:id="93" w:name="_Toc10759"/>
      <w:bookmarkStart w:id="94" w:name="_Toc17107"/>
      <w:bookmarkStart w:id="95" w:name="_Toc10931"/>
      <w:r>
        <w:rPr>
          <w:rFonts w:hint="eastAsia"/>
          <w:lang w:eastAsia="zh-CN"/>
        </w:rPr>
        <w:t>3.“三公”经费的使用和管理情况</w:t>
      </w:r>
      <w:bookmarkEnd w:id="90"/>
      <w:bookmarkEnd w:id="91"/>
      <w:bookmarkEnd w:id="92"/>
      <w:bookmarkEnd w:id="93"/>
      <w:bookmarkEnd w:id="94"/>
    </w:p>
    <w:p w14:paraId="57A2E3E5">
      <w:pPr>
        <w:bidi w:val="0"/>
        <w:rPr>
          <w:rFonts w:hint="eastAsia"/>
          <w:lang w:eastAsia="zh-CN"/>
        </w:rPr>
      </w:pPr>
      <w:r>
        <w:rPr>
          <w:rFonts w:hint="eastAsia"/>
          <w:lang w:eastAsia="zh-CN"/>
        </w:rPr>
        <w:t>2024年度泉州市洛江区市场监督管理局一般公共预算财政拨款“三公”经费、“公用经费”“政府采购支出”情况如下表7所示。</w:t>
      </w:r>
    </w:p>
    <w:p w14:paraId="1F0DBAD6">
      <w:pPr>
        <w:pStyle w:val="17"/>
        <w:bidi w:val="0"/>
        <w:rPr>
          <w:rFonts w:hint="eastAsia"/>
          <w:sz w:val="24"/>
          <w:szCs w:val="22"/>
          <w:lang w:eastAsia="zh-CN"/>
        </w:rPr>
      </w:pPr>
      <w:r>
        <w:rPr>
          <w:rFonts w:hint="eastAsia"/>
          <w:sz w:val="24"/>
          <w:szCs w:val="22"/>
          <w:lang w:eastAsia="zh-CN"/>
        </w:rPr>
        <w:t>表7  2024年泉州市洛江区市场监督管理局“三公”经费、公用经费、政府采购支出表</w:t>
      </w:r>
      <w:bookmarkEnd w:id="95"/>
    </w:p>
    <w:p w14:paraId="6CC553C5">
      <w:pPr>
        <w:widowControl w:val="0"/>
        <w:tabs>
          <w:tab w:val="left" w:pos="8400"/>
        </w:tabs>
        <w:overflowPunct w:val="0"/>
        <w:spacing w:line="240" w:lineRule="auto"/>
        <w:ind w:right="238" w:firstLine="556"/>
        <w:jc w:val="right"/>
        <w:rPr>
          <w:rFonts w:hint="eastAsia" w:ascii="仿宋" w:hAnsi="仿宋" w:eastAsia="仿宋"/>
          <w:bCs/>
          <w:color w:val="auto"/>
          <w:sz w:val="24"/>
        </w:rPr>
      </w:pPr>
      <w:r>
        <w:rPr>
          <w:rFonts w:hint="eastAsia" w:ascii="仿宋" w:hAnsi="仿宋" w:eastAsia="仿宋" w:cs="仿宋"/>
          <w:bCs/>
          <w:color w:val="333333"/>
          <w:spacing w:val="-2"/>
          <w:sz w:val="24"/>
          <w:lang w:eastAsia="zh-CN"/>
          <w14:textOutline w14:w="5105" w14:cap="sq" w14:cmpd="sng" w14:algn="ctr">
            <w14:solidFill>
              <w14:srgbClr w14:val="333333"/>
            </w14:solidFill>
            <w14:prstDash w14:val="solid"/>
            <w14:bevel/>
          </w14:textOutline>
        </w:rPr>
        <w:t>单位：万元</w:t>
      </w:r>
    </w:p>
    <w:tbl>
      <w:tblPr>
        <w:tblStyle w:val="14"/>
        <w:tblW w:w="488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48"/>
        <w:gridCol w:w="2723"/>
        <w:gridCol w:w="2557"/>
      </w:tblGrid>
      <w:tr w14:paraId="65A15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trPr>
        <w:tc>
          <w:tcPr>
            <w:tcW w:w="1830" w:type="pct"/>
            <w:shd w:val="clear" w:color="auto" w:fill="D8D8D8" w:themeFill="background1" w:themeFillShade="D9"/>
            <w:vAlign w:val="center"/>
          </w:tcPr>
          <w:p w14:paraId="692B96F6">
            <w:pPr>
              <w:pStyle w:val="18"/>
              <w:bidi w:val="0"/>
              <w:rPr>
                <w:rFonts w:hint="eastAsia"/>
                <w:b/>
                <w:bCs/>
                <w:lang w:eastAsia="zh-CN"/>
              </w:rPr>
            </w:pPr>
            <w:r>
              <w:rPr>
                <w:rFonts w:hint="eastAsia"/>
                <w:b/>
                <w:bCs/>
                <w:lang w:eastAsia="zh-CN"/>
              </w:rPr>
              <w:t>项目</w:t>
            </w:r>
          </w:p>
        </w:tc>
        <w:tc>
          <w:tcPr>
            <w:tcW w:w="1635" w:type="pct"/>
            <w:shd w:val="clear" w:color="auto" w:fill="D8D8D8" w:themeFill="background1" w:themeFillShade="D9"/>
            <w:vAlign w:val="center"/>
          </w:tcPr>
          <w:p w14:paraId="484B58DF">
            <w:pPr>
              <w:pStyle w:val="18"/>
              <w:bidi w:val="0"/>
              <w:rPr>
                <w:rFonts w:hint="eastAsia"/>
                <w:b/>
                <w:bCs/>
                <w:lang w:eastAsia="zh-CN"/>
              </w:rPr>
            </w:pPr>
            <w:r>
              <w:rPr>
                <w:rFonts w:hint="eastAsia"/>
                <w:b/>
                <w:bCs/>
                <w:lang w:eastAsia="zh-CN"/>
              </w:rPr>
              <w:t>2024年预算数</w:t>
            </w:r>
          </w:p>
        </w:tc>
        <w:tc>
          <w:tcPr>
            <w:tcW w:w="1535" w:type="pct"/>
            <w:shd w:val="clear" w:color="auto" w:fill="D8D8D8" w:themeFill="background1" w:themeFillShade="D9"/>
            <w:vAlign w:val="center"/>
          </w:tcPr>
          <w:p w14:paraId="0D9D465F">
            <w:pPr>
              <w:pStyle w:val="18"/>
              <w:bidi w:val="0"/>
              <w:rPr>
                <w:rFonts w:hint="eastAsia"/>
                <w:b/>
                <w:bCs/>
                <w:lang w:eastAsia="zh-CN"/>
              </w:rPr>
            </w:pPr>
            <w:r>
              <w:rPr>
                <w:rFonts w:hint="eastAsia"/>
                <w:b/>
                <w:bCs/>
                <w:lang w:eastAsia="zh-CN"/>
              </w:rPr>
              <w:t>2024年实际支出数</w:t>
            </w:r>
          </w:p>
        </w:tc>
      </w:tr>
      <w:tr w14:paraId="11877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1830" w:type="pct"/>
            <w:vAlign w:val="center"/>
          </w:tcPr>
          <w:p w14:paraId="79CACE26">
            <w:pPr>
              <w:pStyle w:val="18"/>
              <w:bidi w:val="0"/>
              <w:rPr>
                <w:rFonts w:hint="eastAsia"/>
                <w:lang w:eastAsia="zh-CN"/>
              </w:rPr>
            </w:pPr>
            <w:r>
              <w:rPr>
                <w:rFonts w:hint="eastAsia"/>
                <w:lang w:eastAsia="zh-CN"/>
              </w:rPr>
              <w:t>“三公”经费支出</w:t>
            </w:r>
          </w:p>
        </w:tc>
        <w:tc>
          <w:tcPr>
            <w:tcW w:w="1635" w:type="pct"/>
            <w:vAlign w:val="center"/>
          </w:tcPr>
          <w:p w14:paraId="7453859B">
            <w:pPr>
              <w:pStyle w:val="18"/>
              <w:bidi w:val="0"/>
              <w:rPr>
                <w:rFonts w:hint="eastAsia"/>
                <w:lang w:eastAsia="zh-CN"/>
              </w:rPr>
            </w:pPr>
            <w:r>
              <w:rPr>
                <w:rFonts w:hint="eastAsia"/>
                <w:lang w:eastAsia="zh-CN"/>
              </w:rPr>
              <w:t>12.09</w:t>
            </w:r>
          </w:p>
        </w:tc>
        <w:tc>
          <w:tcPr>
            <w:tcW w:w="1535" w:type="pct"/>
            <w:vAlign w:val="center"/>
          </w:tcPr>
          <w:p w14:paraId="43398A9D">
            <w:pPr>
              <w:pStyle w:val="18"/>
              <w:bidi w:val="0"/>
              <w:rPr>
                <w:rFonts w:hint="eastAsia"/>
                <w:lang w:eastAsia="zh-CN"/>
              </w:rPr>
            </w:pPr>
            <w:r>
              <w:rPr>
                <w:rFonts w:hint="eastAsia"/>
                <w:lang w:eastAsia="zh-CN"/>
              </w:rPr>
              <w:t>9.68</w:t>
            </w:r>
          </w:p>
        </w:tc>
      </w:tr>
      <w:tr w14:paraId="13F60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1830" w:type="pct"/>
            <w:vAlign w:val="center"/>
          </w:tcPr>
          <w:p w14:paraId="1475B6EA">
            <w:pPr>
              <w:pStyle w:val="18"/>
              <w:bidi w:val="0"/>
              <w:rPr>
                <w:rFonts w:hint="eastAsia"/>
                <w:lang w:eastAsia="zh-CN"/>
              </w:rPr>
            </w:pPr>
            <w:r>
              <w:rPr>
                <w:rFonts w:hint="eastAsia"/>
                <w:lang w:eastAsia="zh-CN"/>
              </w:rPr>
              <w:t>公用经费支出</w:t>
            </w:r>
          </w:p>
        </w:tc>
        <w:tc>
          <w:tcPr>
            <w:tcW w:w="1635" w:type="pct"/>
            <w:vAlign w:val="center"/>
          </w:tcPr>
          <w:p w14:paraId="02F6F49F">
            <w:pPr>
              <w:pStyle w:val="18"/>
              <w:bidi w:val="0"/>
              <w:rPr>
                <w:rFonts w:hint="eastAsia"/>
                <w:lang w:eastAsia="zh-CN"/>
              </w:rPr>
            </w:pPr>
            <w:r>
              <w:rPr>
                <w:rFonts w:hint="eastAsia"/>
                <w:lang w:eastAsia="zh-CN"/>
              </w:rPr>
              <w:t>175.27</w:t>
            </w:r>
          </w:p>
        </w:tc>
        <w:tc>
          <w:tcPr>
            <w:tcW w:w="1535" w:type="pct"/>
            <w:vAlign w:val="center"/>
          </w:tcPr>
          <w:p w14:paraId="5713216C">
            <w:pPr>
              <w:pStyle w:val="18"/>
              <w:bidi w:val="0"/>
              <w:rPr>
                <w:rFonts w:hint="eastAsia"/>
                <w:lang w:eastAsia="zh-CN"/>
              </w:rPr>
            </w:pPr>
            <w:r>
              <w:rPr>
                <w:rFonts w:hint="eastAsia"/>
                <w:lang w:eastAsia="zh-CN"/>
              </w:rPr>
              <w:t>161.57</w:t>
            </w:r>
          </w:p>
        </w:tc>
      </w:tr>
      <w:tr w14:paraId="5681B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1830" w:type="pct"/>
            <w:vAlign w:val="center"/>
          </w:tcPr>
          <w:p w14:paraId="60487018">
            <w:pPr>
              <w:pStyle w:val="18"/>
              <w:bidi w:val="0"/>
              <w:rPr>
                <w:rFonts w:hint="eastAsia"/>
                <w:lang w:eastAsia="zh-CN"/>
              </w:rPr>
            </w:pPr>
            <w:r>
              <w:rPr>
                <w:rFonts w:hint="eastAsia"/>
                <w:lang w:eastAsia="zh-CN"/>
              </w:rPr>
              <w:t>政府采购支出</w:t>
            </w:r>
          </w:p>
        </w:tc>
        <w:tc>
          <w:tcPr>
            <w:tcW w:w="1635" w:type="pct"/>
            <w:vAlign w:val="center"/>
          </w:tcPr>
          <w:p w14:paraId="56012986">
            <w:pPr>
              <w:pStyle w:val="18"/>
              <w:bidi w:val="0"/>
              <w:rPr>
                <w:rFonts w:hint="eastAsia"/>
                <w:lang w:eastAsia="zh-CN"/>
              </w:rPr>
            </w:pPr>
            <w:r>
              <w:rPr>
                <w:rFonts w:hint="eastAsia"/>
                <w:lang w:eastAsia="zh-CN"/>
              </w:rPr>
              <w:t>-</w:t>
            </w:r>
          </w:p>
        </w:tc>
        <w:tc>
          <w:tcPr>
            <w:tcW w:w="1535" w:type="pct"/>
            <w:vAlign w:val="center"/>
          </w:tcPr>
          <w:p w14:paraId="05A2ED99">
            <w:pPr>
              <w:pStyle w:val="18"/>
              <w:bidi w:val="0"/>
              <w:rPr>
                <w:rFonts w:hint="eastAsia"/>
                <w:lang w:eastAsia="zh-CN"/>
              </w:rPr>
            </w:pPr>
            <w:r>
              <w:rPr>
                <w:rFonts w:hint="eastAsia"/>
                <w:lang w:eastAsia="zh-CN"/>
              </w:rPr>
              <w:t>187.67</w:t>
            </w:r>
          </w:p>
        </w:tc>
      </w:tr>
    </w:tbl>
    <w:p w14:paraId="49C8C340">
      <w:pPr>
        <w:pStyle w:val="3"/>
        <w:bidi w:val="0"/>
        <w:rPr>
          <w:rFonts w:hint="eastAsia"/>
          <w:lang w:eastAsia="zh-CN"/>
        </w:rPr>
      </w:pPr>
      <w:bookmarkStart w:id="96" w:name="_Toc181558004"/>
      <w:bookmarkStart w:id="97" w:name="_Toc217363500"/>
      <w:bookmarkStart w:id="98" w:name="_Toc19201"/>
      <w:bookmarkStart w:id="99" w:name="_Toc13060"/>
      <w:r>
        <w:rPr>
          <w:rFonts w:hint="eastAsia"/>
          <w:lang w:eastAsia="zh-CN"/>
        </w:rPr>
        <w:t>三、部门年度总体目标</w:t>
      </w:r>
      <w:bookmarkEnd w:id="96"/>
      <w:bookmarkEnd w:id="97"/>
      <w:bookmarkEnd w:id="98"/>
      <w:bookmarkEnd w:id="99"/>
    </w:p>
    <w:p w14:paraId="35F74BC3">
      <w:pPr>
        <w:pStyle w:val="4"/>
        <w:bidi w:val="0"/>
        <w:rPr>
          <w:rFonts w:hint="eastAsia"/>
          <w:lang w:eastAsia="zh-CN"/>
        </w:rPr>
      </w:pPr>
      <w:bookmarkStart w:id="100" w:name="_Toc181558005"/>
      <w:bookmarkStart w:id="101" w:name="_Toc12274"/>
      <w:bookmarkStart w:id="102" w:name="_Toc15554"/>
      <w:bookmarkStart w:id="103" w:name="_Toc28947"/>
      <w:r>
        <w:rPr>
          <w:rFonts w:hint="eastAsia"/>
          <w:lang w:eastAsia="zh-CN"/>
        </w:rPr>
        <w:t>（1）部门年度目标</w:t>
      </w:r>
      <w:bookmarkEnd w:id="100"/>
      <w:bookmarkEnd w:id="101"/>
      <w:bookmarkEnd w:id="102"/>
    </w:p>
    <w:p w14:paraId="6B2245B0">
      <w:pPr>
        <w:bidi w:val="0"/>
        <w:rPr>
          <w:rFonts w:hint="eastAsia"/>
          <w:lang w:eastAsia="zh-CN"/>
        </w:rPr>
      </w:pPr>
      <w:r>
        <w:rPr>
          <w:lang w:eastAsia="zh-CN"/>
        </w:rPr>
        <w:t>2024</w:t>
      </w:r>
      <w:r>
        <w:rPr>
          <w:rFonts w:hint="eastAsia"/>
          <w:lang w:eastAsia="zh-CN"/>
        </w:rPr>
        <w:t>年泉州市洛江区市场监督管理局部门整体工作目标围绕</w:t>
      </w:r>
      <w:r>
        <w:rPr>
          <w:lang w:eastAsia="zh-CN"/>
        </w:rPr>
        <w:t>“</w:t>
      </w:r>
      <w:r>
        <w:rPr>
          <w:rFonts w:hint="eastAsia"/>
          <w:lang w:eastAsia="zh-CN"/>
        </w:rPr>
        <w:t>打造智造洛江、生态新城”为核心抓手，聚焦高质量发展主线，统筹推进营商环境优化、质量强区建设、市场秩序规范与民生安全保障。在营商环境优化方面，持续深化</w:t>
      </w:r>
      <w:r>
        <w:rPr>
          <w:lang w:eastAsia="zh-CN"/>
        </w:rPr>
        <w:t>“</w:t>
      </w:r>
      <w:r>
        <w:rPr>
          <w:rFonts w:hint="eastAsia"/>
          <w:lang w:eastAsia="zh-CN"/>
        </w:rPr>
        <w:t>放管服”改革，扩展</w:t>
      </w:r>
      <w:r>
        <w:rPr>
          <w:lang w:eastAsia="zh-CN"/>
        </w:rPr>
        <w:t>“</w:t>
      </w:r>
      <w:r>
        <w:rPr>
          <w:rFonts w:hint="eastAsia"/>
          <w:lang w:eastAsia="zh-CN"/>
        </w:rPr>
        <w:t>证照合办”“多证合一”覆盖范围，开设重点项目绿色通道，推行</w:t>
      </w:r>
      <w:r>
        <w:rPr>
          <w:lang w:eastAsia="zh-CN"/>
        </w:rPr>
        <w:t>“</w:t>
      </w:r>
      <w:r>
        <w:rPr>
          <w:rFonts w:hint="eastAsia"/>
          <w:lang w:eastAsia="zh-CN"/>
        </w:rPr>
        <w:t>容缺预审”“直通直达”服务，通过动产抵押、商标质押等方式拓宽企业融资渠道，包容审慎支持新业态发展，降低市场准入门槛，激发市场主体活力。质量强区建设上，深入落实《质量强国建设纲要》，以标准化战略为支点，鼓励企业参与国家、行业标准制修订，培育标准创新试点企业；实施品牌培育工程，推广卓越绩效模式，助力企业冲击政府质量奖，推动产业链供应链质量协同赋能，设立</w:t>
      </w:r>
      <w:r>
        <w:rPr>
          <w:lang w:eastAsia="zh-CN"/>
        </w:rPr>
        <w:t>“</w:t>
      </w:r>
      <w:r>
        <w:rPr>
          <w:rFonts w:hint="eastAsia"/>
          <w:lang w:eastAsia="zh-CN"/>
        </w:rPr>
        <w:t>一站式”检测服务点，针对性开展行业技术帮扶。市场监管领域，夯实</w:t>
      </w:r>
      <w:r>
        <w:rPr>
          <w:lang w:eastAsia="zh-CN"/>
        </w:rPr>
        <w:t>“</w:t>
      </w:r>
      <w:r>
        <w:rPr>
          <w:rFonts w:hint="eastAsia"/>
          <w:lang w:eastAsia="zh-CN"/>
        </w:rPr>
        <w:t>双随机、一公开”常态化机制，落实信用风险分类差异化监管，确保企业抽查比例不低于</w:t>
      </w:r>
      <w:r>
        <w:rPr>
          <w:lang w:eastAsia="zh-CN"/>
        </w:rPr>
        <w:t>3.5%</w:t>
      </w:r>
      <w:r>
        <w:rPr>
          <w:rFonts w:hint="eastAsia"/>
          <w:lang w:eastAsia="zh-CN"/>
        </w:rPr>
        <w:t>，抽查任务完成率、结果公示率及问题处置率均达到</w:t>
      </w:r>
      <w:r>
        <w:rPr>
          <w:lang w:eastAsia="zh-CN"/>
        </w:rPr>
        <w:t>100%</w:t>
      </w:r>
      <w:r>
        <w:rPr>
          <w:rFonts w:hint="eastAsia"/>
          <w:lang w:eastAsia="zh-CN"/>
        </w:rPr>
        <w:t>；严守食品、药品、特种设备、工业产品</w:t>
      </w:r>
      <w:r>
        <w:rPr>
          <w:lang w:eastAsia="zh-CN"/>
        </w:rPr>
        <w:t>“</w:t>
      </w:r>
      <w:r>
        <w:rPr>
          <w:rFonts w:hint="eastAsia"/>
          <w:lang w:eastAsia="zh-CN"/>
        </w:rPr>
        <w:t>四大安全”底线，完成食品抽检、快速检测，强化特种设备动态监管与不良反应监测，筑牢民生安全屏障。同时，加强知识产权全链条保护，新增国家知识产权示范企业、优势企业及省级优势企业多家，推动专利授权量稳步增长；推进监所</w:t>
      </w:r>
      <w:r>
        <w:rPr>
          <w:lang w:eastAsia="zh-CN"/>
        </w:rPr>
        <w:t>“</w:t>
      </w:r>
      <w:r>
        <w:rPr>
          <w:rFonts w:hint="eastAsia"/>
          <w:lang w:eastAsia="zh-CN"/>
        </w:rPr>
        <w:t>两化”建设与队伍规范化建设，打造市场监管铁军，通过多元举措构建公平有序的市场环境，为全国统一大市场建设与区域经济社会高质量发展提供坚实保障。</w:t>
      </w:r>
    </w:p>
    <w:p w14:paraId="1CD86694">
      <w:pPr>
        <w:pStyle w:val="4"/>
        <w:bidi w:val="0"/>
        <w:rPr>
          <w:rFonts w:hint="eastAsia"/>
          <w:lang w:eastAsia="zh-CN"/>
        </w:rPr>
      </w:pPr>
      <w:bookmarkStart w:id="104" w:name="_Toc181558006"/>
      <w:bookmarkStart w:id="105" w:name="_Toc7923"/>
      <w:bookmarkStart w:id="106" w:name="_Toc21960"/>
      <w:r>
        <w:rPr>
          <w:rFonts w:hint="eastAsia"/>
          <w:lang w:eastAsia="zh-CN"/>
        </w:rPr>
        <w:t>（2）具体绩效目标</w:t>
      </w:r>
      <w:bookmarkEnd w:id="104"/>
      <w:bookmarkEnd w:id="105"/>
      <w:bookmarkEnd w:id="106"/>
    </w:p>
    <w:p w14:paraId="34E3F623">
      <w:pPr>
        <w:pStyle w:val="17"/>
        <w:bidi w:val="0"/>
        <w:rPr>
          <w:rFonts w:hint="eastAsia"/>
          <w:lang w:eastAsia="zh-CN"/>
        </w:rPr>
      </w:pPr>
      <w:r>
        <w:rPr>
          <w:rFonts w:hint="eastAsia"/>
          <w:lang w:eastAsia="zh-CN"/>
        </w:rPr>
        <w:t xml:space="preserve">表8  </w:t>
      </w:r>
      <w:r>
        <w:rPr>
          <w:lang w:eastAsia="zh-CN"/>
        </w:rPr>
        <w:t>202</w:t>
      </w:r>
      <w:r>
        <w:rPr>
          <w:rFonts w:hint="eastAsia"/>
          <w:lang w:eastAsia="zh-CN"/>
        </w:rPr>
        <w:t>4年度泉州市洛江区市场监督管理局部门整体绩效目标表</w:t>
      </w:r>
    </w:p>
    <w:tbl>
      <w:tblPr>
        <w:tblStyle w:val="14"/>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822"/>
        <w:gridCol w:w="2911"/>
        <w:gridCol w:w="2129"/>
      </w:tblGrid>
      <w:tr w14:paraId="16F604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74" w:type="pct"/>
            <w:shd w:val="clear" w:color="auto" w:fill="D8D8D8" w:themeFill="background1" w:themeFillShade="D9"/>
            <w:vAlign w:val="center"/>
          </w:tcPr>
          <w:p w14:paraId="2866634D">
            <w:pPr>
              <w:pStyle w:val="18"/>
              <w:bidi w:val="0"/>
              <w:rPr>
                <w:rFonts w:hint="eastAsia"/>
                <w:b/>
                <w:bCs/>
                <w:lang w:eastAsia="zh-CN"/>
              </w:rPr>
            </w:pPr>
            <w:r>
              <w:rPr>
                <w:rFonts w:hint="eastAsia"/>
                <w:b/>
                <w:bCs/>
                <w:lang w:eastAsia="zh-CN"/>
              </w:rPr>
              <w:t>一级指标</w:t>
            </w:r>
          </w:p>
        </w:tc>
        <w:tc>
          <w:tcPr>
            <w:tcW w:w="1069" w:type="pct"/>
            <w:shd w:val="clear" w:color="auto" w:fill="D8D8D8" w:themeFill="background1" w:themeFillShade="D9"/>
            <w:vAlign w:val="center"/>
          </w:tcPr>
          <w:p w14:paraId="7AFC387E">
            <w:pPr>
              <w:pStyle w:val="18"/>
              <w:bidi w:val="0"/>
              <w:rPr>
                <w:rFonts w:hint="eastAsia"/>
                <w:b/>
                <w:bCs/>
                <w:lang w:eastAsia="zh-CN"/>
              </w:rPr>
            </w:pPr>
            <w:r>
              <w:rPr>
                <w:rFonts w:hint="eastAsia"/>
                <w:b/>
                <w:bCs/>
                <w:lang w:eastAsia="zh-CN"/>
              </w:rPr>
              <w:t>二级指标</w:t>
            </w:r>
          </w:p>
        </w:tc>
        <w:tc>
          <w:tcPr>
            <w:tcW w:w="1708" w:type="pct"/>
            <w:shd w:val="clear" w:color="auto" w:fill="D8D8D8" w:themeFill="background1" w:themeFillShade="D9"/>
            <w:vAlign w:val="center"/>
          </w:tcPr>
          <w:p w14:paraId="39102A77">
            <w:pPr>
              <w:pStyle w:val="18"/>
              <w:bidi w:val="0"/>
              <w:rPr>
                <w:rFonts w:hint="eastAsia"/>
                <w:b/>
                <w:bCs/>
                <w:lang w:eastAsia="zh-CN"/>
              </w:rPr>
            </w:pPr>
            <w:r>
              <w:rPr>
                <w:rFonts w:hint="eastAsia"/>
                <w:b/>
                <w:bCs/>
                <w:lang w:eastAsia="zh-CN"/>
              </w:rPr>
              <w:t>三级指标</w:t>
            </w:r>
          </w:p>
        </w:tc>
        <w:tc>
          <w:tcPr>
            <w:tcW w:w="1249" w:type="pct"/>
            <w:shd w:val="clear" w:color="auto" w:fill="D8D8D8" w:themeFill="background1" w:themeFillShade="D9"/>
            <w:vAlign w:val="center"/>
          </w:tcPr>
          <w:p w14:paraId="3C39F843">
            <w:pPr>
              <w:pStyle w:val="18"/>
              <w:bidi w:val="0"/>
              <w:rPr>
                <w:rFonts w:hint="eastAsia"/>
                <w:b/>
                <w:bCs/>
                <w:lang w:eastAsia="zh-CN"/>
              </w:rPr>
            </w:pPr>
            <w:r>
              <w:rPr>
                <w:rFonts w:hint="eastAsia"/>
                <w:b/>
                <w:bCs/>
                <w:lang w:eastAsia="zh-CN"/>
              </w:rPr>
              <w:t>年度指标值</w:t>
            </w:r>
          </w:p>
        </w:tc>
      </w:tr>
      <w:tr w14:paraId="5F7C4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74" w:type="pct"/>
            <w:vAlign w:val="center"/>
          </w:tcPr>
          <w:p w14:paraId="7722D382">
            <w:pPr>
              <w:pStyle w:val="18"/>
              <w:bidi w:val="0"/>
              <w:rPr>
                <w:rFonts w:hint="eastAsia"/>
                <w:lang w:eastAsia="zh-CN"/>
              </w:rPr>
            </w:pPr>
            <w:r>
              <w:rPr>
                <w:rFonts w:hint="eastAsia"/>
                <w:lang w:eastAsia="zh-CN"/>
              </w:rPr>
              <w:t>一般性支出情况</w:t>
            </w:r>
          </w:p>
        </w:tc>
        <w:tc>
          <w:tcPr>
            <w:tcW w:w="1069" w:type="pct"/>
            <w:vAlign w:val="center"/>
          </w:tcPr>
          <w:p w14:paraId="0E19146C">
            <w:pPr>
              <w:pStyle w:val="18"/>
              <w:bidi w:val="0"/>
              <w:rPr>
                <w:rFonts w:hint="eastAsia"/>
                <w:lang w:eastAsia="zh-CN"/>
              </w:rPr>
            </w:pPr>
            <w:r>
              <w:rPr>
                <w:rFonts w:hint="eastAsia"/>
                <w:lang w:eastAsia="zh-CN"/>
              </w:rPr>
              <w:t>一般性支出情况</w:t>
            </w:r>
          </w:p>
        </w:tc>
        <w:tc>
          <w:tcPr>
            <w:tcW w:w="1708" w:type="pct"/>
            <w:vAlign w:val="center"/>
          </w:tcPr>
          <w:p w14:paraId="73311FD0">
            <w:pPr>
              <w:pStyle w:val="18"/>
              <w:bidi w:val="0"/>
              <w:rPr>
                <w:rFonts w:hint="eastAsia"/>
                <w:lang w:eastAsia="zh-CN"/>
              </w:rPr>
            </w:pPr>
            <w:r>
              <w:rPr>
                <w:rFonts w:hint="eastAsia"/>
                <w:lang w:eastAsia="zh-CN"/>
              </w:rPr>
              <w:t>“三公</w:t>
            </w:r>
            <w:r>
              <w:rPr>
                <w:lang w:eastAsia="zh-CN"/>
              </w:rPr>
              <w:t>”</w:t>
            </w:r>
            <w:r>
              <w:rPr>
                <w:rFonts w:hint="eastAsia"/>
                <w:lang w:eastAsia="zh-CN"/>
              </w:rPr>
              <w:t>经费控制率</w:t>
            </w:r>
          </w:p>
        </w:tc>
        <w:tc>
          <w:tcPr>
            <w:tcW w:w="1249" w:type="pct"/>
            <w:vAlign w:val="center"/>
          </w:tcPr>
          <w:p w14:paraId="3E9E71B0">
            <w:pPr>
              <w:pStyle w:val="18"/>
              <w:bidi w:val="0"/>
              <w:rPr>
                <w:rFonts w:hint="eastAsia"/>
                <w:lang w:eastAsia="zh-CN"/>
              </w:rPr>
            </w:pPr>
            <w:r>
              <w:rPr>
                <w:rFonts w:hint="eastAsia"/>
                <w:lang w:eastAsia="zh-CN"/>
              </w:rPr>
              <w:t>≤100%</w:t>
            </w:r>
          </w:p>
        </w:tc>
      </w:tr>
      <w:tr w14:paraId="1014E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74" w:type="pct"/>
            <w:vAlign w:val="center"/>
          </w:tcPr>
          <w:p w14:paraId="3CFC1A3E">
            <w:pPr>
              <w:pStyle w:val="18"/>
              <w:bidi w:val="0"/>
              <w:rPr>
                <w:rFonts w:hint="eastAsia"/>
                <w:lang w:eastAsia="zh-CN"/>
              </w:rPr>
            </w:pPr>
            <w:r>
              <w:rPr>
                <w:rFonts w:hint="eastAsia"/>
                <w:lang w:eastAsia="zh-CN"/>
              </w:rPr>
              <w:t>一般性支出情况</w:t>
            </w:r>
          </w:p>
        </w:tc>
        <w:tc>
          <w:tcPr>
            <w:tcW w:w="1069" w:type="pct"/>
            <w:vAlign w:val="center"/>
          </w:tcPr>
          <w:p w14:paraId="2E87911E">
            <w:pPr>
              <w:pStyle w:val="18"/>
              <w:bidi w:val="0"/>
              <w:rPr>
                <w:rFonts w:hint="eastAsia"/>
                <w:lang w:eastAsia="zh-CN"/>
              </w:rPr>
            </w:pPr>
            <w:r>
              <w:rPr>
                <w:rFonts w:hint="eastAsia"/>
                <w:lang w:eastAsia="zh-CN"/>
              </w:rPr>
              <w:t>一般性支出情况</w:t>
            </w:r>
          </w:p>
        </w:tc>
        <w:tc>
          <w:tcPr>
            <w:tcW w:w="1708" w:type="pct"/>
            <w:vAlign w:val="center"/>
          </w:tcPr>
          <w:p w14:paraId="21D70883">
            <w:pPr>
              <w:pStyle w:val="18"/>
              <w:bidi w:val="0"/>
              <w:rPr>
                <w:rFonts w:hint="eastAsia"/>
                <w:lang w:eastAsia="zh-CN"/>
              </w:rPr>
            </w:pPr>
            <w:r>
              <w:rPr>
                <w:rFonts w:hint="eastAsia"/>
                <w:lang w:eastAsia="zh-CN"/>
              </w:rPr>
              <w:t>“三公</w:t>
            </w:r>
            <w:r>
              <w:rPr>
                <w:lang w:eastAsia="zh-CN"/>
              </w:rPr>
              <w:t>”</w:t>
            </w:r>
            <w:r>
              <w:rPr>
                <w:rFonts w:hint="eastAsia"/>
                <w:lang w:eastAsia="zh-CN"/>
              </w:rPr>
              <w:t>经费违规使用次数</w:t>
            </w:r>
          </w:p>
        </w:tc>
        <w:tc>
          <w:tcPr>
            <w:tcW w:w="1249" w:type="pct"/>
            <w:vAlign w:val="center"/>
          </w:tcPr>
          <w:p w14:paraId="516E508C">
            <w:pPr>
              <w:pStyle w:val="18"/>
              <w:bidi w:val="0"/>
              <w:rPr>
                <w:rFonts w:hint="eastAsia"/>
                <w:lang w:eastAsia="zh-CN"/>
              </w:rPr>
            </w:pPr>
            <w:r>
              <w:rPr>
                <w:rFonts w:hint="eastAsia"/>
                <w:lang w:eastAsia="zh-CN"/>
              </w:rPr>
              <w:t>≤0次</w:t>
            </w:r>
          </w:p>
        </w:tc>
      </w:tr>
      <w:tr w14:paraId="781CF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74" w:type="pct"/>
            <w:vAlign w:val="center"/>
          </w:tcPr>
          <w:p w14:paraId="0CAA97CC">
            <w:pPr>
              <w:pStyle w:val="18"/>
              <w:bidi w:val="0"/>
              <w:rPr>
                <w:rFonts w:hint="eastAsia"/>
                <w:lang w:eastAsia="zh-CN"/>
              </w:rPr>
            </w:pPr>
            <w:r>
              <w:rPr>
                <w:rFonts w:hint="eastAsia"/>
                <w:lang w:eastAsia="zh-CN"/>
              </w:rPr>
              <w:t>一般性支出情况</w:t>
            </w:r>
          </w:p>
        </w:tc>
        <w:tc>
          <w:tcPr>
            <w:tcW w:w="1069" w:type="pct"/>
            <w:vAlign w:val="center"/>
          </w:tcPr>
          <w:p w14:paraId="078E29A8">
            <w:pPr>
              <w:pStyle w:val="18"/>
              <w:bidi w:val="0"/>
              <w:rPr>
                <w:rFonts w:hint="eastAsia"/>
                <w:lang w:eastAsia="zh-CN"/>
              </w:rPr>
            </w:pPr>
            <w:r>
              <w:rPr>
                <w:rFonts w:hint="eastAsia"/>
                <w:lang w:eastAsia="zh-CN"/>
              </w:rPr>
              <w:t>一般性支出情况</w:t>
            </w:r>
          </w:p>
        </w:tc>
        <w:tc>
          <w:tcPr>
            <w:tcW w:w="1708" w:type="pct"/>
            <w:vAlign w:val="center"/>
          </w:tcPr>
          <w:p w14:paraId="73E0BC83">
            <w:pPr>
              <w:pStyle w:val="18"/>
              <w:bidi w:val="0"/>
              <w:rPr>
                <w:rFonts w:hint="eastAsia"/>
                <w:lang w:eastAsia="zh-CN"/>
              </w:rPr>
            </w:pPr>
            <w:r>
              <w:rPr>
                <w:rFonts w:hint="eastAsia"/>
                <w:lang w:eastAsia="zh-CN"/>
              </w:rPr>
              <w:t>会议费、差旅费超标准使用次数</w:t>
            </w:r>
          </w:p>
        </w:tc>
        <w:tc>
          <w:tcPr>
            <w:tcW w:w="1249" w:type="pct"/>
            <w:vAlign w:val="center"/>
          </w:tcPr>
          <w:p w14:paraId="0FACED6C">
            <w:pPr>
              <w:pStyle w:val="18"/>
              <w:bidi w:val="0"/>
              <w:rPr>
                <w:rFonts w:hint="eastAsia"/>
                <w:lang w:eastAsia="zh-CN"/>
              </w:rPr>
            </w:pPr>
            <w:r>
              <w:rPr>
                <w:rFonts w:hint="eastAsia"/>
                <w:lang w:eastAsia="zh-CN"/>
              </w:rPr>
              <w:t>≤0次</w:t>
            </w:r>
          </w:p>
        </w:tc>
      </w:tr>
      <w:tr w14:paraId="335F96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74" w:type="pct"/>
            <w:vAlign w:val="center"/>
          </w:tcPr>
          <w:p w14:paraId="0A44CE8D">
            <w:pPr>
              <w:pStyle w:val="18"/>
              <w:bidi w:val="0"/>
              <w:rPr>
                <w:rFonts w:hint="eastAsia"/>
                <w:lang w:eastAsia="zh-CN"/>
              </w:rPr>
            </w:pPr>
            <w:r>
              <w:rPr>
                <w:rFonts w:hint="eastAsia"/>
                <w:lang w:eastAsia="zh-CN"/>
              </w:rPr>
              <w:t>成本指标</w:t>
            </w:r>
          </w:p>
        </w:tc>
        <w:tc>
          <w:tcPr>
            <w:tcW w:w="1069" w:type="pct"/>
            <w:vAlign w:val="center"/>
          </w:tcPr>
          <w:p w14:paraId="0CB4BB7C">
            <w:pPr>
              <w:pStyle w:val="18"/>
              <w:bidi w:val="0"/>
              <w:rPr>
                <w:rFonts w:hint="eastAsia"/>
                <w:lang w:eastAsia="zh-CN"/>
              </w:rPr>
            </w:pPr>
            <w:r>
              <w:rPr>
                <w:rFonts w:hint="eastAsia"/>
                <w:lang w:eastAsia="zh-CN"/>
              </w:rPr>
              <w:t>经济成本指标</w:t>
            </w:r>
          </w:p>
        </w:tc>
        <w:tc>
          <w:tcPr>
            <w:tcW w:w="1708" w:type="pct"/>
            <w:vAlign w:val="center"/>
          </w:tcPr>
          <w:p w14:paraId="0C8949BC">
            <w:pPr>
              <w:pStyle w:val="18"/>
              <w:bidi w:val="0"/>
              <w:rPr>
                <w:rFonts w:hint="eastAsia"/>
                <w:lang w:eastAsia="zh-CN"/>
              </w:rPr>
            </w:pPr>
            <w:r>
              <w:rPr>
                <w:rFonts w:hint="eastAsia"/>
                <w:lang w:eastAsia="zh-CN"/>
              </w:rPr>
              <w:t>部门年初预算资金</w:t>
            </w:r>
          </w:p>
        </w:tc>
        <w:tc>
          <w:tcPr>
            <w:tcW w:w="1249" w:type="pct"/>
            <w:vAlign w:val="center"/>
          </w:tcPr>
          <w:p w14:paraId="09DE61EE">
            <w:pPr>
              <w:pStyle w:val="18"/>
              <w:bidi w:val="0"/>
              <w:rPr>
                <w:rFonts w:hint="eastAsia"/>
                <w:lang w:eastAsia="zh-CN"/>
              </w:rPr>
            </w:pPr>
            <w:r>
              <w:rPr>
                <w:rFonts w:hint="eastAsia"/>
                <w:lang w:eastAsia="zh-CN"/>
              </w:rPr>
              <w:t>=1869.51万元</w:t>
            </w:r>
          </w:p>
        </w:tc>
      </w:tr>
      <w:tr w14:paraId="0EC20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74" w:type="pct"/>
            <w:vAlign w:val="center"/>
          </w:tcPr>
          <w:p w14:paraId="751E227D">
            <w:pPr>
              <w:pStyle w:val="18"/>
              <w:bidi w:val="0"/>
              <w:rPr>
                <w:rFonts w:hint="eastAsia"/>
                <w:lang w:eastAsia="zh-CN"/>
              </w:rPr>
            </w:pPr>
            <w:r>
              <w:rPr>
                <w:rFonts w:hint="eastAsia"/>
                <w:lang w:eastAsia="zh-CN"/>
              </w:rPr>
              <w:t>效益指标</w:t>
            </w:r>
          </w:p>
        </w:tc>
        <w:tc>
          <w:tcPr>
            <w:tcW w:w="1069" w:type="pct"/>
            <w:vAlign w:val="center"/>
          </w:tcPr>
          <w:p w14:paraId="201DFBC4">
            <w:pPr>
              <w:pStyle w:val="18"/>
              <w:bidi w:val="0"/>
              <w:rPr>
                <w:rFonts w:hint="eastAsia"/>
                <w:lang w:eastAsia="zh-CN"/>
              </w:rPr>
            </w:pPr>
            <w:r>
              <w:rPr>
                <w:rFonts w:hint="eastAsia"/>
                <w:lang w:eastAsia="zh-CN"/>
              </w:rPr>
              <w:t>社会效益指标</w:t>
            </w:r>
          </w:p>
        </w:tc>
        <w:tc>
          <w:tcPr>
            <w:tcW w:w="1708" w:type="pct"/>
            <w:vAlign w:val="center"/>
          </w:tcPr>
          <w:p w14:paraId="3950467A">
            <w:pPr>
              <w:pStyle w:val="18"/>
              <w:bidi w:val="0"/>
              <w:rPr>
                <w:rFonts w:hint="eastAsia"/>
                <w:lang w:eastAsia="zh-CN"/>
              </w:rPr>
            </w:pPr>
            <w:r>
              <w:rPr>
                <w:rFonts w:hint="eastAsia"/>
                <w:lang w:eastAsia="zh-CN"/>
              </w:rPr>
              <w:t>维护市场管理秩序</w:t>
            </w:r>
          </w:p>
        </w:tc>
        <w:tc>
          <w:tcPr>
            <w:tcW w:w="1249" w:type="pct"/>
            <w:vAlign w:val="center"/>
          </w:tcPr>
          <w:p w14:paraId="57AC799B">
            <w:pPr>
              <w:pStyle w:val="18"/>
              <w:bidi w:val="0"/>
              <w:rPr>
                <w:rFonts w:hint="eastAsia"/>
                <w:lang w:eastAsia="zh-CN"/>
              </w:rPr>
            </w:pPr>
            <w:r>
              <w:rPr>
                <w:rFonts w:hint="eastAsia"/>
                <w:lang w:eastAsia="zh-CN"/>
              </w:rPr>
              <w:t>=有效维护</w:t>
            </w:r>
          </w:p>
        </w:tc>
      </w:tr>
      <w:tr w14:paraId="4AB57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74" w:type="pct"/>
            <w:vAlign w:val="center"/>
          </w:tcPr>
          <w:p w14:paraId="458C80FA">
            <w:pPr>
              <w:pStyle w:val="18"/>
              <w:bidi w:val="0"/>
              <w:rPr>
                <w:rFonts w:hint="eastAsia"/>
                <w:lang w:eastAsia="zh-CN"/>
              </w:rPr>
            </w:pPr>
            <w:r>
              <w:rPr>
                <w:rFonts w:hint="eastAsia"/>
                <w:lang w:eastAsia="zh-CN"/>
              </w:rPr>
              <w:t>效益指标</w:t>
            </w:r>
          </w:p>
        </w:tc>
        <w:tc>
          <w:tcPr>
            <w:tcW w:w="1069" w:type="pct"/>
            <w:vAlign w:val="center"/>
          </w:tcPr>
          <w:p w14:paraId="3A3CC75E">
            <w:pPr>
              <w:pStyle w:val="18"/>
              <w:bidi w:val="0"/>
              <w:rPr>
                <w:rFonts w:hint="eastAsia"/>
                <w:lang w:eastAsia="zh-CN"/>
              </w:rPr>
            </w:pPr>
            <w:r>
              <w:rPr>
                <w:rFonts w:hint="eastAsia"/>
                <w:lang w:eastAsia="zh-CN"/>
              </w:rPr>
              <w:t>生态效益指标</w:t>
            </w:r>
          </w:p>
        </w:tc>
        <w:tc>
          <w:tcPr>
            <w:tcW w:w="1708" w:type="pct"/>
            <w:vAlign w:val="center"/>
          </w:tcPr>
          <w:p w14:paraId="48B9451A">
            <w:pPr>
              <w:pStyle w:val="18"/>
              <w:bidi w:val="0"/>
              <w:rPr>
                <w:rFonts w:hint="eastAsia"/>
                <w:lang w:eastAsia="zh-CN"/>
              </w:rPr>
            </w:pPr>
            <w:r>
              <w:rPr>
                <w:rFonts w:hint="eastAsia"/>
                <w:lang w:eastAsia="zh-CN"/>
              </w:rPr>
              <w:t>保护消费者权益、推动经济发展</w:t>
            </w:r>
          </w:p>
        </w:tc>
        <w:tc>
          <w:tcPr>
            <w:tcW w:w="1249" w:type="pct"/>
            <w:vAlign w:val="center"/>
          </w:tcPr>
          <w:p w14:paraId="069CDC20">
            <w:pPr>
              <w:pStyle w:val="18"/>
              <w:bidi w:val="0"/>
              <w:rPr>
                <w:rFonts w:hint="eastAsia"/>
                <w:lang w:eastAsia="zh-CN"/>
              </w:rPr>
            </w:pPr>
            <w:r>
              <w:rPr>
                <w:rFonts w:hint="eastAsia"/>
                <w:lang w:eastAsia="zh-CN"/>
              </w:rPr>
              <w:t>=有效保护和推动</w:t>
            </w:r>
          </w:p>
        </w:tc>
      </w:tr>
      <w:tr w14:paraId="131A4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74" w:type="pct"/>
            <w:vAlign w:val="center"/>
          </w:tcPr>
          <w:p w14:paraId="2FA655EB">
            <w:pPr>
              <w:pStyle w:val="18"/>
              <w:bidi w:val="0"/>
              <w:rPr>
                <w:rFonts w:hint="eastAsia"/>
                <w:lang w:eastAsia="zh-CN"/>
              </w:rPr>
            </w:pPr>
            <w:r>
              <w:rPr>
                <w:rFonts w:hint="eastAsia"/>
                <w:lang w:eastAsia="zh-CN"/>
              </w:rPr>
              <w:t>满意度指标</w:t>
            </w:r>
          </w:p>
        </w:tc>
        <w:tc>
          <w:tcPr>
            <w:tcW w:w="1069" w:type="pct"/>
            <w:vAlign w:val="center"/>
          </w:tcPr>
          <w:p w14:paraId="1B3AD511">
            <w:pPr>
              <w:pStyle w:val="18"/>
              <w:bidi w:val="0"/>
              <w:rPr>
                <w:rFonts w:hint="eastAsia"/>
                <w:lang w:eastAsia="zh-CN"/>
              </w:rPr>
            </w:pPr>
            <w:r>
              <w:rPr>
                <w:rFonts w:hint="eastAsia"/>
                <w:lang w:eastAsia="zh-CN"/>
              </w:rPr>
              <w:t>服务对象满意度指标</w:t>
            </w:r>
          </w:p>
        </w:tc>
        <w:tc>
          <w:tcPr>
            <w:tcW w:w="1708" w:type="pct"/>
            <w:vAlign w:val="center"/>
          </w:tcPr>
          <w:p w14:paraId="3B0CA599">
            <w:pPr>
              <w:pStyle w:val="18"/>
              <w:bidi w:val="0"/>
              <w:rPr>
                <w:rFonts w:hint="eastAsia"/>
                <w:lang w:eastAsia="zh-CN"/>
              </w:rPr>
            </w:pPr>
            <w:r>
              <w:rPr>
                <w:rFonts w:hint="eastAsia"/>
                <w:lang w:eastAsia="zh-CN"/>
              </w:rPr>
              <w:t>公众满意度</w:t>
            </w:r>
          </w:p>
        </w:tc>
        <w:tc>
          <w:tcPr>
            <w:tcW w:w="1249" w:type="pct"/>
            <w:vAlign w:val="center"/>
          </w:tcPr>
          <w:p w14:paraId="6F39AFCD">
            <w:pPr>
              <w:pStyle w:val="18"/>
              <w:bidi w:val="0"/>
              <w:rPr>
                <w:rFonts w:hint="eastAsia"/>
                <w:lang w:eastAsia="zh-CN"/>
              </w:rPr>
            </w:pPr>
            <w:r>
              <w:rPr>
                <w:rFonts w:hint="eastAsia"/>
                <w:lang w:eastAsia="zh-CN"/>
              </w:rPr>
              <w:t>≥85%</w:t>
            </w:r>
          </w:p>
        </w:tc>
      </w:tr>
      <w:tr w14:paraId="67452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74" w:type="pct"/>
            <w:vAlign w:val="center"/>
          </w:tcPr>
          <w:p w14:paraId="72408451">
            <w:pPr>
              <w:pStyle w:val="18"/>
              <w:bidi w:val="0"/>
              <w:rPr>
                <w:rFonts w:hint="eastAsia"/>
                <w:lang w:eastAsia="zh-CN"/>
              </w:rPr>
            </w:pPr>
            <w:r>
              <w:rPr>
                <w:rFonts w:hint="eastAsia"/>
                <w:lang w:eastAsia="zh-CN"/>
              </w:rPr>
              <w:t>产出指标</w:t>
            </w:r>
          </w:p>
        </w:tc>
        <w:tc>
          <w:tcPr>
            <w:tcW w:w="1069" w:type="pct"/>
            <w:vAlign w:val="center"/>
          </w:tcPr>
          <w:p w14:paraId="30210E43">
            <w:pPr>
              <w:pStyle w:val="18"/>
              <w:bidi w:val="0"/>
              <w:rPr>
                <w:rFonts w:hint="eastAsia"/>
                <w:lang w:eastAsia="zh-CN"/>
              </w:rPr>
            </w:pPr>
            <w:r>
              <w:rPr>
                <w:rFonts w:hint="eastAsia"/>
                <w:lang w:eastAsia="zh-CN"/>
              </w:rPr>
              <w:t>数量指标</w:t>
            </w:r>
          </w:p>
        </w:tc>
        <w:tc>
          <w:tcPr>
            <w:tcW w:w="1708" w:type="pct"/>
            <w:vAlign w:val="center"/>
          </w:tcPr>
          <w:p w14:paraId="7F2CFD79">
            <w:pPr>
              <w:pStyle w:val="18"/>
              <w:bidi w:val="0"/>
              <w:rPr>
                <w:rFonts w:hint="eastAsia"/>
                <w:lang w:eastAsia="zh-CN"/>
              </w:rPr>
            </w:pPr>
            <w:r>
              <w:rPr>
                <w:rFonts w:hint="eastAsia"/>
                <w:lang w:eastAsia="zh-CN"/>
              </w:rPr>
              <w:t>在编人员人数</w:t>
            </w:r>
          </w:p>
        </w:tc>
        <w:tc>
          <w:tcPr>
            <w:tcW w:w="1249" w:type="pct"/>
            <w:vAlign w:val="center"/>
          </w:tcPr>
          <w:p w14:paraId="7C0502B0">
            <w:pPr>
              <w:pStyle w:val="18"/>
              <w:bidi w:val="0"/>
              <w:rPr>
                <w:rFonts w:hint="eastAsia"/>
                <w:lang w:eastAsia="zh-CN"/>
              </w:rPr>
            </w:pPr>
            <w:r>
              <w:rPr>
                <w:rFonts w:hint="eastAsia"/>
                <w:lang w:eastAsia="zh-CN"/>
              </w:rPr>
              <w:t>≥43人</w:t>
            </w:r>
          </w:p>
        </w:tc>
      </w:tr>
      <w:tr w14:paraId="1CF3FA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74" w:type="pct"/>
            <w:vAlign w:val="center"/>
          </w:tcPr>
          <w:p w14:paraId="628F973C">
            <w:pPr>
              <w:pStyle w:val="18"/>
              <w:bidi w:val="0"/>
              <w:rPr>
                <w:rFonts w:hint="eastAsia"/>
                <w:lang w:eastAsia="zh-CN"/>
              </w:rPr>
            </w:pPr>
            <w:r>
              <w:rPr>
                <w:rFonts w:hint="eastAsia"/>
                <w:lang w:eastAsia="zh-CN"/>
              </w:rPr>
              <w:t>产出指标</w:t>
            </w:r>
          </w:p>
        </w:tc>
        <w:tc>
          <w:tcPr>
            <w:tcW w:w="1069" w:type="pct"/>
            <w:vAlign w:val="center"/>
          </w:tcPr>
          <w:p w14:paraId="39A9C824">
            <w:pPr>
              <w:pStyle w:val="18"/>
              <w:bidi w:val="0"/>
              <w:rPr>
                <w:rFonts w:hint="eastAsia"/>
                <w:lang w:eastAsia="zh-CN"/>
              </w:rPr>
            </w:pPr>
            <w:r>
              <w:rPr>
                <w:rFonts w:hint="eastAsia"/>
                <w:lang w:eastAsia="zh-CN"/>
              </w:rPr>
              <w:t>质量指标</w:t>
            </w:r>
          </w:p>
        </w:tc>
        <w:tc>
          <w:tcPr>
            <w:tcW w:w="1708" w:type="pct"/>
            <w:vAlign w:val="center"/>
          </w:tcPr>
          <w:p w14:paraId="416FE3C5">
            <w:pPr>
              <w:pStyle w:val="18"/>
              <w:bidi w:val="0"/>
              <w:rPr>
                <w:rFonts w:hint="eastAsia"/>
                <w:lang w:eastAsia="zh-CN"/>
              </w:rPr>
            </w:pPr>
            <w:r>
              <w:rPr>
                <w:rFonts w:hint="eastAsia"/>
                <w:lang w:eastAsia="zh-CN"/>
              </w:rPr>
              <w:t>资金使用合规性</w:t>
            </w:r>
          </w:p>
        </w:tc>
        <w:tc>
          <w:tcPr>
            <w:tcW w:w="1249" w:type="pct"/>
            <w:vAlign w:val="center"/>
          </w:tcPr>
          <w:p w14:paraId="7C81DC79">
            <w:pPr>
              <w:pStyle w:val="18"/>
              <w:bidi w:val="0"/>
              <w:rPr>
                <w:rFonts w:hint="eastAsia"/>
                <w:lang w:eastAsia="zh-CN"/>
              </w:rPr>
            </w:pPr>
            <w:r>
              <w:rPr>
                <w:rFonts w:hint="eastAsia"/>
                <w:lang w:eastAsia="zh-CN"/>
              </w:rPr>
              <w:t>=合理合规</w:t>
            </w:r>
          </w:p>
        </w:tc>
      </w:tr>
      <w:tr w14:paraId="0EEF1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74" w:type="pct"/>
            <w:vAlign w:val="center"/>
          </w:tcPr>
          <w:p w14:paraId="56F02DBF">
            <w:pPr>
              <w:pStyle w:val="18"/>
              <w:bidi w:val="0"/>
              <w:rPr>
                <w:rFonts w:hint="eastAsia"/>
                <w:lang w:eastAsia="zh-CN"/>
              </w:rPr>
            </w:pPr>
            <w:r>
              <w:rPr>
                <w:rFonts w:hint="eastAsia"/>
                <w:lang w:eastAsia="zh-CN"/>
              </w:rPr>
              <w:t>产出指标</w:t>
            </w:r>
          </w:p>
        </w:tc>
        <w:tc>
          <w:tcPr>
            <w:tcW w:w="1069" w:type="pct"/>
            <w:vAlign w:val="center"/>
          </w:tcPr>
          <w:p w14:paraId="5717EBED">
            <w:pPr>
              <w:pStyle w:val="18"/>
              <w:bidi w:val="0"/>
              <w:rPr>
                <w:rFonts w:hint="eastAsia"/>
                <w:lang w:eastAsia="zh-CN"/>
              </w:rPr>
            </w:pPr>
            <w:r>
              <w:rPr>
                <w:rFonts w:hint="eastAsia"/>
                <w:lang w:eastAsia="zh-CN"/>
              </w:rPr>
              <w:t>时效指标</w:t>
            </w:r>
          </w:p>
        </w:tc>
        <w:tc>
          <w:tcPr>
            <w:tcW w:w="1708" w:type="pct"/>
            <w:vAlign w:val="center"/>
          </w:tcPr>
          <w:p w14:paraId="4BC2C062">
            <w:pPr>
              <w:pStyle w:val="18"/>
              <w:bidi w:val="0"/>
              <w:rPr>
                <w:rFonts w:hint="eastAsia"/>
                <w:lang w:eastAsia="zh-CN"/>
              </w:rPr>
            </w:pPr>
            <w:r>
              <w:rPr>
                <w:rFonts w:hint="eastAsia"/>
                <w:lang w:eastAsia="zh-CN"/>
              </w:rPr>
              <w:t>预算执行率</w:t>
            </w:r>
          </w:p>
        </w:tc>
        <w:tc>
          <w:tcPr>
            <w:tcW w:w="1249" w:type="pct"/>
            <w:vAlign w:val="center"/>
          </w:tcPr>
          <w:p w14:paraId="095B4EEA">
            <w:pPr>
              <w:pStyle w:val="18"/>
              <w:bidi w:val="0"/>
              <w:rPr>
                <w:rFonts w:hint="eastAsia"/>
                <w:lang w:eastAsia="zh-CN"/>
              </w:rPr>
            </w:pPr>
            <w:r>
              <w:rPr>
                <w:rFonts w:hint="eastAsia"/>
                <w:lang w:eastAsia="zh-CN"/>
              </w:rPr>
              <w:t>≥90%</w:t>
            </w:r>
          </w:p>
        </w:tc>
      </w:tr>
      <w:bookmarkEnd w:id="103"/>
    </w:tbl>
    <w:p w14:paraId="54190035">
      <w:pPr>
        <w:rPr>
          <w:rFonts w:hint="eastAsia" w:ascii="仿宋" w:hAnsi="仿宋" w:eastAsia="仿宋" w:cs="仿宋"/>
          <w:b/>
          <w:color w:val="auto"/>
          <w:spacing w:val="-8"/>
          <w:sz w:val="28"/>
          <w:szCs w:val="28"/>
          <w:lang w:eastAsia="zh-CN"/>
          <w14:textOutline w14:w="5105" w14:cap="sq" w14:cmpd="sng" w14:algn="ctr">
            <w14:solidFill>
              <w14:srgbClr w14:val="333333"/>
            </w14:solidFill>
            <w14:prstDash w14:val="solid"/>
            <w14:bevel/>
          </w14:textOutline>
        </w:rPr>
      </w:pPr>
      <w:bookmarkStart w:id="107" w:name="bookmark21"/>
      <w:bookmarkEnd w:id="107"/>
      <w:bookmarkStart w:id="108" w:name="bookmark20"/>
      <w:bookmarkEnd w:id="108"/>
      <w:bookmarkStart w:id="109" w:name="_Toc181558007"/>
      <w:bookmarkStart w:id="110" w:name="_Toc217363501"/>
      <w:r>
        <w:rPr>
          <w:rFonts w:hint="eastAsia" w:ascii="仿宋" w:hAnsi="仿宋" w:eastAsia="仿宋" w:cs="仿宋"/>
          <w:b/>
          <w:color w:val="auto"/>
          <w:spacing w:val="-8"/>
          <w:sz w:val="28"/>
          <w:szCs w:val="28"/>
          <w:lang w:eastAsia="zh-CN"/>
          <w14:textOutline w14:w="5105" w14:cap="sq" w14:cmpd="sng" w14:algn="ctr">
            <w14:solidFill>
              <w14:srgbClr w14:val="333333"/>
            </w14:solidFill>
            <w14:prstDash w14:val="solid"/>
            <w14:bevel/>
          </w14:textOutline>
        </w:rPr>
        <w:br w:type="page"/>
      </w:r>
    </w:p>
    <w:p w14:paraId="061CD59E">
      <w:pPr>
        <w:pStyle w:val="3"/>
        <w:bidi w:val="0"/>
        <w:rPr>
          <w:rFonts w:hint="eastAsia"/>
          <w:lang w:eastAsia="zh-CN"/>
        </w:rPr>
      </w:pPr>
      <w:bookmarkStart w:id="111" w:name="_Toc22564"/>
      <w:bookmarkStart w:id="112" w:name="_Toc22627"/>
      <w:r>
        <w:rPr>
          <w:rFonts w:hint="eastAsia"/>
          <w:lang w:eastAsia="zh-CN"/>
        </w:rPr>
        <w:t>四、评价思路</w:t>
      </w:r>
      <w:bookmarkEnd w:id="109"/>
      <w:bookmarkEnd w:id="110"/>
      <w:bookmarkEnd w:id="111"/>
      <w:bookmarkEnd w:id="112"/>
    </w:p>
    <w:p w14:paraId="1B3BD19D">
      <w:pPr>
        <w:pStyle w:val="4"/>
        <w:bidi w:val="0"/>
        <w:rPr>
          <w:rFonts w:hint="eastAsia"/>
          <w:lang w:eastAsia="zh-CN"/>
        </w:rPr>
      </w:pPr>
      <w:bookmarkStart w:id="113" w:name="_Toc181558008"/>
      <w:bookmarkStart w:id="114" w:name="_Toc217363502"/>
      <w:bookmarkStart w:id="115" w:name="_Toc15077"/>
      <w:bookmarkStart w:id="116" w:name="_Toc22079"/>
      <w:r>
        <w:rPr>
          <w:rFonts w:hint="eastAsia"/>
          <w:lang w:eastAsia="zh-CN"/>
        </w:rPr>
        <w:t>（一）评价目的</w:t>
      </w:r>
      <w:bookmarkEnd w:id="113"/>
      <w:bookmarkEnd w:id="114"/>
      <w:bookmarkEnd w:id="115"/>
      <w:bookmarkEnd w:id="116"/>
    </w:p>
    <w:p w14:paraId="60E524E3">
      <w:pPr>
        <w:bidi w:val="0"/>
        <w:rPr>
          <w:rFonts w:hint="eastAsia"/>
          <w:lang w:eastAsia="zh-CN"/>
        </w:rPr>
      </w:pPr>
      <w:bookmarkStart w:id="117" w:name="_Toc17906"/>
      <w:bookmarkStart w:id="118" w:name="_Toc10724"/>
      <w:r>
        <w:rPr>
          <w:rFonts w:hint="eastAsia"/>
          <w:lang w:eastAsia="zh-CN"/>
        </w:rPr>
        <w:t>为深入贯彻落实中共中央、国务院《关于全面实施预算绩效管理的意</w:t>
      </w:r>
      <w:bookmarkEnd w:id="117"/>
      <w:bookmarkEnd w:id="118"/>
      <w:r>
        <w:rPr>
          <w:rFonts w:hint="eastAsia"/>
          <w:lang w:eastAsia="zh-CN"/>
        </w:rPr>
        <w:t>见》相关要求，根据财政局安排，对2024年度泉州市洛江区市场监督管理局部门绩效情况开展评价，以全面反映部门在预算管理中的状况，促进部门总结经验、发现问题、提出建议、改进工作，为部门科学决策、规范管理提供参考，进一步加强预算管理，提高财政资源配置效率和使用效益。</w:t>
      </w:r>
    </w:p>
    <w:p w14:paraId="51C502CA">
      <w:pPr>
        <w:pStyle w:val="4"/>
        <w:bidi w:val="0"/>
        <w:rPr>
          <w:rFonts w:hint="eastAsia"/>
          <w:lang w:eastAsia="zh-CN"/>
        </w:rPr>
      </w:pPr>
      <w:bookmarkStart w:id="119" w:name="bookmark22"/>
      <w:bookmarkEnd w:id="119"/>
      <w:bookmarkStart w:id="120" w:name="_Toc181558009"/>
      <w:bookmarkStart w:id="121" w:name="_Toc217363503"/>
      <w:bookmarkStart w:id="122" w:name="_Toc17618"/>
      <w:bookmarkStart w:id="123" w:name="_Toc16277"/>
      <w:r>
        <w:rPr>
          <w:rFonts w:hint="eastAsia"/>
          <w:lang w:eastAsia="zh-CN"/>
        </w:rPr>
        <w:t>（二）评价对象及范围</w:t>
      </w:r>
      <w:bookmarkEnd w:id="120"/>
      <w:bookmarkEnd w:id="121"/>
      <w:bookmarkEnd w:id="122"/>
      <w:bookmarkEnd w:id="123"/>
    </w:p>
    <w:p w14:paraId="0E08CF8F">
      <w:pPr>
        <w:bidi w:val="0"/>
        <w:rPr>
          <w:rFonts w:hint="eastAsia"/>
          <w:lang w:eastAsia="zh-CN"/>
        </w:rPr>
      </w:pPr>
      <w:bookmarkStart w:id="124" w:name="_Toc15650"/>
      <w:bookmarkStart w:id="125" w:name="_Toc23609"/>
      <w:r>
        <w:rPr>
          <w:rFonts w:hint="eastAsia"/>
          <w:lang w:eastAsia="zh-CN"/>
        </w:rPr>
        <w:t>评价对象：泉州市洛江区市场监督管理局。</w:t>
      </w:r>
      <w:bookmarkEnd w:id="124"/>
      <w:bookmarkEnd w:id="125"/>
    </w:p>
    <w:p w14:paraId="030F6211">
      <w:pPr>
        <w:bidi w:val="0"/>
        <w:rPr>
          <w:rFonts w:hint="eastAsia"/>
          <w:lang w:eastAsia="zh-CN"/>
        </w:rPr>
      </w:pPr>
      <w:bookmarkStart w:id="126" w:name="_Toc20004"/>
      <w:bookmarkStart w:id="127" w:name="_Toc12666"/>
      <w:r>
        <w:rPr>
          <w:rFonts w:hint="eastAsia"/>
          <w:lang w:eastAsia="zh-CN"/>
        </w:rPr>
        <w:t>评价时间范围：2024年1月至2024年12月。</w:t>
      </w:r>
      <w:bookmarkEnd w:id="126"/>
      <w:bookmarkEnd w:id="127"/>
    </w:p>
    <w:p w14:paraId="0031D3BD">
      <w:pPr>
        <w:pStyle w:val="4"/>
        <w:bidi w:val="0"/>
        <w:rPr>
          <w:rFonts w:hint="eastAsia"/>
          <w:lang w:eastAsia="zh-CN"/>
        </w:rPr>
      </w:pPr>
      <w:bookmarkStart w:id="128" w:name="bookmark23"/>
      <w:bookmarkEnd w:id="128"/>
      <w:bookmarkStart w:id="129" w:name="_Toc217363504"/>
      <w:bookmarkStart w:id="130" w:name="_Toc181558010"/>
      <w:bookmarkStart w:id="131" w:name="_Toc14572"/>
      <w:bookmarkStart w:id="132" w:name="_Toc16128"/>
      <w:r>
        <w:rPr>
          <w:rFonts w:hint="eastAsia"/>
          <w:lang w:eastAsia="zh-CN"/>
        </w:rPr>
        <w:t>（三）评价依据</w:t>
      </w:r>
      <w:bookmarkEnd w:id="129"/>
      <w:bookmarkEnd w:id="130"/>
      <w:bookmarkEnd w:id="131"/>
      <w:bookmarkEnd w:id="132"/>
    </w:p>
    <w:p w14:paraId="12949790">
      <w:pPr>
        <w:bidi w:val="0"/>
        <w:rPr>
          <w:rFonts w:hint="eastAsia"/>
          <w:lang w:eastAsia="zh-CN"/>
        </w:rPr>
      </w:pPr>
      <w:bookmarkStart w:id="133" w:name="_Toc2579"/>
      <w:bookmarkStart w:id="134" w:name="_Toc31953"/>
      <w:bookmarkStart w:id="135" w:name="_Toc998"/>
      <w:r>
        <w:rPr>
          <w:rFonts w:hint="eastAsia"/>
          <w:lang w:eastAsia="zh-CN"/>
        </w:rPr>
        <w:t>1.《中华人民共和国预算法》；</w:t>
      </w:r>
      <w:bookmarkEnd w:id="133"/>
      <w:bookmarkEnd w:id="134"/>
      <w:bookmarkEnd w:id="135"/>
    </w:p>
    <w:p w14:paraId="698725A1">
      <w:pPr>
        <w:bidi w:val="0"/>
        <w:rPr>
          <w:rFonts w:hint="eastAsia"/>
          <w:lang w:eastAsia="zh-CN"/>
        </w:rPr>
      </w:pPr>
      <w:bookmarkStart w:id="136" w:name="OLE_LINK1"/>
      <w:r>
        <w:rPr>
          <w:rFonts w:hint="eastAsia"/>
          <w:lang w:eastAsia="zh-CN"/>
        </w:rPr>
        <w:t>2.《中共中央、国务院关于全面实施预算绩效管理的意见》（中发〔2018〕34号）；</w:t>
      </w:r>
    </w:p>
    <w:p w14:paraId="00BB7586">
      <w:pPr>
        <w:bidi w:val="0"/>
        <w:rPr>
          <w:rFonts w:hint="eastAsia"/>
          <w:lang w:eastAsia="zh-CN"/>
        </w:rPr>
      </w:pPr>
      <w:bookmarkStart w:id="137" w:name="_Toc29253"/>
      <w:r>
        <w:rPr>
          <w:rFonts w:hint="eastAsia"/>
          <w:lang w:eastAsia="zh-CN"/>
        </w:rPr>
        <w:t>3.</w:t>
      </w:r>
      <w:bookmarkEnd w:id="137"/>
      <w:r>
        <w:rPr>
          <w:rFonts w:hint="eastAsia"/>
          <w:lang w:eastAsia="zh-CN"/>
        </w:rPr>
        <w:t>《福建省省级预算绩效管理结果应用暂行办法》（闽财绩〔2023〕8号）；</w:t>
      </w:r>
    </w:p>
    <w:p w14:paraId="3298359A">
      <w:pPr>
        <w:bidi w:val="0"/>
        <w:rPr>
          <w:rFonts w:hint="eastAsia"/>
          <w:lang w:eastAsia="zh-CN"/>
        </w:rPr>
      </w:pPr>
      <w:r>
        <w:rPr>
          <w:rFonts w:hint="eastAsia"/>
          <w:lang w:eastAsia="zh-CN"/>
        </w:rPr>
        <w:t>4.《财政部关于印发〈项目支出绩效评价管理办法〉的通知》（财预〔2020〕10号）；</w:t>
      </w:r>
    </w:p>
    <w:p w14:paraId="144D16F6">
      <w:pPr>
        <w:bidi w:val="0"/>
        <w:rPr>
          <w:rFonts w:hint="eastAsia"/>
          <w:lang w:eastAsia="zh-CN"/>
        </w:rPr>
      </w:pPr>
      <w:bookmarkStart w:id="138" w:name="_Toc29396"/>
      <w:bookmarkStart w:id="139" w:name="_Toc7635"/>
      <w:r>
        <w:rPr>
          <w:rFonts w:hint="eastAsia"/>
          <w:lang w:eastAsia="zh-CN"/>
        </w:rPr>
        <w:t>5.《中共福建省委福建省人民政府印发〈关于全面实施预算绩效管</w:t>
      </w:r>
      <w:bookmarkEnd w:id="138"/>
      <w:bookmarkEnd w:id="139"/>
      <w:r>
        <w:rPr>
          <w:rFonts w:hint="eastAsia"/>
          <w:lang w:eastAsia="zh-CN"/>
        </w:rPr>
        <w:t>理的实施意见〉的通知》（闽委发〔2019〕5号）；</w:t>
      </w:r>
    </w:p>
    <w:p w14:paraId="6C769B51">
      <w:pPr>
        <w:bidi w:val="0"/>
        <w:rPr>
          <w:rFonts w:hint="eastAsia"/>
          <w:lang w:eastAsia="zh-CN"/>
        </w:rPr>
      </w:pPr>
      <w:bookmarkStart w:id="140" w:name="_Toc9619"/>
      <w:r>
        <w:rPr>
          <w:rFonts w:hint="eastAsia"/>
          <w:lang w:eastAsia="zh-CN"/>
        </w:rPr>
        <w:t>6.《福建省财政厅转发财政部关于加强地方预算执行管理加快支出</w:t>
      </w:r>
      <w:bookmarkEnd w:id="140"/>
      <w:bookmarkStart w:id="141" w:name="_Toc10883"/>
      <w:r>
        <w:rPr>
          <w:rFonts w:hint="eastAsia"/>
          <w:lang w:eastAsia="zh-CN"/>
        </w:rPr>
        <w:t>进度的通知》（闽财预〔2018〕20号）；</w:t>
      </w:r>
      <w:bookmarkEnd w:id="141"/>
    </w:p>
    <w:p w14:paraId="1D31609C">
      <w:pPr>
        <w:bidi w:val="0"/>
        <w:rPr>
          <w:rFonts w:hint="eastAsia"/>
          <w:lang w:eastAsia="zh-CN"/>
        </w:rPr>
      </w:pPr>
      <w:bookmarkStart w:id="142" w:name="_Toc31990"/>
      <w:r>
        <w:rPr>
          <w:rFonts w:hint="eastAsia"/>
          <w:lang w:eastAsia="zh-CN"/>
        </w:rPr>
        <w:t>7.《福建省财政厅关于全面实施预算绩效管理若干措施的通知》（闽</w:t>
      </w:r>
      <w:bookmarkEnd w:id="142"/>
      <w:bookmarkStart w:id="143" w:name="_Toc24483"/>
      <w:r>
        <w:rPr>
          <w:rFonts w:hint="eastAsia"/>
          <w:lang w:eastAsia="zh-CN"/>
        </w:rPr>
        <w:t>财绩〔2019〕2号）；</w:t>
      </w:r>
      <w:bookmarkEnd w:id="143"/>
    </w:p>
    <w:p w14:paraId="0A540B61">
      <w:pPr>
        <w:bidi w:val="0"/>
        <w:rPr>
          <w:rFonts w:hint="eastAsia"/>
          <w:lang w:eastAsia="zh-CN"/>
        </w:rPr>
      </w:pPr>
      <w:bookmarkStart w:id="144" w:name="_Toc27873"/>
      <w:r>
        <w:rPr>
          <w:rFonts w:hint="eastAsia"/>
          <w:lang w:eastAsia="zh-CN"/>
        </w:rPr>
        <w:t>8.</w:t>
      </w:r>
      <w:bookmarkEnd w:id="136"/>
      <w:bookmarkEnd w:id="144"/>
      <w:bookmarkStart w:id="145" w:name="_Toc26009"/>
      <w:bookmarkStart w:id="146" w:name="_Toc3655"/>
      <w:r>
        <w:rPr>
          <w:rFonts w:hint="eastAsia"/>
          <w:lang w:eastAsia="zh-CN"/>
        </w:rPr>
        <w:t>《福建省省级预算绩效监控管理办法》（闽财绩〔2024〕15号）；</w:t>
      </w:r>
      <w:bookmarkEnd w:id="145"/>
      <w:bookmarkEnd w:id="146"/>
    </w:p>
    <w:p w14:paraId="55453F62">
      <w:pPr>
        <w:bidi w:val="0"/>
        <w:rPr>
          <w:rFonts w:hint="eastAsia"/>
          <w:lang w:eastAsia="zh-CN"/>
        </w:rPr>
      </w:pPr>
      <w:bookmarkStart w:id="147" w:name="_Toc13829"/>
      <w:r>
        <w:rPr>
          <w:rFonts w:hint="eastAsia"/>
          <w:lang w:eastAsia="zh-CN"/>
        </w:rPr>
        <w:t>9.经济社会发展目标、部门职责相关规定、部门发展规划、年度工作计划、重点任务及重大政策和项目安排情况、相关行业政策、行业标准及专业技术规范、预算管理制度及办法，项目及资金管理办法、财务和会计资料、审计报告等资料。</w:t>
      </w:r>
      <w:bookmarkEnd w:id="147"/>
    </w:p>
    <w:p w14:paraId="5C9D86D0">
      <w:pPr>
        <w:pStyle w:val="4"/>
        <w:bidi w:val="0"/>
        <w:rPr>
          <w:rFonts w:hint="eastAsia"/>
          <w:lang w:eastAsia="zh-CN"/>
        </w:rPr>
      </w:pPr>
      <w:bookmarkStart w:id="148" w:name="bookmark24"/>
      <w:bookmarkEnd w:id="148"/>
      <w:bookmarkStart w:id="149" w:name="_Toc217363505"/>
      <w:bookmarkStart w:id="150" w:name="_Toc181558011"/>
      <w:bookmarkStart w:id="151" w:name="_Toc28073"/>
      <w:bookmarkStart w:id="152" w:name="_Toc8677"/>
      <w:r>
        <w:rPr>
          <w:rFonts w:hint="eastAsia"/>
          <w:lang w:eastAsia="zh-CN"/>
        </w:rPr>
        <w:t>（四）评价原则</w:t>
      </w:r>
      <w:bookmarkEnd w:id="149"/>
      <w:bookmarkEnd w:id="150"/>
      <w:bookmarkEnd w:id="151"/>
      <w:bookmarkEnd w:id="152"/>
    </w:p>
    <w:p w14:paraId="2249CF34">
      <w:pPr>
        <w:bidi w:val="0"/>
        <w:rPr>
          <w:rFonts w:hint="eastAsia"/>
          <w:lang w:eastAsia="zh-CN"/>
        </w:rPr>
      </w:pPr>
      <w:r>
        <w:rPr>
          <w:rFonts w:hint="eastAsia"/>
          <w:lang w:eastAsia="zh-CN"/>
        </w:rPr>
        <w:t>1.具体性原则。所制定的目标必须具体明确，不能含糊不清，模棱两可。设计指标时，尽量予以量化，减少定性的数量，如确实需要设置定性指标时，可以考虑专家评议、问卷、随机走访周边群众、实地观察等方式收集资料，然后予以确认。</w:t>
      </w:r>
    </w:p>
    <w:p w14:paraId="049EB81D">
      <w:pPr>
        <w:bidi w:val="0"/>
        <w:rPr>
          <w:rFonts w:hint="eastAsia"/>
          <w:lang w:eastAsia="zh-CN"/>
        </w:rPr>
      </w:pPr>
      <w:r>
        <w:rPr>
          <w:rFonts w:hint="eastAsia"/>
          <w:lang w:eastAsia="zh-CN"/>
        </w:rPr>
        <w:t>2.可衡量性原则。所制定的目标必须能够通过某定量或定性的方法予以衡量和判定。</w:t>
      </w:r>
    </w:p>
    <w:p w14:paraId="5809E92E">
      <w:pPr>
        <w:bidi w:val="0"/>
        <w:rPr>
          <w:rFonts w:hint="eastAsia"/>
          <w:lang w:eastAsia="zh-CN"/>
        </w:rPr>
      </w:pPr>
      <w:bookmarkStart w:id="153" w:name="_Toc18949"/>
      <w:r>
        <w:rPr>
          <w:rFonts w:hint="eastAsia"/>
          <w:lang w:eastAsia="zh-CN"/>
        </w:rPr>
        <w:t>3.可实现性原则。所制定的目标必须符合实际，并且可以通过执行</w:t>
      </w:r>
      <w:bookmarkEnd w:id="153"/>
      <w:r>
        <w:rPr>
          <w:rFonts w:hint="eastAsia"/>
          <w:lang w:eastAsia="zh-CN"/>
        </w:rPr>
        <w:t>人的努力而实现，不能把目标定得太高太难。</w:t>
      </w:r>
    </w:p>
    <w:p w14:paraId="0F436FD7">
      <w:pPr>
        <w:bidi w:val="0"/>
        <w:rPr>
          <w:rFonts w:hint="eastAsia"/>
          <w:lang w:eastAsia="zh-CN"/>
        </w:rPr>
      </w:pPr>
      <w:r>
        <w:rPr>
          <w:rFonts w:hint="eastAsia"/>
          <w:lang w:eastAsia="zh-CN"/>
        </w:rPr>
        <w:t>4.相关性原则。确定的绩效评价指标应当与专项资金立项依据文件、绩效目标有直接的联系，能够恰当反映目标的实现程度，而与立项依据文件、绩效目标无关的指标不应列入评价体系。设计指标要充分考虑项目设立时预期达到的目的。</w:t>
      </w:r>
    </w:p>
    <w:p w14:paraId="292654B0">
      <w:pPr>
        <w:bidi w:val="0"/>
        <w:rPr>
          <w:rFonts w:hint="eastAsia"/>
          <w:lang w:eastAsia="zh-CN"/>
        </w:rPr>
      </w:pPr>
      <w:bookmarkStart w:id="154" w:name="_Toc10271"/>
      <w:bookmarkStart w:id="155" w:name="_Toc7760"/>
      <w:bookmarkStart w:id="156" w:name="_Toc23071"/>
      <w:r>
        <w:rPr>
          <w:rFonts w:hint="eastAsia"/>
          <w:lang w:eastAsia="zh-CN"/>
        </w:rPr>
        <w:t>5.时限性原则。绩效目标的实现有时间限制。</w:t>
      </w:r>
      <w:bookmarkEnd w:id="154"/>
      <w:bookmarkEnd w:id="155"/>
      <w:bookmarkEnd w:id="156"/>
    </w:p>
    <w:p w14:paraId="3E8BA5A6">
      <w:pPr>
        <w:bidi w:val="0"/>
        <w:rPr>
          <w:rFonts w:hint="eastAsia"/>
          <w:lang w:eastAsia="zh-CN"/>
        </w:rPr>
      </w:pPr>
      <w:r>
        <w:rPr>
          <w:rFonts w:hint="eastAsia"/>
          <w:lang w:eastAsia="zh-CN"/>
        </w:rPr>
        <w:t>6.经济性原则。指标需要的数据容易获取，获取成本低，符合成本效益原则。</w:t>
      </w:r>
    </w:p>
    <w:p w14:paraId="0E5EB69C">
      <w:pPr>
        <w:bidi w:val="0"/>
        <w:rPr>
          <w:rFonts w:hint="eastAsia"/>
          <w:lang w:eastAsia="zh-CN"/>
        </w:rPr>
      </w:pPr>
      <w:bookmarkStart w:id="157" w:name="_Toc32070"/>
      <w:r>
        <w:rPr>
          <w:rFonts w:hint="eastAsia"/>
          <w:lang w:eastAsia="zh-CN"/>
        </w:rPr>
        <w:t>7.可比性原则。为了便于纵向和横向的比较，所选指标尽量考虑共</w:t>
      </w:r>
      <w:bookmarkEnd w:id="157"/>
      <w:r>
        <w:rPr>
          <w:rFonts w:hint="eastAsia"/>
          <w:lang w:eastAsia="zh-CN"/>
        </w:rPr>
        <w:t>性的指标，以便于评价结果可以相互比较。</w:t>
      </w:r>
    </w:p>
    <w:p w14:paraId="62904853">
      <w:pPr>
        <w:bidi w:val="0"/>
        <w:rPr>
          <w:rFonts w:hint="eastAsia"/>
          <w:lang w:eastAsia="zh-CN"/>
        </w:rPr>
      </w:pPr>
      <w:r>
        <w:rPr>
          <w:rFonts w:hint="eastAsia"/>
          <w:lang w:eastAsia="zh-CN"/>
        </w:rPr>
        <w:t>8.分级分类原则。指标不要设计过多，尽量以最少的指标涵盖主要评价内容，指标之间避免或减少重复性，必要时可以采用关键指标法进行筛选。</w:t>
      </w:r>
    </w:p>
    <w:p w14:paraId="54338732">
      <w:pPr>
        <w:bidi w:val="0"/>
        <w:rPr>
          <w:rFonts w:hint="eastAsia"/>
          <w:lang w:eastAsia="zh-CN"/>
        </w:rPr>
      </w:pPr>
      <w:bookmarkStart w:id="158" w:name="_Toc29983"/>
      <w:r>
        <w:rPr>
          <w:rFonts w:hint="eastAsia"/>
          <w:lang w:eastAsia="zh-CN"/>
        </w:rPr>
        <w:t>9.系统性原则。所选择的指标应加以提炼，尽可能涵盖主要评价内</w:t>
      </w:r>
      <w:bookmarkEnd w:id="158"/>
      <w:r>
        <w:rPr>
          <w:rFonts w:hint="eastAsia"/>
          <w:lang w:eastAsia="zh-CN"/>
        </w:rPr>
        <w:t>容，主要部分应以细化指标予以反映。当项目支出明细很多时，应适当根据项目特征对项目进行归类，指标设计时应重点考虑那些金额大、可衡量和项目预期总目标贴合的明细支出，并对其进行深入了解，从中挖掘出可以反映这些明细项目的指标。</w:t>
      </w:r>
    </w:p>
    <w:p w14:paraId="57D66A58">
      <w:pPr>
        <w:bidi w:val="0"/>
        <w:rPr>
          <w:rFonts w:hint="eastAsia"/>
          <w:lang w:eastAsia="zh-CN"/>
        </w:rPr>
      </w:pPr>
      <w:r>
        <w:rPr>
          <w:rFonts w:hint="eastAsia"/>
          <w:lang w:eastAsia="zh-CN"/>
        </w:rPr>
        <w:t>10.可理解性原则。指标的设定和命名应通俗易懂，必要时应加以备注，执行人在执行时不容易产生歧义。</w:t>
      </w:r>
    </w:p>
    <w:p w14:paraId="57BAA25C">
      <w:pPr>
        <w:pStyle w:val="4"/>
        <w:bidi w:val="0"/>
        <w:rPr>
          <w:rFonts w:hint="eastAsia"/>
          <w:lang w:eastAsia="zh-CN"/>
        </w:rPr>
      </w:pPr>
      <w:bookmarkStart w:id="159" w:name="bookmark25"/>
      <w:bookmarkEnd w:id="159"/>
      <w:bookmarkStart w:id="160" w:name="_Toc181558012"/>
      <w:bookmarkStart w:id="161" w:name="_Toc217363506"/>
      <w:bookmarkStart w:id="162" w:name="_Toc2116"/>
      <w:bookmarkStart w:id="163" w:name="_Toc23413"/>
      <w:r>
        <w:rPr>
          <w:rFonts w:hint="eastAsia"/>
          <w:lang w:eastAsia="zh-CN"/>
        </w:rPr>
        <w:t>（五）评价方法</w:t>
      </w:r>
      <w:bookmarkEnd w:id="160"/>
      <w:bookmarkEnd w:id="161"/>
      <w:bookmarkEnd w:id="162"/>
      <w:bookmarkEnd w:id="163"/>
    </w:p>
    <w:p w14:paraId="2DF38EF2">
      <w:pPr>
        <w:bidi w:val="0"/>
        <w:rPr>
          <w:rFonts w:hint="eastAsia"/>
          <w:lang w:eastAsia="zh-CN"/>
        </w:rPr>
      </w:pPr>
      <w:r>
        <w:rPr>
          <w:rFonts w:hint="eastAsia"/>
          <w:lang w:eastAsia="zh-CN"/>
        </w:rPr>
        <w:t>绩效评价方法是指在绩效评价实施过程中为了取得被评价的预算支出项目、单位基础数据和资金使用绩效情况，完成绩效评价任务而采取的各种手段。整体绩效评价的方法主要包括成本效益分析法、比较法、因素分析法、最低成本法、公众评判法、标杆管理法等。根据评价对象的具体情况，可采用一种或多种方法。</w:t>
      </w:r>
    </w:p>
    <w:p w14:paraId="73BFA67D">
      <w:pPr>
        <w:bidi w:val="0"/>
        <w:rPr>
          <w:rFonts w:hint="eastAsia"/>
          <w:lang w:eastAsia="zh-CN"/>
        </w:rPr>
      </w:pPr>
      <w:bookmarkStart w:id="164" w:name="_Toc2649"/>
      <w:r>
        <w:rPr>
          <w:rFonts w:hint="eastAsia"/>
          <w:lang w:eastAsia="zh-CN"/>
        </w:rPr>
        <w:t>1.成本效益分析法，是指将投入与产出、效益进行关联性分析的方</w:t>
      </w:r>
      <w:bookmarkEnd w:id="164"/>
      <w:r>
        <w:rPr>
          <w:rFonts w:hint="eastAsia"/>
          <w:lang w:eastAsia="zh-CN"/>
        </w:rPr>
        <w:t>法。</w:t>
      </w:r>
    </w:p>
    <w:p w14:paraId="1A62FBAE">
      <w:pPr>
        <w:bidi w:val="0"/>
        <w:rPr>
          <w:rFonts w:hint="eastAsia"/>
          <w:lang w:eastAsia="zh-CN"/>
        </w:rPr>
      </w:pPr>
      <w:bookmarkStart w:id="165" w:name="_Toc3340"/>
      <w:r>
        <w:rPr>
          <w:rFonts w:hint="eastAsia"/>
          <w:lang w:eastAsia="zh-CN"/>
        </w:rPr>
        <w:t>2.比较法，是指将实施情况与绩效目标、历史情况、不同部门和地</w:t>
      </w:r>
      <w:bookmarkEnd w:id="165"/>
      <w:r>
        <w:rPr>
          <w:rFonts w:hint="eastAsia"/>
          <w:lang w:eastAsia="zh-CN"/>
        </w:rPr>
        <w:t>区同类情况进行比较的方法。</w:t>
      </w:r>
    </w:p>
    <w:p w14:paraId="625DF5D6">
      <w:pPr>
        <w:bidi w:val="0"/>
        <w:rPr>
          <w:rFonts w:hint="eastAsia"/>
          <w:lang w:eastAsia="zh-CN"/>
        </w:rPr>
      </w:pPr>
      <w:bookmarkStart w:id="166" w:name="_Toc30639"/>
      <w:r>
        <w:rPr>
          <w:rFonts w:hint="eastAsia"/>
          <w:lang w:eastAsia="zh-CN"/>
        </w:rPr>
        <w:t>3.因素分析法，是指综合分析影响绩效目标实现、实施效果的内外</w:t>
      </w:r>
      <w:bookmarkEnd w:id="166"/>
      <w:r>
        <w:rPr>
          <w:rFonts w:hint="eastAsia"/>
          <w:lang w:eastAsia="zh-CN"/>
        </w:rPr>
        <w:t>部因素的方法。</w:t>
      </w:r>
    </w:p>
    <w:p w14:paraId="49ACF25A">
      <w:pPr>
        <w:bidi w:val="0"/>
        <w:rPr>
          <w:rFonts w:hint="eastAsia"/>
          <w:lang w:eastAsia="zh-CN"/>
        </w:rPr>
      </w:pPr>
      <w:bookmarkStart w:id="167" w:name="_Toc31102"/>
      <w:r>
        <w:rPr>
          <w:rFonts w:hint="eastAsia"/>
          <w:lang w:eastAsia="zh-CN"/>
        </w:rPr>
        <w:t>4.最低成本法，是指在绩效目标确定的前提下，成本最小者为优的</w:t>
      </w:r>
      <w:bookmarkEnd w:id="167"/>
      <w:r>
        <w:rPr>
          <w:rFonts w:hint="eastAsia"/>
          <w:lang w:eastAsia="zh-CN"/>
        </w:rPr>
        <w:t>方法。</w:t>
      </w:r>
    </w:p>
    <w:p w14:paraId="0ADA37D9">
      <w:pPr>
        <w:bidi w:val="0"/>
        <w:rPr>
          <w:rFonts w:hint="eastAsia"/>
          <w:lang w:eastAsia="zh-CN"/>
        </w:rPr>
      </w:pPr>
      <w:r>
        <w:rPr>
          <w:rFonts w:hint="eastAsia"/>
          <w:lang w:eastAsia="zh-CN"/>
        </w:rPr>
        <w:t>5.公众评判法，是指通过专家评估、公众问卷及抽样调查等方式的方法。</w:t>
      </w:r>
    </w:p>
    <w:p w14:paraId="709D2871">
      <w:pPr>
        <w:bidi w:val="0"/>
        <w:rPr>
          <w:rFonts w:hint="eastAsia"/>
          <w:lang w:eastAsia="zh-CN"/>
        </w:rPr>
      </w:pPr>
      <w:r>
        <w:rPr>
          <w:rFonts w:hint="eastAsia"/>
          <w:lang w:eastAsia="zh-CN"/>
        </w:rPr>
        <w:t>6.标杆管理法，是指以国内外同行业中较高的绩效水平为标杆</w:t>
      </w:r>
      <w:bookmarkStart w:id="168" w:name="bookmark26"/>
      <w:bookmarkEnd w:id="168"/>
      <w:r>
        <w:rPr>
          <w:rFonts w:hint="eastAsia"/>
          <w:lang w:eastAsia="zh-CN"/>
        </w:rPr>
        <w:t>评判的方法。</w:t>
      </w:r>
    </w:p>
    <w:p w14:paraId="5825621F">
      <w:pPr>
        <w:bidi w:val="0"/>
        <w:rPr>
          <w:rFonts w:hint="eastAsia"/>
          <w:lang w:eastAsia="zh-CN"/>
        </w:rPr>
      </w:pPr>
      <w:r>
        <w:rPr>
          <w:rFonts w:hint="eastAsia"/>
          <w:lang w:eastAsia="zh-CN"/>
        </w:rPr>
        <w:t>本次绩效评价采用了比较法、因素分析法、公众评判法等评价方法。</w:t>
      </w:r>
    </w:p>
    <w:p w14:paraId="2D322ED5">
      <w:pPr>
        <w:pStyle w:val="4"/>
        <w:bidi w:val="0"/>
        <w:rPr>
          <w:rFonts w:hint="eastAsia"/>
          <w:lang w:eastAsia="zh-CN"/>
        </w:rPr>
      </w:pPr>
      <w:bookmarkStart w:id="169" w:name="bookmark27"/>
      <w:bookmarkEnd w:id="169"/>
      <w:bookmarkStart w:id="170" w:name="_Toc181558013"/>
      <w:bookmarkStart w:id="171" w:name="_Toc217363507"/>
      <w:bookmarkStart w:id="172" w:name="_Toc2606"/>
      <w:bookmarkStart w:id="173" w:name="_Toc14073"/>
      <w:r>
        <w:rPr>
          <w:rFonts w:hint="eastAsia"/>
          <w:lang w:eastAsia="zh-CN"/>
        </w:rPr>
        <w:t>（六）绩效标准</w:t>
      </w:r>
      <w:bookmarkEnd w:id="170"/>
      <w:bookmarkEnd w:id="171"/>
      <w:bookmarkEnd w:id="172"/>
      <w:bookmarkEnd w:id="173"/>
    </w:p>
    <w:p w14:paraId="793B669C">
      <w:pPr>
        <w:bidi w:val="0"/>
        <w:rPr>
          <w:rFonts w:hint="eastAsia"/>
          <w:lang w:eastAsia="zh-CN"/>
        </w:rPr>
      </w:pPr>
      <w:r>
        <w:rPr>
          <w:rFonts w:hint="eastAsia"/>
          <w:lang w:eastAsia="zh-CN"/>
        </w:rPr>
        <w:t>绩效标准，是设定、审核绩效指标时所依据或参考的标准，通常包括计划标准、行业标准、历史标准等，也可用于对绩效指标完成情况进行比较。</w:t>
      </w:r>
    </w:p>
    <w:p w14:paraId="76DC6894">
      <w:pPr>
        <w:bidi w:val="0"/>
        <w:rPr>
          <w:rFonts w:hint="eastAsia"/>
          <w:lang w:eastAsia="zh-CN"/>
        </w:rPr>
      </w:pPr>
      <w:bookmarkStart w:id="174" w:name="_Toc9982"/>
      <w:r>
        <w:rPr>
          <w:rFonts w:hint="eastAsia"/>
          <w:lang w:eastAsia="zh-CN"/>
        </w:rPr>
        <w:t>1.计划标准，指以预先制定的目标、计划、预算、定额等作为评价</w:t>
      </w:r>
      <w:bookmarkEnd w:id="174"/>
      <w:r>
        <w:rPr>
          <w:rFonts w:hint="eastAsia"/>
          <w:lang w:eastAsia="zh-CN"/>
        </w:rPr>
        <w:t>标准。</w:t>
      </w:r>
    </w:p>
    <w:p w14:paraId="00A4E3FD">
      <w:pPr>
        <w:bidi w:val="0"/>
        <w:rPr>
          <w:rFonts w:hint="eastAsia"/>
          <w:lang w:eastAsia="zh-CN"/>
        </w:rPr>
      </w:pPr>
      <w:bookmarkStart w:id="175" w:name="_Toc5615"/>
      <w:bookmarkStart w:id="176" w:name="_Toc30280"/>
      <w:bookmarkStart w:id="177" w:name="_Toc14653"/>
      <w:r>
        <w:rPr>
          <w:rFonts w:hint="eastAsia"/>
          <w:lang w:eastAsia="zh-CN"/>
        </w:rPr>
        <w:t>2.行业标准，指参照国家公布的行业指标数据制定的评价标准。</w:t>
      </w:r>
      <w:bookmarkEnd w:id="175"/>
      <w:bookmarkEnd w:id="176"/>
      <w:bookmarkEnd w:id="177"/>
    </w:p>
    <w:p w14:paraId="50CB1BE1">
      <w:pPr>
        <w:bidi w:val="0"/>
        <w:rPr>
          <w:rFonts w:hint="eastAsia"/>
          <w:lang w:eastAsia="zh-CN"/>
        </w:rPr>
      </w:pPr>
      <w:r>
        <w:rPr>
          <w:rFonts w:hint="eastAsia"/>
          <w:lang w:eastAsia="zh-CN"/>
        </w:rPr>
        <w:t>3.历史标准，指参照历史数据制定的评价标准。为体现绩效改进原则，在可以实现的条件下应当确定相对较高的评价标准。</w:t>
      </w:r>
    </w:p>
    <w:p w14:paraId="1AF95EB5">
      <w:pPr>
        <w:bidi w:val="0"/>
        <w:rPr>
          <w:rFonts w:hint="eastAsia"/>
          <w:lang w:eastAsia="zh-CN"/>
        </w:rPr>
      </w:pPr>
      <w:bookmarkStart w:id="178" w:name="_Toc19926"/>
      <w:bookmarkStart w:id="179" w:name="_Toc23446"/>
      <w:bookmarkStart w:id="180" w:name="_Toc26961"/>
      <w:r>
        <w:rPr>
          <w:rFonts w:hint="eastAsia"/>
          <w:lang w:eastAsia="zh-CN"/>
        </w:rPr>
        <w:t>4.财政部门和部门单位确认或认可的其他标准。</w:t>
      </w:r>
      <w:bookmarkEnd w:id="178"/>
      <w:bookmarkEnd w:id="179"/>
      <w:bookmarkEnd w:id="180"/>
    </w:p>
    <w:p w14:paraId="6BB30E22">
      <w:pPr>
        <w:pStyle w:val="4"/>
        <w:bidi w:val="0"/>
        <w:rPr>
          <w:rFonts w:hint="eastAsia"/>
          <w:lang w:eastAsia="zh-CN"/>
        </w:rPr>
      </w:pPr>
      <w:bookmarkStart w:id="181" w:name="bookmark28"/>
      <w:bookmarkEnd w:id="181"/>
      <w:bookmarkStart w:id="182" w:name="_Toc181558014"/>
      <w:bookmarkStart w:id="183" w:name="_Toc217363508"/>
      <w:bookmarkStart w:id="184" w:name="_Toc23214"/>
      <w:bookmarkStart w:id="185" w:name="_Toc16130"/>
      <w:r>
        <w:rPr>
          <w:rFonts w:hint="eastAsia"/>
          <w:lang w:eastAsia="zh-CN"/>
        </w:rPr>
        <w:t>（七）评价思路及关注点</w:t>
      </w:r>
      <w:bookmarkEnd w:id="182"/>
      <w:bookmarkEnd w:id="183"/>
      <w:bookmarkEnd w:id="184"/>
      <w:bookmarkEnd w:id="185"/>
    </w:p>
    <w:p w14:paraId="4F321A06">
      <w:pPr>
        <w:bidi w:val="0"/>
        <w:rPr>
          <w:rFonts w:hint="eastAsia"/>
          <w:lang w:eastAsia="zh-CN"/>
        </w:rPr>
      </w:pPr>
      <w:r>
        <w:rPr>
          <w:rFonts w:hint="eastAsia"/>
          <w:lang w:eastAsia="zh-CN"/>
        </w:rPr>
        <w:t>本次评价依据部门绩效目标，从部门财政管理工作绩效、部门职能履行、部门履职效果、年度工作重点任务实施情况，以及财政管理、审计发现的问题，梳理评价内容。重点关注和分析部门开展预算绩效管理工作的规范性和执行力；部门履职中重大任务、重点工作完成情况和取得的效果，以及部门在推进事业发展中重大改革创新举措取得的成效。</w:t>
      </w:r>
    </w:p>
    <w:p w14:paraId="501D32C4">
      <w:pPr>
        <w:pStyle w:val="4"/>
        <w:bidi w:val="0"/>
        <w:rPr>
          <w:rFonts w:hint="eastAsia"/>
          <w:lang w:eastAsia="zh-CN"/>
        </w:rPr>
      </w:pPr>
      <w:bookmarkStart w:id="186" w:name="bookmark29"/>
      <w:bookmarkEnd w:id="186"/>
      <w:bookmarkStart w:id="187" w:name="_Toc217363509"/>
      <w:bookmarkStart w:id="188" w:name="_Toc181558015"/>
      <w:bookmarkStart w:id="189" w:name="_Toc17450"/>
      <w:bookmarkStart w:id="190" w:name="_Toc32147"/>
      <w:r>
        <w:rPr>
          <w:rFonts w:hint="eastAsia"/>
          <w:lang w:eastAsia="zh-CN"/>
        </w:rPr>
        <w:t>（八）绩效评价数据来源</w:t>
      </w:r>
      <w:bookmarkEnd w:id="187"/>
      <w:bookmarkEnd w:id="188"/>
      <w:bookmarkEnd w:id="189"/>
      <w:bookmarkEnd w:id="190"/>
    </w:p>
    <w:p w14:paraId="0B317A33">
      <w:pPr>
        <w:bidi w:val="0"/>
        <w:rPr>
          <w:rFonts w:hint="eastAsia"/>
          <w:lang w:eastAsia="zh-CN"/>
        </w:rPr>
      </w:pPr>
      <w:r>
        <w:rPr>
          <w:rFonts w:hint="eastAsia"/>
          <w:lang w:eastAsia="zh-CN"/>
        </w:rPr>
        <w:t>2024年度部门绩效评价中所用到的数据均来源于泉州市洛江区市场监督管理局提供的资料和数据表，包括：部门预决算及说明、部门预算批复文件、部门及专项支出的绩效自评表、自评报告和绩效目标表、部门年度计划及工作总结、资金下达文件、部门制度文件、审计报告等材料。</w:t>
      </w:r>
    </w:p>
    <w:p w14:paraId="0429A6B6">
      <w:pPr>
        <w:pStyle w:val="4"/>
        <w:bidi w:val="0"/>
        <w:rPr>
          <w:rFonts w:hint="eastAsia"/>
          <w:lang w:eastAsia="zh-CN"/>
        </w:rPr>
      </w:pPr>
      <w:bookmarkStart w:id="191" w:name="bookmark30"/>
      <w:bookmarkEnd w:id="191"/>
      <w:bookmarkStart w:id="192" w:name="_Toc217363510"/>
      <w:bookmarkStart w:id="193" w:name="_Toc181558016"/>
      <w:bookmarkStart w:id="194" w:name="_Toc7598"/>
      <w:bookmarkStart w:id="195" w:name="_Toc2703"/>
      <w:r>
        <w:rPr>
          <w:rFonts w:hint="eastAsia"/>
          <w:lang w:eastAsia="zh-CN"/>
        </w:rPr>
        <w:t>（九）评价工作开展情况</w:t>
      </w:r>
      <w:bookmarkEnd w:id="192"/>
      <w:bookmarkEnd w:id="193"/>
      <w:bookmarkEnd w:id="194"/>
      <w:bookmarkEnd w:id="195"/>
    </w:p>
    <w:p w14:paraId="4CED3FBA">
      <w:pPr>
        <w:bidi w:val="0"/>
        <w:rPr>
          <w:rFonts w:hint="eastAsia"/>
          <w:lang w:eastAsia="zh-CN"/>
        </w:rPr>
      </w:pPr>
      <w:r>
        <w:rPr>
          <w:rFonts w:hint="eastAsia"/>
          <w:lang w:eastAsia="zh-CN"/>
        </w:rPr>
        <w:t>1.按要求对2024年度部门整体绩效评价工作进行调研方案设计；</w:t>
      </w:r>
    </w:p>
    <w:p w14:paraId="44B29178">
      <w:pPr>
        <w:bidi w:val="0"/>
        <w:rPr>
          <w:rFonts w:hint="eastAsia"/>
          <w:lang w:eastAsia="zh-CN"/>
        </w:rPr>
      </w:pPr>
      <w:r>
        <w:rPr>
          <w:rFonts w:hint="eastAsia"/>
          <w:lang w:eastAsia="zh-CN"/>
        </w:rPr>
        <w:t>2.绩效评价小组成员到泉州市洛江区市场监督管理局进行实地调研和座谈，查阅单位有关档案，收集数据、资料等，依据评价工作规范，制订评价工作方案；</w:t>
      </w:r>
    </w:p>
    <w:p w14:paraId="11838CB3">
      <w:pPr>
        <w:bidi w:val="0"/>
        <w:rPr>
          <w:rFonts w:hint="eastAsia"/>
          <w:lang w:eastAsia="zh-CN"/>
        </w:rPr>
      </w:pPr>
      <w:r>
        <w:rPr>
          <w:rFonts w:hint="eastAsia"/>
          <w:lang w:eastAsia="zh-CN"/>
        </w:rPr>
        <w:t>3.拟定2024年度部门整体绩效评价指标体系，与财政局相关部门商讨指标体系，根据反馈意见，修订绩效评价指标体系；</w:t>
      </w:r>
    </w:p>
    <w:p w14:paraId="7EB97C46">
      <w:pPr>
        <w:bidi w:val="0"/>
        <w:rPr>
          <w:rFonts w:hint="eastAsia"/>
          <w:lang w:eastAsia="zh-CN"/>
        </w:rPr>
      </w:pPr>
      <w:r>
        <w:rPr>
          <w:rFonts w:hint="eastAsia"/>
          <w:lang w:eastAsia="zh-CN"/>
        </w:rPr>
        <w:t>4.根据修订后的指标体系以及绩效评价过程中出现的问题，绩效评价小组与财政局及泉州市洛江区市场监督管理局进行讨论，补充搜集绩效评价所需的数据和资料；</w:t>
      </w:r>
    </w:p>
    <w:p w14:paraId="2CE1940C">
      <w:pPr>
        <w:bidi w:val="0"/>
        <w:rPr>
          <w:rFonts w:hint="eastAsia"/>
          <w:lang w:eastAsia="zh-CN"/>
        </w:rPr>
      </w:pPr>
      <w:r>
        <w:rPr>
          <w:rFonts w:hint="eastAsia"/>
          <w:lang w:eastAsia="zh-CN"/>
        </w:rPr>
        <w:t>5.归纳、分析数据与资料，对2024年度部门支出进行绩效分析，完成2024年度部门整体绩效评价报告初稿；</w:t>
      </w:r>
    </w:p>
    <w:p w14:paraId="64F96BB2">
      <w:pPr>
        <w:bidi w:val="0"/>
        <w:rPr>
          <w:rFonts w:hint="eastAsia"/>
          <w:lang w:eastAsia="zh-CN"/>
        </w:rPr>
      </w:pPr>
      <w:bookmarkStart w:id="196" w:name="_Toc10283"/>
      <w:r>
        <w:rPr>
          <w:rFonts w:hint="eastAsia"/>
          <w:lang w:eastAsia="zh-CN"/>
        </w:rPr>
        <w:t>6.征询财政局的意见，对初稿进行修改</w:t>
      </w:r>
      <w:bookmarkEnd w:id="196"/>
      <w:r>
        <w:rPr>
          <w:rFonts w:hint="eastAsia"/>
          <w:lang w:eastAsia="zh-CN"/>
        </w:rPr>
        <w:t>调整，完成《2024年度泉州市洛江区市场监督管理局部门绩效评价报告》修订稿；</w:t>
      </w:r>
    </w:p>
    <w:p w14:paraId="4FA5759D">
      <w:pPr>
        <w:bidi w:val="0"/>
        <w:rPr>
          <w:rFonts w:hint="eastAsia"/>
          <w:lang w:eastAsia="zh-CN"/>
        </w:rPr>
      </w:pPr>
      <w:bookmarkStart w:id="197" w:name="_Toc18250"/>
      <w:r>
        <w:rPr>
          <w:rFonts w:hint="eastAsia"/>
          <w:lang w:eastAsia="zh-CN"/>
        </w:rPr>
        <w:t>7.组织专家评审。根据绩效评价报告修订稿，组织外部专家</w:t>
      </w:r>
      <w:bookmarkEnd w:id="197"/>
      <w:r>
        <w:rPr>
          <w:rFonts w:hint="eastAsia"/>
          <w:lang w:eastAsia="zh-CN"/>
        </w:rPr>
        <w:t>对报告进行专家评审，根据专家评审意见对报告进行再次优化；</w:t>
      </w:r>
    </w:p>
    <w:p w14:paraId="199DDBBC">
      <w:pPr>
        <w:bidi w:val="0"/>
        <w:rPr>
          <w:rFonts w:hint="eastAsia"/>
          <w:lang w:eastAsia="zh-CN"/>
        </w:rPr>
      </w:pPr>
      <w:bookmarkStart w:id="198" w:name="_Toc26015"/>
      <w:r>
        <w:rPr>
          <w:rFonts w:hint="eastAsia"/>
          <w:lang w:eastAsia="zh-CN"/>
        </w:rPr>
        <w:t>8.提交绩效评价报告。根据各方意见对评价报告进行优化完善定稿</w:t>
      </w:r>
      <w:bookmarkEnd w:id="198"/>
      <w:r>
        <w:rPr>
          <w:rFonts w:hint="eastAsia"/>
          <w:lang w:eastAsia="zh-CN"/>
        </w:rPr>
        <w:t>；对评价报告装订成册，在规定时间内提交评价报告终稿。</w:t>
      </w:r>
      <w:bookmarkStart w:id="199" w:name="bookmark31"/>
      <w:bookmarkEnd w:id="199"/>
      <w:bookmarkStart w:id="200" w:name="bookmark33"/>
      <w:bookmarkEnd w:id="200"/>
      <w:bookmarkStart w:id="201" w:name="bookmark32"/>
      <w:bookmarkEnd w:id="201"/>
    </w:p>
    <w:p w14:paraId="58036AA7">
      <w:pPr>
        <w:pStyle w:val="3"/>
        <w:bidi w:val="0"/>
        <w:rPr>
          <w:rFonts w:hint="eastAsia"/>
          <w:lang w:eastAsia="zh-CN"/>
        </w:rPr>
      </w:pPr>
      <w:bookmarkStart w:id="202" w:name="_Toc217363511"/>
      <w:bookmarkStart w:id="203" w:name="_Toc181558017"/>
      <w:bookmarkStart w:id="204" w:name="_Toc6758"/>
      <w:bookmarkStart w:id="205" w:name="_Toc25473"/>
      <w:r>
        <w:rPr>
          <w:rFonts w:hint="eastAsia"/>
          <w:lang w:eastAsia="zh-CN"/>
        </w:rPr>
        <w:t>五、指标体系</w:t>
      </w:r>
      <w:bookmarkEnd w:id="202"/>
      <w:bookmarkEnd w:id="203"/>
      <w:bookmarkEnd w:id="204"/>
      <w:bookmarkEnd w:id="205"/>
    </w:p>
    <w:p w14:paraId="161F5AB8">
      <w:pPr>
        <w:pStyle w:val="4"/>
        <w:bidi w:val="0"/>
        <w:rPr>
          <w:rFonts w:hint="eastAsia"/>
          <w:lang w:eastAsia="zh-CN"/>
        </w:rPr>
      </w:pPr>
      <w:bookmarkStart w:id="206" w:name="_Toc181558018"/>
      <w:bookmarkStart w:id="207" w:name="_Toc217363512"/>
      <w:bookmarkStart w:id="208" w:name="_Toc26337"/>
      <w:bookmarkStart w:id="209" w:name="_Toc2855"/>
      <w:r>
        <w:rPr>
          <w:rFonts w:hint="eastAsia"/>
          <w:lang w:eastAsia="zh-CN"/>
        </w:rPr>
        <w:t>（一）评价指标分值分布</w:t>
      </w:r>
      <w:bookmarkEnd w:id="206"/>
      <w:bookmarkEnd w:id="207"/>
      <w:bookmarkEnd w:id="208"/>
      <w:bookmarkEnd w:id="209"/>
    </w:p>
    <w:p w14:paraId="4BE7F459">
      <w:pPr>
        <w:bidi w:val="0"/>
        <w:rPr>
          <w:rFonts w:hint="eastAsia"/>
          <w:lang w:eastAsia="zh-CN"/>
        </w:rPr>
      </w:pPr>
      <w:r>
        <w:rPr>
          <w:rFonts w:hint="eastAsia"/>
          <w:lang w:eastAsia="zh-CN"/>
        </w:rPr>
        <w:t>本次绩效评价指标体系总体依据《财政部关于印发〈项目支出绩效评价管理办法〉的通知》（财预〔2020〕10号）的相关规定设计，在参考“部门项目绩效评价指标体系”的一级和二级指标内容的前提下，结合部门当年度实际工作任务对三级指标进行细化和调整，并采用层次分析法，结合以往经验确定三级指标的权重。</w:t>
      </w:r>
    </w:p>
    <w:p w14:paraId="1C95DA51">
      <w:pPr>
        <w:pStyle w:val="4"/>
        <w:bidi w:val="0"/>
        <w:rPr>
          <w:rFonts w:hint="eastAsia"/>
          <w:lang w:eastAsia="zh-CN"/>
        </w:rPr>
      </w:pPr>
      <w:bookmarkStart w:id="210" w:name="_Toc217363513"/>
      <w:bookmarkStart w:id="211" w:name="_Toc181558019"/>
      <w:bookmarkStart w:id="212" w:name="_Toc24124"/>
      <w:bookmarkStart w:id="213" w:name="_Toc9778"/>
      <w:r>
        <w:rPr>
          <w:rFonts w:hint="eastAsia"/>
          <w:lang w:eastAsia="zh-CN"/>
        </w:rPr>
        <w:t>（二）评价等级</w:t>
      </w:r>
      <w:bookmarkEnd w:id="210"/>
      <w:bookmarkEnd w:id="211"/>
      <w:bookmarkEnd w:id="212"/>
      <w:bookmarkEnd w:id="213"/>
    </w:p>
    <w:p w14:paraId="3BE5230D">
      <w:pPr>
        <w:bidi w:val="0"/>
        <w:rPr>
          <w:rFonts w:hint="eastAsia"/>
          <w:lang w:eastAsia="zh-CN"/>
        </w:rPr>
      </w:pPr>
      <w:bookmarkStart w:id="214" w:name="_Toc22776"/>
      <w:r>
        <w:rPr>
          <w:rFonts w:hint="eastAsia"/>
          <w:lang w:eastAsia="zh-CN"/>
        </w:rPr>
        <w:t>评价结果包括综合评分和评级，分为四个等级：高于或等于90（含）为“优”；80分（含）～90分为“良”；60分（含）～80分为“中”；低于60分为“差”</w:t>
      </w:r>
      <w:bookmarkEnd w:id="214"/>
      <w:r>
        <w:rPr>
          <w:rFonts w:hint="eastAsia"/>
          <w:lang w:eastAsia="zh-CN"/>
        </w:rPr>
        <w:t>。</w:t>
      </w:r>
    </w:p>
    <w:p w14:paraId="417F6F29">
      <w:pPr>
        <w:rPr>
          <w:rFonts w:hint="eastAsia" w:ascii="仿宋" w:hAnsi="仿宋" w:eastAsia="仿宋" w:cs="仿宋"/>
          <w:bCs/>
          <w:spacing w:val="-3"/>
          <w:sz w:val="28"/>
          <w:szCs w:val="24"/>
          <w:lang w:eastAsia="zh-CN"/>
          <w14:textOutline w14:w="5105" w14:cap="sq" w14:cmpd="sng" w14:algn="ctr">
            <w14:solidFill>
              <w14:srgbClr w14:val="000000"/>
            </w14:solidFill>
            <w14:prstDash w14:val="solid"/>
            <w14:bevel/>
          </w14:textOutline>
        </w:rPr>
      </w:pPr>
      <w:r>
        <w:rPr>
          <w:rFonts w:hint="eastAsia" w:ascii="仿宋" w:hAnsi="仿宋" w:eastAsia="仿宋" w:cs="仿宋"/>
          <w:bCs/>
          <w:spacing w:val="-3"/>
          <w:sz w:val="28"/>
          <w:szCs w:val="24"/>
          <w:lang w:eastAsia="zh-CN"/>
          <w14:textOutline w14:w="5105" w14:cap="sq" w14:cmpd="sng" w14:algn="ctr">
            <w14:solidFill>
              <w14:srgbClr w14:val="000000"/>
            </w14:solidFill>
            <w14:prstDash w14:val="solid"/>
            <w14:bevel/>
          </w14:textOutline>
        </w:rPr>
        <w:br w:type="page"/>
      </w:r>
    </w:p>
    <w:p w14:paraId="607E8A74">
      <w:pPr>
        <w:widowControl w:val="0"/>
        <w:overflowPunct w:val="0"/>
        <w:spacing w:line="408" w:lineRule="auto"/>
        <w:ind w:firstLine="274" w:firstLineChars="100"/>
        <w:jc w:val="center"/>
        <w:rPr>
          <w:rFonts w:hint="eastAsia" w:ascii="仿宋" w:hAnsi="仿宋" w:eastAsia="仿宋" w:cs="仿宋"/>
          <w:bCs/>
          <w:spacing w:val="-3"/>
          <w:sz w:val="28"/>
          <w:szCs w:val="24"/>
          <w:lang w:eastAsia="zh-CN"/>
          <w14:textOutline w14:w="5105" w14:cap="sq" w14:cmpd="sng" w14:algn="ctr">
            <w14:solidFill>
              <w14:srgbClr w14:val="000000"/>
            </w14:solidFill>
            <w14:prstDash w14:val="solid"/>
            <w14:bevel/>
          </w14:textOutline>
        </w:rPr>
      </w:pPr>
      <w:r>
        <w:rPr>
          <w:rFonts w:hint="eastAsia" w:ascii="仿宋" w:hAnsi="仿宋" w:eastAsia="仿宋" w:cs="仿宋"/>
          <w:bCs/>
          <w:spacing w:val="-3"/>
          <w:sz w:val="28"/>
          <w:szCs w:val="24"/>
          <w:lang w:eastAsia="zh-CN"/>
          <w14:textOutline w14:w="5105" w14:cap="sq" w14:cmpd="sng" w14:algn="ctr">
            <w14:solidFill>
              <w14:srgbClr w14:val="000000"/>
            </w14:solidFill>
            <w14:prstDash w14:val="solid"/>
            <w14:bevel/>
          </w14:textOutline>
        </w:rPr>
        <w:t>2024</w:t>
      </w:r>
      <w:r>
        <w:rPr>
          <w:rFonts w:ascii="仿宋" w:hAnsi="仿宋" w:eastAsia="仿宋" w:cs="仿宋"/>
          <w:bCs/>
          <w:spacing w:val="-3"/>
          <w:sz w:val="28"/>
          <w:szCs w:val="24"/>
          <w:lang w:eastAsia="zh-CN"/>
          <w14:textOutline w14:w="5105" w14:cap="sq" w14:cmpd="sng" w14:algn="ctr">
            <w14:solidFill>
              <w14:srgbClr w14:val="000000"/>
            </w14:solidFill>
            <w14:prstDash w14:val="solid"/>
            <w14:bevel/>
          </w14:textOutline>
        </w:rPr>
        <w:t>年度</w:t>
      </w:r>
      <w:r>
        <w:rPr>
          <w:rFonts w:hint="eastAsia" w:ascii="仿宋" w:hAnsi="仿宋" w:eastAsia="仿宋" w:cs="仿宋"/>
          <w:bCs/>
          <w:spacing w:val="-3"/>
          <w:sz w:val="28"/>
          <w:szCs w:val="24"/>
          <w:lang w:eastAsia="zh-CN"/>
          <w14:textOutline w14:w="5105" w14:cap="sq" w14:cmpd="sng" w14:algn="ctr">
            <w14:solidFill>
              <w14:srgbClr w14:val="000000"/>
            </w14:solidFill>
            <w14:prstDash w14:val="solid"/>
            <w14:bevel/>
          </w14:textOutline>
        </w:rPr>
        <w:t>泉州市洛江区市场监督管理局部门</w:t>
      </w:r>
      <w:r>
        <w:rPr>
          <w:rFonts w:ascii="仿宋" w:hAnsi="仿宋" w:eastAsia="仿宋" w:cs="仿宋"/>
          <w:bCs/>
          <w:spacing w:val="-3"/>
          <w:sz w:val="28"/>
          <w:szCs w:val="24"/>
          <w:lang w:eastAsia="zh-CN"/>
          <w14:textOutline w14:w="5105" w14:cap="sq" w14:cmpd="sng" w14:algn="ctr">
            <w14:solidFill>
              <w14:srgbClr w14:val="000000"/>
            </w14:solidFill>
            <w14:prstDash w14:val="solid"/>
            <w14:bevel/>
          </w14:textOutline>
        </w:rPr>
        <w:t>绩效评价指标体系表</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6"/>
        <w:gridCol w:w="648"/>
        <w:gridCol w:w="1012"/>
        <w:gridCol w:w="2485"/>
        <w:gridCol w:w="3741"/>
      </w:tblGrid>
      <w:tr w14:paraId="3BA43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trPr>
        <w:tc>
          <w:tcPr>
            <w:tcW w:w="373" w:type="pct"/>
            <w:shd w:val="clear" w:color="auto" w:fill="D8D8D8" w:themeFill="background1" w:themeFillShade="D9"/>
            <w:vAlign w:val="center"/>
          </w:tcPr>
          <w:p w14:paraId="71927115">
            <w:pPr>
              <w:pStyle w:val="18"/>
              <w:bidi w:val="0"/>
              <w:jc w:val="center"/>
              <w:rPr>
                <w:rFonts w:hint="eastAsia"/>
                <w:b/>
                <w:bCs/>
                <w:lang w:eastAsia="zh-CN"/>
              </w:rPr>
            </w:pPr>
            <w:r>
              <w:rPr>
                <w:rFonts w:hint="eastAsia"/>
                <w:b/>
                <w:bCs/>
                <w:lang w:eastAsia="zh-CN"/>
              </w:rPr>
              <w:t>一级指标</w:t>
            </w:r>
          </w:p>
        </w:tc>
        <w:tc>
          <w:tcPr>
            <w:tcW w:w="380" w:type="pct"/>
            <w:shd w:val="clear" w:color="auto" w:fill="D8D8D8" w:themeFill="background1" w:themeFillShade="D9"/>
            <w:vAlign w:val="center"/>
          </w:tcPr>
          <w:p w14:paraId="1A0936E1">
            <w:pPr>
              <w:pStyle w:val="18"/>
              <w:bidi w:val="0"/>
              <w:jc w:val="center"/>
              <w:rPr>
                <w:rFonts w:hint="eastAsia"/>
                <w:b/>
                <w:bCs/>
                <w:lang w:eastAsia="zh-CN"/>
              </w:rPr>
            </w:pPr>
            <w:r>
              <w:rPr>
                <w:rFonts w:hint="eastAsia"/>
                <w:b/>
                <w:bCs/>
                <w:lang w:eastAsia="zh-CN"/>
              </w:rPr>
              <w:t>二级指标</w:t>
            </w:r>
          </w:p>
        </w:tc>
        <w:tc>
          <w:tcPr>
            <w:tcW w:w="594" w:type="pct"/>
            <w:shd w:val="clear" w:color="auto" w:fill="D8D8D8" w:themeFill="background1" w:themeFillShade="D9"/>
            <w:vAlign w:val="center"/>
          </w:tcPr>
          <w:p w14:paraId="6E8B2024">
            <w:pPr>
              <w:pStyle w:val="18"/>
              <w:bidi w:val="0"/>
              <w:jc w:val="center"/>
              <w:rPr>
                <w:rFonts w:hint="eastAsia"/>
                <w:b/>
                <w:bCs/>
                <w:lang w:eastAsia="zh-CN"/>
              </w:rPr>
            </w:pPr>
            <w:r>
              <w:rPr>
                <w:rFonts w:hint="eastAsia"/>
                <w:b/>
                <w:bCs/>
                <w:lang w:eastAsia="zh-CN"/>
              </w:rPr>
              <w:t>三级指标</w:t>
            </w:r>
          </w:p>
        </w:tc>
        <w:tc>
          <w:tcPr>
            <w:tcW w:w="1458" w:type="pct"/>
            <w:shd w:val="clear" w:color="auto" w:fill="D8D8D8" w:themeFill="background1" w:themeFillShade="D9"/>
            <w:vAlign w:val="center"/>
          </w:tcPr>
          <w:p w14:paraId="6A5CED14">
            <w:pPr>
              <w:pStyle w:val="18"/>
              <w:bidi w:val="0"/>
              <w:jc w:val="center"/>
              <w:rPr>
                <w:rFonts w:hint="eastAsia"/>
                <w:b/>
                <w:bCs/>
                <w:lang w:eastAsia="zh-CN"/>
              </w:rPr>
            </w:pPr>
            <w:r>
              <w:rPr>
                <w:rFonts w:hint="eastAsia"/>
                <w:b/>
                <w:bCs/>
                <w:lang w:eastAsia="zh-CN"/>
              </w:rPr>
              <w:t>指标解释</w:t>
            </w:r>
          </w:p>
        </w:tc>
        <w:tc>
          <w:tcPr>
            <w:tcW w:w="2195" w:type="pct"/>
            <w:shd w:val="clear" w:color="auto" w:fill="D8D8D8" w:themeFill="background1" w:themeFillShade="D9"/>
            <w:vAlign w:val="center"/>
          </w:tcPr>
          <w:p w14:paraId="09FFF69B">
            <w:pPr>
              <w:pStyle w:val="18"/>
              <w:bidi w:val="0"/>
              <w:jc w:val="center"/>
              <w:rPr>
                <w:rFonts w:hint="eastAsia"/>
                <w:b/>
                <w:bCs/>
                <w:lang w:eastAsia="zh-CN"/>
              </w:rPr>
            </w:pPr>
            <w:r>
              <w:rPr>
                <w:rFonts w:hint="eastAsia"/>
                <w:b/>
                <w:bCs/>
                <w:lang w:eastAsia="zh-CN"/>
              </w:rPr>
              <w:t>评分标准</w:t>
            </w:r>
          </w:p>
        </w:tc>
      </w:tr>
      <w:tr w14:paraId="1FD1E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restart"/>
            <w:vAlign w:val="center"/>
          </w:tcPr>
          <w:p w14:paraId="272D6484">
            <w:pPr>
              <w:pStyle w:val="18"/>
              <w:bidi w:val="0"/>
              <w:rPr>
                <w:rFonts w:hint="eastAsia"/>
                <w:lang w:eastAsia="zh-CN"/>
              </w:rPr>
            </w:pPr>
            <w:r>
              <w:rPr>
                <w:rFonts w:hint="eastAsia"/>
                <w:lang w:eastAsia="zh-CN"/>
              </w:rPr>
              <w:t>决策（15%）</w:t>
            </w:r>
          </w:p>
        </w:tc>
        <w:tc>
          <w:tcPr>
            <w:tcW w:w="380" w:type="pct"/>
            <w:vMerge w:val="restart"/>
            <w:vAlign w:val="center"/>
          </w:tcPr>
          <w:p w14:paraId="1375DA4C">
            <w:pPr>
              <w:pStyle w:val="18"/>
              <w:bidi w:val="0"/>
              <w:rPr>
                <w:rFonts w:hint="eastAsia"/>
                <w:lang w:eastAsia="zh-CN"/>
              </w:rPr>
            </w:pPr>
            <w:r>
              <w:rPr>
                <w:rFonts w:hint="eastAsia"/>
                <w:lang w:eastAsia="zh-CN"/>
              </w:rPr>
              <w:t>目标设定（6分）</w:t>
            </w:r>
          </w:p>
        </w:tc>
        <w:tc>
          <w:tcPr>
            <w:tcW w:w="594" w:type="pct"/>
            <w:vAlign w:val="center"/>
          </w:tcPr>
          <w:p w14:paraId="2B444DE2">
            <w:pPr>
              <w:pStyle w:val="18"/>
              <w:bidi w:val="0"/>
              <w:rPr>
                <w:rFonts w:hint="eastAsia"/>
                <w:lang w:eastAsia="zh-CN"/>
              </w:rPr>
            </w:pPr>
            <w:r>
              <w:rPr>
                <w:rFonts w:hint="eastAsia"/>
                <w:lang w:eastAsia="zh-CN"/>
              </w:rPr>
              <w:t>绩效目标合理性（3分）</w:t>
            </w:r>
          </w:p>
        </w:tc>
        <w:tc>
          <w:tcPr>
            <w:tcW w:w="1458" w:type="pct"/>
            <w:vAlign w:val="center"/>
          </w:tcPr>
          <w:p w14:paraId="766C9A62">
            <w:pPr>
              <w:pStyle w:val="18"/>
              <w:bidi w:val="0"/>
              <w:rPr>
                <w:rFonts w:hint="eastAsia"/>
                <w:lang w:eastAsia="zh-CN"/>
              </w:rPr>
            </w:pPr>
            <w:r>
              <w:rPr>
                <w:rFonts w:hint="eastAsia"/>
                <w:lang w:eastAsia="zh-CN"/>
              </w:rPr>
              <w:t>部门所设立的整体绩效目标依据是否充分，是否符合客观实际，用以反映和考核绩效目标与部门履职、年度工作任务的相符性情况。</w:t>
            </w:r>
          </w:p>
        </w:tc>
        <w:tc>
          <w:tcPr>
            <w:tcW w:w="2195" w:type="pct"/>
            <w:vAlign w:val="center"/>
          </w:tcPr>
          <w:p w14:paraId="3F6BA626">
            <w:pPr>
              <w:pStyle w:val="18"/>
              <w:bidi w:val="0"/>
              <w:rPr>
                <w:rFonts w:hint="eastAsia"/>
                <w:lang w:eastAsia="zh-CN"/>
              </w:rPr>
            </w:pPr>
            <w:r>
              <w:rPr>
                <w:rFonts w:hint="eastAsia"/>
                <w:lang w:eastAsia="zh-CN"/>
              </w:rPr>
              <w:t>评价要点：</w:t>
            </w:r>
            <w:r>
              <w:rPr>
                <w:rFonts w:hint="eastAsia"/>
                <w:lang w:eastAsia="zh-CN"/>
              </w:rPr>
              <w:br w:type="textWrapping"/>
            </w:r>
            <w:r>
              <w:rPr>
                <w:lang w:eastAsia="zh-CN"/>
              </w:rPr>
              <w:t>①</w:t>
            </w:r>
            <w:r>
              <w:rPr>
                <w:rFonts w:hint="eastAsia"/>
                <w:lang w:eastAsia="zh-CN"/>
              </w:rPr>
              <w:t>是否符合国家法律法规；</w:t>
            </w:r>
            <w:r>
              <w:rPr>
                <w:rFonts w:hint="eastAsia"/>
                <w:lang w:eastAsia="zh-CN"/>
              </w:rPr>
              <w:br w:type="textWrapping"/>
            </w:r>
            <w:r>
              <w:rPr>
                <w:rFonts w:hint="eastAsia"/>
                <w:lang w:eastAsia="zh-CN"/>
              </w:rPr>
              <w:t>②是否符合国民经济和社会发展总体规划；</w:t>
            </w:r>
            <w:r>
              <w:rPr>
                <w:rFonts w:hint="eastAsia"/>
                <w:lang w:eastAsia="zh-CN"/>
              </w:rPr>
              <w:br w:type="textWrapping"/>
            </w:r>
            <w:r>
              <w:rPr>
                <w:rFonts w:hint="eastAsia"/>
                <w:lang w:eastAsia="zh-CN"/>
              </w:rPr>
              <w:t>③是否符合部门“三定”方案确定的职责。</w:t>
            </w:r>
            <w:r>
              <w:rPr>
                <w:rFonts w:hint="eastAsia"/>
                <w:lang w:eastAsia="zh-CN"/>
              </w:rPr>
              <w:br w:type="textWrapping"/>
            </w:r>
            <w:r>
              <w:rPr>
                <w:rFonts w:hint="eastAsia"/>
                <w:lang w:eastAsia="zh-CN"/>
              </w:rPr>
              <w:t>一项不符扣1分。</w:t>
            </w:r>
          </w:p>
        </w:tc>
      </w:tr>
      <w:tr w14:paraId="2654F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52748B25">
            <w:pPr>
              <w:pStyle w:val="18"/>
              <w:bidi w:val="0"/>
              <w:rPr>
                <w:rFonts w:hint="eastAsia"/>
                <w:lang w:eastAsia="zh-CN"/>
              </w:rPr>
            </w:pPr>
          </w:p>
        </w:tc>
        <w:tc>
          <w:tcPr>
            <w:tcW w:w="380" w:type="pct"/>
            <w:vMerge w:val="continue"/>
            <w:vAlign w:val="center"/>
          </w:tcPr>
          <w:p w14:paraId="5C0AEA46">
            <w:pPr>
              <w:pStyle w:val="18"/>
              <w:bidi w:val="0"/>
              <w:rPr>
                <w:rFonts w:hint="eastAsia"/>
                <w:lang w:eastAsia="zh-CN"/>
              </w:rPr>
            </w:pPr>
          </w:p>
        </w:tc>
        <w:tc>
          <w:tcPr>
            <w:tcW w:w="594" w:type="pct"/>
            <w:vAlign w:val="center"/>
          </w:tcPr>
          <w:p w14:paraId="29CA657C">
            <w:pPr>
              <w:pStyle w:val="18"/>
              <w:bidi w:val="0"/>
              <w:rPr>
                <w:rFonts w:hint="eastAsia"/>
                <w:lang w:eastAsia="zh-CN"/>
              </w:rPr>
            </w:pPr>
            <w:r>
              <w:rPr>
                <w:rFonts w:hint="eastAsia"/>
                <w:lang w:eastAsia="zh-CN"/>
              </w:rPr>
              <w:t>绩效目标明确性（3分）</w:t>
            </w:r>
          </w:p>
        </w:tc>
        <w:tc>
          <w:tcPr>
            <w:tcW w:w="1458" w:type="pct"/>
            <w:vAlign w:val="center"/>
          </w:tcPr>
          <w:p w14:paraId="54A408A8">
            <w:pPr>
              <w:pStyle w:val="18"/>
              <w:bidi w:val="0"/>
              <w:rPr>
                <w:rFonts w:hint="eastAsia"/>
                <w:lang w:eastAsia="zh-CN"/>
              </w:rPr>
            </w:pPr>
            <w:r>
              <w:rPr>
                <w:rFonts w:hint="eastAsia"/>
                <w:lang w:eastAsia="zh-CN"/>
              </w:rPr>
              <w:t>部门依据整体绩效目标所设定的绩效指标是否清晰、细化、可衡量，用以反映和考核绩效目标的细化情况，并涵盖绩效目标全部内容，反映项目预期产出和效益。</w:t>
            </w:r>
          </w:p>
        </w:tc>
        <w:tc>
          <w:tcPr>
            <w:tcW w:w="2195" w:type="pct"/>
            <w:vAlign w:val="center"/>
          </w:tcPr>
          <w:p w14:paraId="33ED013B">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①是否将部门整体的绩效目标细化分解为具体的工作任务；</w:t>
            </w:r>
            <w:r>
              <w:rPr>
                <w:rFonts w:hint="eastAsia"/>
                <w:lang w:eastAsia="zh-CN"/>
              </w:rPr>
              <w:br w:type="textWrapping"/>
            </w:r>
            <w:r>
              <w:rPr>
                <w:rFonts w:hint="eastAsia"/>
                <w:lang w:eastAsia="zh-CN"/>
              </w:rPr>
              <w:t>②是否通过清晰、可衡量的指标予以体现；</w:t>
            </w:r>
            <w:r>
              <w:rPr>
                <w:rFonts w:hint="eastAsia"/>
                <w:lang w:eastAsia="zh-CN"/>
              </w:rPr>
              <w:br w:type="textWrapping"/>
            </w:r>
            <w:r>
              <w:rPr>
                <w:rFonts w:hint="eastAsia"/>
                <w:lang w:eastAsia="zh-CN"/>
              </w:rPr>
              <w:t>③是否与部门年度的任务数或计划数相对应。</w:t>
            </w:r>
            <w:r>
              <w:rPr>
                <w:rFonts w:hint="eastAsia"/>
                <w:lang w:eastAsia="zh-CN"/>
              </w:rPr>
              <w:br w:type="textWrapping"/>
            </w:r>
            <w:r>
              <w:rPr>
                <w:rFonts w:hint="eastAsia"/>
                <w:lang w:eastAsia="zh-CN"/>
              </w:rPr>
              <w:t>一项不符扣1分。</w:t>
            </w:r>
          </w:p>
        </w:tc>
      </w:tr>
      <w:tr w14:paraId="369714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23FB142E">
            <w:pPr>
              <w:pStyle w:val="18"/>
              <w:bidi w:val="0"/>
              <w:rPr>
                <w:rFonts w:hint="eastAsia"/>
                <w:lang w:eastAsia="zh-CN"/>
              </w:rPr>
            </w:pPr>
          </w:p>
        </w:tc>
        <w:tc>
          <w:tcPr>
            <w:tcW w:w="380" w:type="pct"/>
            <w:vMerge w:val="restart"/>
            <w:vAlign w:val="center"/>
          </w:tcPr>
          <w:p w14:paraId="7241DFA1">
            <w:pPr>
              <w:pStyle w:val="18"/>
              <w:bidi w:val="0"/>
              <w:rPr>
                <w:rFonts w:hint="eastAsia"/>
                <w:lang w:eastAsia="zh-CN"/>
              </w:rPr>
            </w:pPr>
            <w:r>
              <w:rPr>
                <w:rFonts w:hint="eastAsia"/>
                <w:lang w:eastAsia="zh-CN"/>
              </w:rPr>
              <w:t>预算配置（9分）</w:t>
            </w:r>
          </w:p>
        </w:tc>
        <w:tc>
          <w:tcPr>
            <w:tcW w:w="594" w:type="pct"/>
            <w:vAlign w:val="center"/>
          </w:tcPr>
          <w:p w14:paraId="642D2929">
            <w:pPr>
              <w:pStyle w:val="18"/>
              <w:bidi w:val="0"/>
              <w:rPr>
                <w:rFonts w:hint="eastAsia"/>
                <w:lang w:eastAsia="zh-CN"/>
              </w:rPr>
            </w:pPr>
            <w:r>
              <w:rPr>
                <w:rFonts w:hint="eastAsia"/>
                <w:lang w:eastAsia="zh-CN"/>
              </w:rPr>
              <w:t>在职人员控制率（3分）</w:t>
            </w:r>
          </w:p>
        </w:tc>
        <w:tc>
          <w:tcPr>
            <w:tcW w:w="1458" w:type="pct"/>
            <w:vAlign w:val="center"/>
          </w:tcPr>
          <w:p w14:paraId="3390E588">
            <w:pPr>
              <w:pStyle w:val="18"/>
              <w:bidi w:val="0"/>
              <w:rPr>
                <w:rFonts w:hint="eastAsia"/>
                <w:lang w:eastAsia="zh-CN"/>
              </w:rPr>
            </w:pPr>
            <w:r>
              <w:rPr>
                <w:rFonts w:hint="eastAsia"/>
                <w:lang w:eastAsia="zh-CN"/>
              </w:rPr>
              <w:t>部门本年度实际在职人员数与编制数的比率，用以反映和考核部门对人员成本的控制程度。</w:t>
            </w:r>
          </w:p>
        </w:tc>
        <w:tc>
          <w:tcPr>
            <w:tcW w:w="2195" w:type="pct"/>
            <w:vAlign w:val="center"/>
          </w:tcPr>
          <w:p w14:paraId="58C271DD">
            <w:pPr>
              <w:pStyle w:val="18"/>
              <w:bidi w:val="0"/>
              <w:rPr>
                <w:rFonts w:hint="eastAsia"/>
                <w:lang w:eastAsia="zh-CN"/>
              </w:rPr>
            </w:pPr>
            <w:r>
              <w:rPr>
                <w:rFonts w:hint="eastAsia"/>
                <w:lang w:eastAsia="zh-CN"/>
              </w:rPr>
              <w:t>评价要点：在职人员控制率=（在编人员数/编制数）×100%。</w:t>
            </w:r>
            <w:r>
              <w:rPr>
                <w:rFonts w:hint="eastAsia"/>
                <w:lang w:eastAsia="zh-CN"/>
              </w:rPr>
              <w:br w:type="textWrapping"/>
            </w:r>
            <w:r>
              <w:rPr>
                <w:rFonts w:hint="eastAsia"/>
                <w:lang w:eastAsia="zh-CN"/>
              </w:rPr>
              <w:t>评价要点：</w:t>
            </w:r>
            <w:r>
              <w:rPr>
                <w:rFonts w:hint="eastAsia"/>
                <w:lang w:eastAsia="zh-CN"/>
              </w:rPr>
              <w:br w:type="textWrapping"/>
            </w:r>
            <w:r>
              <w:rPr>
                <w:rFonts w:hint="eastAsia"/>
                <w:lang w:eastAsia="zh-CN"/>
              </w:rPr>
              <w:t>①在职人员控制率≤100%，得满分；</w:t>
            </w:r>
            <w:r>
              <w:rPr>
                <w:rFonts w:hint="eastAsia"/>
                <w:lang w:eastAsia="zh-CN"/>
              </w:rPr>
              <w:br w:type="textWrapping"/>
            </w:r>
            <w:r>
              <w:rPr>
                <w:rFonts w:hint="eastAsia"/>
                <w:lang w:eastAsia="zh-CN"/>
              </w:rPr>
              <w:t>②在职人员控制率≧115%，得0分；</w:t>
            </w:r>
            <w:r>
              <w:rPr>
                <w:rFonts w:hint="eastAsia"/>
                <w:lang w:eastAsia="zh-CN"/>
              </w:rPr>
              <w:br w:type="textWrapping"/>
            </w:r>
            <w:r>
              <w:rPr>
                <w:rFonts w:hint="eastAsia"/>
                <w:lang w:eastAsia="zh-CN"/>
              </w:rPr>
              <w:t>③100%＜在职人员控制率＜115%之间，得分=（115%－某部门在职人员控制率）/15%×指标分值。</w:t>
            </w:r>
          </w:p>
        </w:tc>
      </w:tr>
      <w:tr w14:paraId="55622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5D081323">
            <w:pPr>
              <w:pStyle w:val="18"/>
              <w:bidi w:val="0"/>
              <w:rPr>
                <w:rFonts w:hint="eastAsia"/>
                <w:lang w:eastAsia="zh-CN"/>
              </w:rPr>
            </w:pPr>
          </w:p>
        </w:tc>
        <w:tc>
          <w:tcPr>
            <w:tcW w:w="380" w:type="pct"/>
            <w:vMerge w:val="continue"/>
            <w:vAlign w:val="center"/>
          </w:tcPr>
          <w:p w14:paraId="19D3100A">
            <w:pPr>
              <w:pStyle w:val="18"/>
              <w:bidi w:val="0"/>
              <w:rPr>
                <w:rFonts w:hint="eastAsia"/>
                <w:lang w:eastAsia="zh-CN"/>
              </w:rPr>
            </w:pPr>
          </w:p>
        </w:tc>
        <w:tc>
          <w:tcPr>
            <w:tcW w:w="594" w:type="pct"/>
            <w:vAlign w:val="center"/>
          </w:tcPr>
          <w:p w14:paraId="511B1FCE">
            <w:pPr>
              <w:pStyle w:val="18"/>
              <w:bidi w:val="0"/>
              <w:rPr>
                <w:rFonts w:hint="eastAsia"/>
                <w:lang w:eastAsia="zh-CN"/>
              </w:rPr>
            </w:pPr>
            <w:r>
              <w:rPr>
                <w:rFonts w:hint="eastAsia"/>
                <w:lang w:eastAsia="zh-CN"/>
              </w:rPr>
              <w:t>“三公”经费变动率（3分）</w:t>
            </w:r>
          </w:p>
        </w:tc>
        <w:tc>
          <w:tcPr>
            <w:tcW w:w="1458" w:type="pct"/>
            <w:vAlign w:val="center"/>
          </w:tcPr>
          <w:p w14:paraId="18A00951">
            <w:pPr>
              <w:pStyle w:val="18"/>
              <w:bidi w:val="0"/>
              <w:rPr>
                <w:rFonts w:hint="eastAsia"/>
                <w:lang w:eastAsia="zh-CN"/>
              </w:rPr>
            </w:pPr>
            <w:r>
              <w:rPr>
                <w:rFonts w:hint="eastAsia"/>
                <w:lang w:eastAsia="zh-CN"/>
              </w:rPr>
              <w:t>部门本年度“三公”经费预算数与上年度“三公”经费预算数的变动比率，用以反映和考核部门对控制重点行政成本的努力程度。“三公”经费变动率=[（本年度“三公”经费总额-上年度“三公”经费总额）/上年度“三公”经费总额]×100%。</w:t>
            </w:r>
          </w:p>
        </w:tc>
        <w:tc>
          <w:tcPr>
            <w:tcW w:w="2195" w:type="pct"/>
            <w:vAlign w:val="center"/>
          </w:tcPr>
          <w:p w14:paraId="4E9215FB">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①变动率≤0%得满分；</w:t>
            </w:r>
            <w:r>
              <w:rPr>
                <w:rFonts w:hint="eastAsia"/>
                <w:lang w:eastAsia="zh-CN"/>
              </w:rPr>
              <w:br w:type="textWrapping"/>
            </w:r>
            <w:r>
              <w:rPr>
                <w:rFonts w:hint="eastAsia"/>
                <w:lang w:eastAsia="zh-CN"/>
              </w:rPr>
              <w:t>②变动率每超过10个百分点扣1分，扣完为止。</w:t>
            </w:r>
          </w:p>
        </w:tc>
      </w:tr>
      <w:tr w14:paraId="2B326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31C452E2">
            <w:pPr>
              <w:pStyle w:val="18"/>
              <w:bidi w:val="0"/>
              <w:rPr>
                <w:rFonts w:hint="eastAsia"/>
                <w:lang w:eastAsia="zh-CN"/>
              </w:rPr>
            </w:pPr>
          </w:p>
        </w:tc>
        <w:tc>
          <w:tcPr>
            <w:tcW w:w="380" w:type="pct"/>
            <w:vMerge w:val="continue"/>
            <w:vAlign w:val="center"/>
          </w:tcPr>
          <w:p w14:paraId="53AC7F18">
            <w:pPr>
              <w:pStyle w:val="18"/>
              <w:bidi w:val="0"/>
              <w:rPr>
                <w:rFonts w:hint="eastAsia"/>
                <w:lang w:eastAsia="zh-CN"/>
              </w:rPr>
            </w:pPr>
          </w:p>
        </w:tc>
        <w:tc>
          <w:tcPr>
            <w:tcW w:w="594" w:type="pct"/>
            <w:vAlign w:val="center"/>
          </w:tcPr>
          <w:p w14:paraId="1B949124">
            <w:pPr>
              <w:pStyle w:val="18"/>
              <w:bidi w:val="0"/>
              <w:rPr>
                <w:rFonts w:hint="eastAsia"/>
                <w:lang w:eastAsia="zh-CN"/>
              </w:rPr>
            </w:pPr>
            <w:r>
              <w:rPr>
                <w:rFonts w:hint="eastAsia"/>
                <w:lang w:eastAsia="zh-CN"/>
              </w:rPr>
              <w:t>结转结余变动率（3分）</w:t>
            </w:r>
          </w:p>
        </w:tc>
        <w:tc>
          <w:tcPr>
            <w:tcW w:w="1458" w:type="pct"/>
            <w:vAlign w:val="center"/>
          </w:tcPr>
          <w:p w14:paraId="2D90C841">
            <w:pPr>
              <w:pStyle w:val="18"/>
              <w:bidi w:val="0"/>
              <w:rPr>
                <w:rFonts w:hint="eastAsia"/>
                <w:lang w:eastAsia="zh-CN"/>
              </w:rPr>
            </w:pPr>
            <w:r>
              <w:rPr>
                <w:rFonts w:hint="eastAsia"/>
                <w:lang w:eastAsia="zh-CN"/>
              </w:rPr>
              <w:t>部门本年度“结转结余”金额与上年度“结转结余”金额的变动比率，用以反映和考核部门资金的结余程度。</w:t>
            </w:r>
          </w:p>
        </w:tc>
        <w:tc>
          <w:tcPr>
            <w:tcW w:w="2195" w:type="pct"/>
            <w:vAlign w:val="center"/>
          </w:tcPr>
          <w:p w14:paraId="265F259B">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结转结余变动率=[（本年度累计结转结余资金总额-上年度累计结转结余资金总额）/上年度累计结转结余资金总额]×100%。</w:t>
            </w:r>
            <w:r>
              <w:rPr>
                <w:rFonts w:hint="eastAsia"/>
                <w:lang w:eastAsia="zh-CN"/>
              </w:rPr>
              <w:br w:type="textWrapping"/>
            </w:r>
            <w:r>
              <w:rPr>
                <w:rFonts w:hint="eastAsia"/>
                <w:lang w:eastAsia="zh-CN"/>
              </w:rPr>
              <w:t>结转结余变动率＜0，得满分；</w:t>
            </w:r>
            <w:r>
              <w:rPr>
                <w:rFonts w:hint="eastAsia"/>
                <w:lang w:eastAsia="zh-CN"/>
              </w:rPr>
              <w:br w:type="textWrapping"/>
            </w:r>
            <w:r>
              <w:rPr>
                <w:rFonts w:hint="eastAsia"/>
                <w:lang w:eastAsia="zh-CN"/>
              </w:rPr>
              <w:t>结转结余变动率≧60%，不得分。</w:t>
            </w:r>
            <w:r>
              <w:rPr>
                <w:rFonts w:hint="eastAsia"/>
                <w:lang w:eastAsia="zh-CN"/>
              </w:rPr>
              <w:br w:type="textWrapping"/>
            </w:r>
            <w:r>
              <w:rPr>
                <w:rFonts w:hint="eastAsia"/>
                <w:lang w:eastAsia="zh-CN"/>
              </w:rPr>
              <w:t>得分=（60%-结转结余变动率）/60%×该指标分值</w:t>
            </w:r>
          </w:p>
        </w:tc>
      </w:tr>
      <w:tr w14:paraId="0A352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restart"/>
            <w:vAlign w:val="center"/>
          </w:tcPr>
          <w:p w14:paraId="471D4EAC">
            <w:pPr>
              <w:pStyle w:val="18"/>
              <w:bidi w:val="0"/>
              <w:rPr>
                <w:rFonts w:hint="eastAsia"/>
                <w:lang w:eastAsia="zh-CN"/>
              </w:rPr>
            </w:pPr>
            <w:r>
              <w:rPr>
                <w:rFonts w:hint="eastAsia"/>
                <w:lang w:eastAsia="zh-CN"/>
              </w:rPr>
              <w:t>过程（21%）</w:t>
            </w:r>
          </w:p>
        </w:tc>
        <w:tc>
          <w:tcPr>
            <w:tcW w:w="380" w:type="pct"/>
            <w:vMerge w:val="restart"/>
            <w:vAlign w:val="center"/>
          </w:tcPr>
          <w:p w14:paraId="4A6002E9">
            <w:pPr>
              <w:pStyle w:val="18"/>
              <w:bidi w:val="0"/>
              <w:rPr>
                <w:rFonts w:hint="eastAsia"/>
                <w:lang w:eastAsia="zh-CN"/>
              </w:rPr>
            </w:pPr>
            <w:r>
              <w:rPr>
                <w:rFonts w:hint="eastAsia"/>
                <w:lang w:eastAsia="zh-CN"/>
              </w:rPr>
              <w:t>预算执行（9分）</w:t>
            </w:r>
          </w:p>
        </w:tc>
        <w:tc>
          <w:tcPr>
            <w:tcW w:w="594" w:type="pct"/>
            <w:vAlign w:val="center"/>
          </w:tcPr>
          <w:p w14:paraId="605C8A19">
            <w:pPr>
              <w:pStyle w:val="18"/>
              <w:bidi w:val="0"/>
              <w:rPr>
                <w:rFonts w:hint="eastAsia"/>
                <w:lang w:eastAsia="zh-CN"/>
              </w:rPr>
            </w:pPr>
            <w:r>
              <w:rPr>
                <w:rFonts w:hint="eastAsia"/>
                <w:lang w:eastAsia="zh-CN"/>
              </w:rPr>
              <w:t>预算执行率（2分）</w:t>
            </w:r>
          </w:p>
        </w:tc>
        <w:tc>
          <w:tcPr>
            <w:tcW w:w="1458" w:type="pct"/>
            <w:vAlign w:val="center"/>
          </w:tcPr>
          <w:p w14:paraId="592AB8AC">
            <w:pPr>
              <w:pStyle w:val="18"/>
              <w:bidi w:val="0"/>
              <w:rPr>
                <w:rFonts w:hint="eastAsia"/>
                <w:lang w:eastAsia="zh-CN"/>
              </w:rPr>
            </w:pPr>
            <w:r>
              <w:rPr>
                <w:rFonts w:hint="eastAsia"/>
                <w:lang w:eastAsia="zh-CN"/>
              </w:rPr>
              <w:t>项目预算资金是否按照计划执行，用以反映或考核项目预算执行情况。预算执行率=（年度部门实际支出资金/年度部门全年预算资金）×100%）。</w:t>
            </w:r>
          </w:p>
        </w:tc>
        <w:tc>
          <w:tcPr>
            <w:tcW w:w="2195" w:type="pct"/>
            <w:vAlign w:val="center"/>
          </w:tcPr>
          <w:p w14:paraId="56FB8549">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①90%≤预算执行率≤100%，得2分；</w:t>
            </w:r>
            <w:r>
              <w:rPr>
                <w:rFonts w:hint="eastAsia"/>
                <w:lang w:eastAsia="zh-CN"/>
              </w:rPr>
              <w:br w:type="textWrapping"/>
            </w:r>
            <w:r>
              <w:rPr>
                <w:rFonts w:hint="eastAsia"/>
                <w:lang w:eastAsia="zh-CN"/>
              </w:rPr>
              <w:t>②70%≤预算执行率﹤90%，得1分；</w:t>
            </w:r>
            <w:r>
              <w:rPr>
                <w:rFonts w:hint="eastAsia"/>
                <w:lang w:eastAsia="zh-CN"/>
              </w:rPr>
              <w:br w:type="textWrapping"/>
            </w:r>
            <w:r>
              <w:rPr>
                <w:rFonts w:hint="eastAsia"/>
                <w:lang w:eastAsia="zh-CN"/>
              </w:rPr>
              <w:t>③预算执行率﹤70%，得0分；</w:t>
            </w:r>
          </w:p>
        </w:tc>
      </w:tr>
      <w:tr w14:paraId="44CA8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339DDC21">
            <w:pPr>
              <w:pStyle w:val="18"/>
              <w:bidi w:val="0"/>
              <w:rPr>
                <w:rFonts w:hint="eastAsia"/>
                <w:lang w:eastAsia="zh-CN"/>
              </w:rPr>
            </w:pPr>
          </w:p>
        </w:tc>
        <w:tc>
          <w:tcPr>
            <w:tcW w:w="380" w:type="pct"/>
            <w:vMerge w:val="continue"/>
            <w:vAlign w:val="center"/>
          </w:tcPr>
          <w:p w14:paraId="4A12A04D">
            <w:pPr>
              <w:pStyle w:val="18"/>
              <w:bidi w:val="0"/>
              <w:rPr>
                <w:rFonts w:hint="eastAsia"/>
                <w:lang w:eastAsia="zh-CN"/>
              </w:rPr>
            </w:pPr>
          </w:p>
        </w:tc>
        <w:tc>
          <w:tcPr>
            <w:tcW w:w="594" w:type="pct"/>
            <w:vAlign w:val="center"/>
          </w:tcPr>
          <w:p w14:paraId="479C7A4C">
            <w:pPr>
              <w:pStyle w:val="18"/>
              <w:bidi w:val="0"/>
              <w:rPr>
                <w:rFonts w:hint="eastAsia"/>
                <w:lang w:eastAsia="zh-CN"/>
              </w:rPr>
            </w:pPr>
            <w:r>
              <w:rPr>
                <w:rFonts w:hint="eastAsia"/>
                <w:lang w:eastAsia="zh-CN"/>
              </w:rPr>
              <w:t>预算调整率（2分）</w:t>
            </w:r>
          </w:p>
        </w:tc>
        <w:tc>
          <w:tcPr>
            <w:tcW w:w="1458" w:type="pct"/>
            <w:vAlign w:val="center"/>
          </w:tcPr>
          <w:p w14:paraId="590C84A8">
            <w:pPr>
              <w:pStyle w:val="18"/>
              <w:bidi w:val="0"/>
              <w:rPr>
                <w:rFonts w:hint="eastAsia"/>
                <w:lang w:eastAsia="zh-CN"/>
              </w:rPr>
            </w:pPr>
            <w:r>
              <w:rPr>
                <w:rFonts w:hint="eastAsia"/>
                <w:lang w:eastAsia="zh-CN"/>
              </w:rPr>
              <w:t>部门本年度预算调整数与预算数的比率，用以反映和考核部门预算的调整程度。</w:t>
            </w:r>
          </w:p>
        </w:tc>
        <w:tc>
          <w:tcPr>
            <w:tcW w:w="2195" w:type="pct"/>
            <w:vAlign w:val="center"/>
          </w:tcPr>
          <w:p w14:paraId="504A1312">
            <w:pPr>
              <w:pStyle w:val="18"/>
              <w:bidi w:val="0"/>
              <w:rPr>
                <w:rFonts w:hint="eastAsia"/>
                <w:lang w:eastAsia="zh-CN"/>
              </w:rPr>
            </w:pPr>
            <w:r>
              <w:rPr>
                <w:rFonts w:hint="eastAsia"/>
                <w:lang w:eastAsia="zh-CN"/>
              </w:rPr>
              <w:t>评价要点：支出预算调整率=（支出预算调整数/全年支出预算数）×100%。</w:t>
            </w:r>
            <w:r>
              <w:rPr>
                <w:rFonts w:hint="eastAsia"/>
                <w:lang w:eastAsia="zh-CN"/>
              </w:rPr>
              <w:br w:type="textWrapping"/>
            </w:r>
            <w:r>
              <w:rPr>
                <w:rFonts w:hint="eastAsia"/>
                <w:lang w:eastAsia="zh-CN"/>
              </w:rPr>
              <w:t>①预算调整率=0，得满分；</w:t>
            </w:r>
            <w:r>
              <w:rPr>
                <w:rFonts w:hint="eastAsia"/>
                <w:lang w:eastAsia="zh-CN"/>
              </w:rPr>
              <w:br w:type="textWrapping"/>
            </w:r>
            <w:r>
              <w:rPr>
                <w:rFonts w:hint="eastAsia"/>
                <w:lang w:eastAsia="zh-CN"/>
              </w:rPr>
              <w:t>②调整率≧10%，得0分；</w:t>
            </w:r>
            <w:r>
              <w:rPr>
                <w:rFonts w:hint="eastAsia"/>
                <w:lang w:eastAsia="zh-CN"/>
              </w:rPr>
              <w:br w:type="textWrapping"/>
            </w:r>
            <w:r>
              <w:rPr>
                <w:rFonts w:hint="eastAsia"/>
                <w:lang w:eastAsia="zh-CN"/>
              </w:rPr>
              <w:t>③0＜预算调整率＜10%，得分=（10%-预算调整率）/10%×该指标分值；</w:t>
            </w:r>
          </w:p>
        </w:tc>
      </w:tr>
      <w:tr w14:paraId="1FB3C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2859C3A6">
            <w:pPr>
              <w:pStyle w:val="18"/>
              <w:bidi w:val="0"/>
              <w:rPr>
                <w:rFonts w:hint="eastAsia"/>
                <w:lang w:eastAsia="zh-CN"/>
              </w:rPr>
            </w:pPr>
          </w:p>
        </w:tc>
        <w:tc>
          <w:tcPr>
            <w:tcW w:w="380" w:type="pct"/>
            <w:vMerge w:val="continue"/>
            <w:vAlign w:val="center"/>
          </w:tcPr>
          <w:p w14:paraId="16B38B74">
            <w:pPr>
              <w:pStyle w:val="18"/>
              <w:bidi w:val="0"/>
              <w:rPr>
                <w:rFonts w:hint="eastAsia"/>
                <w:lang w:eastAsia="zh-CN"/>
              </w:rPr>
            </w:pPr>
          </w:p>
        </w:tc>
        <w:tc>
          <w:tcPr>
            <w:tcW w:w="594" w:type="pct"/>
            <w:vAlign w:val="center"/>
          </w:tcPr>
          <w:p w14:paraId="00F993F2">
            <w:pPr>
              <w:pStyle w:val="18"/>
              <w:bidi w:val="0"/>
              <w:rPr>
                <w:rFonts w:hint="eastAsia"/>
                <w:lang w:eastAsia="zh-CN"/>
              </w:rPr>
            </w:pPr>
            <w:r>
              <w:rPr>
                <w:rFonts w:hint="eastAsia"/>
                <w:lang w:eastAsia="zh-CN"/>
              </w:rPr>
              <w:t>结转结余率（3分）</w:t>
            </w:r>
          </w:p>
        </w:tc>
        <w:tc>
          <w:tcPr>
            <w:tcW w:w="1458" w:type="pct"/>
            <w:vAlign w:val="center"/>
          </w:tcPr>
          <w:p w14:paraId="01AD643D">
            <w:pPr>
              <w:pStyle w:val="18"/>
              <w:bidi w:val="0"/>
              <w:rPr>
                <w:rFonts w:hint="eastAsia"/>
                <w:lang w:eastAsia="zh-CN"/>
              </w:rPr>
            </w:pPr>
            <w:r>
              <w:rPr>
                <w:rFonts w:hint="eastAsia"/>
                <w:lang w:eastAsia="zh-CN"/>
              </w:rPr>
              <w:t>部门本年度结转结余总额与支出预算数的比率，反映和评价单位对本年度结转结余资金的实际控制程度。</w:t>
            </w:r>
          </w:p>
        </w:tc>
        <w:tc>
          <w:tcPr>
            <w:tcW w:w="2195" w:type="pct"/>
            <w:vAlign w:val="center"/>
          </w:tcPr>
          <w:p w14:paraId="73EB29E9">
            <w:pPr>
              <w:pStyle w:val="18"/>
              <w:bidi w:val="0"/>
              <w:rPr>
                <w:rFonts w:hint="eastAsia"/>
                <w:lang w:eastAsia="zh-CN"/>
              </w:rPr>
            </w:pPr>
            <w:r>
              <w:rPr>
                <w:rFonts w:hint="eastAsia"/>
                <w:lang w:eastAsia="zh-CN"/>
              </w:rPr>
              <w:t>评价要点：结转结余率=结转结余总额/全年支出预算数×100%。</w:t>
            </w:r>
            <w:r>
              <w:rPr>
                <w:rFonts w:hint="eastAsia"/>
                <w:lang w:eastAsia="zh-CN"/>
              </w:rPr>
              <w:br w:type="textWrapping"/>
            </w:r>
            <w:r>
              <w:rPr>
                <w:rFonts w:hint="eastAsia"/>
                <w:lang w:eastAsia="zh-CN"/>
              </w:rPr>
              <w:t>①结转结余率=0，得满分；</w:t>
            </w:r>
            <w:r>
              <w:rPr>
                <w:rFonts w:hint="eastAsia"/>
                <w:lang w:eastAsia="zh-CN"/>
              </w:rPr>
              <w:br w:type="textWrapping"/>
            </w:r>
            <w:r>
              <w:rPr>
                <w:rFonts w:hint="eastAsia"/>
                <w:lang w:eastAsia="zh-CN"/>
              </w:rPr>
              <w:t>②结转结余率≧10%，得0分；</w:t>
            </w:r>
            <w:r>
              <w:rPr>
                <w:rFonts w:hint="eastAsia"/>
                <w:lang w:eastAsia="zh-CN"/>
              </w:rPr>
              <w:br w:type="textWrapping"/>
            </w:r>
            <w:r>
              <w:rPr>
                <w:rFonts w:hint="eastAsia"/>
                <w:lang w:eastAsia="zh-CN"/>
              </w:rPr>
              <w:t>③0%＜结转结余率＜10%，得分=（10%-结转结余率）/10%×该指标分值。</w:t>
            </w:r>
          </w:p>
        </w:tc>
      </w:tr>
      <w:tr w14:paraId="3B4BA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4FB3C88D">
            <w:pPr>
              <w:pStyle w:val="18"/>
              <w:bidi w:val="0"/>
              <w:rPr>
                <w:rFonts w:hint="eastAsia"/>
                <w:lang w:eastAsia="zh-CN"/>
              </w:rPr>
            </w:pPr>
          </w:p>
        </w:tc>
        <w:tc>
          <w:tcPr>
            <w:tcW w:w="380" w:type="pct"/>
            <w:vMerge w:val="continue"/>
            <w:vAlign w:val="center"/>
          </w:tcPr>
          <w:p w14:paraId="3F21AEFA">
            <w:pPr>
              <w:pStyle w:val="18"/>
              <w:bidi w:val="0"/>
              <w:rPr>
                <w:rFonts w:hint="eastAsia"/>
                <w:lang w:eastAsia="zh-CN"/>
              </w:rPr>
            </w:pPr>
          </w:p>
        </w:tc>
        <w:tc>
          <w:tcPr>
            <w:tcW w:w="594" w:type="pct"/>
            <w:vAlign w:val="center"/>
          </w:tcPr>
          <w:p w14:paraId="0A4279ED">
            <w:pPr>
              <w:pStyle w:val="18"/>
              <w:bidi w:val="0"/>
              <w:rPr>
                <w:rFonts w:hint="eastAsia"/>
                <w:lang w:eastAsia="zh-CN"/>
              </w:rPr>
            </w:pPr>
            <w:r>
              <w:rPr>
                <w:rFonts w:hint="eastAsia"/>
                <w:lang w:eastAsia="zh-CN"/>
              </w:rPr>
              <w:t>公用经费控制率（2分）</w:t>
            </w:r>
          </w:p>
        </w:tc>
        <w:tc>
          <w:tcPr>
            <w:tcW w:w="1458" w:type="pct"/>
            <w:vAlign w:val="center"/>
          </w:tcPr>
          <w:p w14:paraId="334C290E">
            <w:pPr>
              <w:pStyle w:val="18"/>
              <w:bidi w:val="0"/>
              <w:rPr>
                <w:rFonts w:hint="eastAsia"/>
                <w:lang w:eastAsia="zh-CN"/>
              </w:rPr>
            </w:pPr>
            <w:r>
              <w:rPr>
                <w:rFonts w:hint="eastAsia"/>
                <w:lang w:eastAsia="zh-CN"/>
              </w:rPr>
              <w:t>部门本年度公用经费实际支出数与预算安排数的比率，用以反映和考核部门对公用经费的实际控制程度。</w:t>
            </w:r>
          </w:p>
        </w:tc>
        <w:tc>
          <w:tcPr>
            <w:tcW w:w="2195" w:type="pct"/>
            <w:vAlign w:val="center"/>
          </w:tcPr>
          <w:p w14:paraId="0BCFBB28">
            <w:pPr>
              <w:pStyle w:val="18"/>
              <w:bidi w:val="0"/>
              <w:rPr>
                <w:rFonts w:hint="eastAsia"/>
                <w:lang w:eastAsia="zh-CN"/>
              </w:rPr>
            </w:pPr>
            <w:r>
              <w:rPr>
                <w:rFonts w:hint="eastAsia"/>
                <w:lang w:eastAsia="zh-CN"/>
              </w:rPr>
              <w:t>评价要点：公用经费控制率=（实际支出公用经费总额/预算安排公用经费总额）×100%。</w:t>
            </w:r>
            <w:r>
              <w:rPr>
                <w:rFonts w:hint="eastAsia"/>
                <w:lang w:eastAsia="zh-CN"/>
              </w:rPr>
              <w:br w:type="textWrapping"/>
            </w:r>
            <w:r>
              <w:rPr>
                <w:rFonts w:hint="eastAsia"/>
                <w:lang w:eastAsia="zh-CN"/>
              </w:rPr>
              <w:t>①公用经费控制率≦100%，得满分；</w:t>
            </w:r>
            <w:r>
              <w:rPr>
                <w:rFonts w:hint="eastAsia"/>
                <w:lang w:eastAsia="zh-CN"/>
              </w:rPr>
              <w:br w:type="textWrapping"/>
            </w:r>
            <w:r>
              <w:rPr>
                <w:rFonts w:hint="eastAsia"/>
                <w:lang w:eastAsia="zh-CN"/>
              </w:rPr>
              <w:t>②公用经费控制率≧105%，得0分；</w:t>
            </w:r>
            <w:r>
              <w:rPr>
                <w:rFonts w:hint="eastAsia"/>
                <w:lang w:eastAsia="zh-CN"/>
              </w:rPr>
              <w:br w:type="textWrapping"/>
            </w:r>
            <w:r>
              <w:rPr>
                <w:rFonts w:hint="eastAsia"/>
                <w:lang w:eastAsia="zh-CN"/>
              </w:rPr>
              <w:t>③100%＜公用经费控制率&lt;105%，得分=（105%-公用经费控制率）/5%×该指标分值。</w:t>
            </w:r>
          </w:p>
        </w:tc>
      </w:tr>
      <w:tr w14:paraId="499BA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5FA338F1">
            <w:pPr>
              <w:pStyle w:val="18"/>
              <w:bidi w:val="0"/>
              <w:rPr>
                <w:rFonts w:hint="eastAsia"/>
                <w:lang w:eastAsia="zh-CN"/>
              </w:rPr>
            </w:pPr>
          </w:p>
        </w:tc>
        <w:tc>
          <w:tcPr>
            <w:tcW w:w="380" w:type="pct"/>
            <w:vMerge w:val="restart"/>
            <w:vAlign w:val="center"/>
          </w:tcPr>
          <w:p w14:paraId="13CC4D5F">
            <w:pPr>
              <w:pStyle w:val="18"/>
              <w:bidi w:val="0"/>
              <w:rPr>
                <w:rFonts w:hint="eastAsia"/>
                <w:lang w:eastAsia="zh-CN"/>
              </w:rPr>
            </w:pPr>
            <w:r>
              <w:rPr>
                <w:rFonts w:hint="eastAsia"/>
                <w:lang w:eastAsia="zh-CN"/>
              </w:rPr>
              <w:t>预算管理（12分）</w:t>
            </w:r>
          </w:p>
        </w:tc>
        <w:tc>
          <w:tcPr>
            <w:tcW w:w="594" w:type="pct"/>
            <w:vAlign w:val="center"/>
          </w:tcPr>
          <w:p w14:paraId="1FC0E47E">
            <w:pPr>
              <w:pStyle w:val="18"/>
              <w:bidi w:val="0"/>
              <w:rPr>
                <w:rFonts w:hint="eastAsia"/>
                <w:lang w:eastAsia="zh-CN"/>
              </w:rPr>
            </w:pPr>
            <w:r>
              <w:rPr>
                <w:rFonts w:hint="eastAsia"/>
                <w:lang w:eastAsia="zh-CN"/>
              </w:rPr>
              <w:t>管理制度健全性（3分）</w:t>
            </w:r>
          </w:p>
        </w:tc>
        <w:tc>
          <w:tcPr>
            <w:tcW w:w="1458" w:type="pct"/>
            <w:vAlign w:val="center"/>
          </w:tcPr>
          <w:p w14:paraId="460A8B57">
            <w:pPr>
              <w:pStyle w:val="18"/>
              <w:bidi w:val="0"/>
              <w:rPr>
                <w:rFonts w:hint="eastAsia"/>
                <w:lang w:eastAsia="zh-CN"/>
              </w:rPr>
            </w:pPr>
            <w:r>
              <w:rPr>
                <w:rFonts w:hint="eastAsia"/>
                <w:lang w:eastAsia="zh-CN"/>
              </w:rPr>
              <w:t>部门为加强预算管理、规范财务行为而制定的管理制度是否健全完整，用以反映和考核部门预算管理制度对完成主要职责或促进事业发展的保障情况。</w:t>
            </w:r>
          </w:p>
        </w:tc>
        <w:tc>
          <w:tcPr>
            <w:tcW w:w="2195" w:type="pct"/>
            <w:vAlign w:val="center"/>
          </w:tcPr>
          <w:p w14:paraId="1D907315">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①是否已制定或具有预算资金管理办法、内部财务管理制度、会计核算制度等管理制度；</w:t>
            </w:r>
            <w:r>
              <w:rPr>
                <w:rFonts w:hint="eastAsia"/>
                <w:lang w:eastAsia="zh-CN"/>
              </w:rPr>
              <w:br w:type="textWrapping"/>
            </w:r>
            <w:r>
              <w:rPr>
                <w:rFonts w:hint="eastAsia"/>
                <w:lang w:eastAsia="zh-CN"/>
              </w:rPr>
              <w:t>②相关管理制度是否得到有效执行。</w:t>
            </w:r>
            <w:r>
              <w:rPr>
                <w:rFonts w:hint="eastAsia"/>
                <w:lang w:eastAsia="zh-CN"/>
              </w:rPr>
              <w:br w:type="textWrapping"/>
            </w:r>
            <w:r>
              <w:rPr>
                <w:rFonts w:hint="eastAsia"/>
                <w:lang w:eastAsia="zh-CN"/>
              </w:rPr>
              <w:t>③固定资产是否按照一物一卡进行管理。</w:t>
            </w:r>
            <w:r>
              <w:rPr>
                <w:rFonts w:hint="eastAsia"/>
                <w:lang w:eastAsia="zh-CN"/>
              </w:rPr>
              <w:br w:type="textWrapping"/>
            </w:r>
            <w:r>
              <w:rPr>
                <w:rFonts w:hint="eastAsia"/>
                <w:lang w:eastAsia="zh-CN"/>
              </w:rPr>
              <w:t>一项不符合扣1分。</w:t>
            </w:r>
          </w:p>
        </w:tc>
      </w:tr>
      <w:tr w14:paraId="6E5A0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72FDD61B">
            <w:pPr>
              <w:pStyle w:val="18"/>
              <w:bidi w:val="0"/>
              <w:rPr>
                <w:rFonts w:hint="eastAsia"/>
                <w:lang w:eastAsia="zh-CN"/>
              </w:rPr>
            </w:pPr>
          </w:p>
        </w:tc>
        <w:tc>
          <w:tcPr>
            <w:tcW w:w="380" w:type="pct"/>
            <w:vMerge w:val="continue"/>
            <w:vAlign w:val="center"/>
          </w:tcPr>
          <w:p w14:paraId="0F0BC4D8">
            <w:pPr>
              <w:pStyle w:val="18"/>
              <w:bidi w:val="0"/>
              <w:rPr>
                <w:rFonts w:hint="eastAsia"/>
                <w:lang w:eastAsia="zh-CN"/>
              </w:rPr>
            </w:pPr>
          </w:p>
        </w:tc>
        <w:tc>
          <w:tcPr>
            <w:tcW w:w="594" w:type="pct"/>
            <w:vAlign w:val="center"/>
          </w:tcPr>
          <w:p w14:paraId="518B4FD6">
            <w:pPr>
              <w:pStyle w:val="18"/>
              <w:bidi w:val="0"/>
              <w:rPr>
                <w:rFonts w:hint="eastAsia"/>
                <w:lang w:eastAsia="zh-CN"/>
              </w:rPr>
            </w:pPr>
            <w:r>
              <w:rPr>
                <w:rFonts w:hint="eastAsia"/>
                <w:lang w:eastAsia="zh-CN"/>
              </w:rPr>
              <w:t>工程项目管理合规性（3分）</w:t>
            </w:r>
          </w:p>
        </w:tc>
        <w:tc>
          <w:tcPr>
            <w:tcW w:w="1458" w:type="pct"/>
            <w:vAlign w:val="center"/>
          </w:tcPr>
          <w:p w14:paraId="68829583">
            <w:pPr>
              <w:pStyle w:val="18"/>
              <w:bidi w:val="0"/>
              <w:rPr>
                <w:rFonts w:hint="eastAsia"/>
                <w:lang w:eastAsia="zh-CN"/>
              </w:rPr>
            </w:pPr>
            <w:r>
              <w:rPr>
                <w:rFonts w:hint="eastAsia"/>
                <w:lang w:eastAsia="zh-CN"/>
              </w:rPr>
              <w:t>主要评价部门（单位）本年度在项目管理方面是否符合规定。</w:t>
            </w:r>
          </w:p>
        </w:tc>
        <w:tc>
          <w:tcPr>
            <w:tcW w:w="2195" w:type="pct"/>
            <w:vAlign w:val="center"/>
          </w:tcPr>
          <w:p w14:paraId="74AEBB72">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①项目竣工验收是否出具验收报告；</w:t>
            </w:r>
            <w:r>
              <w:rPr>
                <w:rFonts w:hint="eastAsia"/>
                <w:lang w:eastAsia="zh-CN"/>
              </w:rPr>
              <w:br w:type="textWrapping"/>
            </w:r>
            <w:r>
              <w:rPr>
                <w:rFonts w:hint="eastAsia"/>
                <w:lang w:eastAsia="zh-CN"/>
              </w:rPr>
              <w:t>②验收报告是否规范，是否明确验收日期；</w:t>
            </w:r>
            <w:r>
              <w:rPr>
                <w:rFonts w:hint="eastAsia"/>
                <w:lang w:eastAsia="zh-CN"/>
              </w:rPr>
              <w:br w:type="textWrapping"/>
            </w:r>
            <w:r>
              <w:rPr>
                <w:rFonts w:hint="eastAsia"/>
                <w:lang w:eastAsia="zh-CN"/>
              </w:rPr>
              <w:t>③项目竣工验收时间是否符合合同约定，是否存在延期。</w:t>
            </w:r>
            <w:r>
              <w:rPr>
                <w:rFonts w:hint="eastAsia"/>
                <w:lang w:eastAsia="zh-CN"/>
              </w:rPr>
              <w:br w:type="textWrapping"/>
            </w:r>
            <w:r>
              <w:rPr>
                <w:rFonts w:hint="eastAsia"/>
                <w:lang w:eastAsia="zh-CN"/>
              </w:rPr>
              <w:t>一项不符合扣1分。</w:t>
            </w:r>
          </w:p>
        </w:tc>
      </w:tr>
      <w:tr w14:paraId="6A132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0E5BD3FB">
            <w:pPr>
              <w:pStyle w:val="18"/>
              <w:bidi w:val="0"/>
              <w:rPr>
                <w:rFonts w:hint="eastAsia"/>
                <w:lang w:eastAsia="zh-CN"/>
              </w:rPr>
            </w:pPr>
          </w:p>
        </w:tc>
        <w:tc>
          <w:tcPr>
            <w:tcW w:w="380" w:type="pct"/>
            <w:vMerge w:val="continue"/>
            <w:vAlign w:val="center"/>
          </w:tcPr>
          <w:p w14:paraId="73DFEDC4">
            <w:pPr>
              <w:pStyle w:val="18"/>
              <w:bidi w:val="0"/>
              <w:rPr>
                <w:rFonts w:hint="eastAsia"/>
                <w:lang w:eastAsia="zh-CN"/>
              </w:rPr>
            </w:pPr>
          </w:p>
        </w:tc>
        <w:tc>
          <w:tcPr>
            <w:tcW w:w="594" w:type="pct"/>
            <w:vAlign w:val="center"/>
          </w:tcPr>
          <w:p w14:paraId="70B17122">
            <w:pPr>
              <w:pStyle w:val="18"/>
              <w:bidi w:val="0"/>
              <w:rPr>
                <w:rFonts w:hint="eastAsia"/>
                <w:lang w:eastAsia="zh-CN"/>
              </w:rPr>
            </w:pPr>
            <w:r>
              <w:rPr>
                <w:rFonts w:hint="eastAsia"/>
                <w:lang w:eastAsia="zh-CN"/>
              </w:rPr>
              <w:t>合同管理规范性（3分）</w:t>
            </w:r>
          </w:p>
        </w:tc>
        <w:tc>
          <w:tcPr>
            <w:tcW w:w="1458" w:type="pct"/>
            <w:vAlign w:val="center"/>
          </w:tcPr>
          <w:p w14:paraId="624E2C25">
            <w:pPr>
              <w:pStyle w:val="18"/>
              <w:bidi w:val="0"/>
              <w:rPr>
                <w:rFonts w:hint="eastAsia"/>
                <w:lang w:eastAsia="zh-CN"/>
              </w:rPr>
            </w:pPr>
            <w:r>
              <w:rPr>
                <w:rFonts w:hint="eastAsia"/>
                <w:lang w:eastAsia="zh-CN"/>
              </w:rPr>
              <w:t>主要评价部门（单位）合同的签订是否符合《中华人民共和国民法典》的相关规定。</w:t>
            </w:r>
          </w:p>
        </w:tc>
        <w:tc>
          <w:tcPr>
            <w:tcW w:w="2195" w:type="pct"/>
            <w:vAlign w:val="center"/>
          </w:tcPr>
          <w:p w14:paraId="6C007EF3">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①合同签订是否规范；</w:t>
            </w:r>
            <w:r>
              <w:rPr>
                <w:rFonts w:hint="eastAsia"/>
                <w:lang w:eastAsia="zh-CN"/>
              </w:rPr>
              <w:br w:type="textWrapping"/>
            </w:r>
            <w:r>
              <w:rPr>
                <w:rFonts w:hint="eastAsia"/>
                <w:lang w:eastAsia="zh-CN"/>
              </w:rPr>
              <w:t>②合同内容和权责是否明确；</w:t>
            </w:r>
            <w:r>
              <w:rPr>
                <w:rFonts w:hint="eastAsia"/>
                <w:lang w:eastAsia="zh-CN"/>
              </w:rPr>
              <w:br w:type="textWrapping"/>
            </w:r>
            <w:r>
              <w:rPr>
                <w:rFonts w:hint="eastAsia"/>
                <w:lang w:eastAsia="zh-CN"/>
              </w:rPr>
              <w:t>③双方是否按照合同条款，资金支付是否严格按照合同约定。</w:t>
            </w:r>
            <w:r>
              <w:rPr>
                <w:rFonts w:hint="eastAsia"/>
                <w:lang w:eastAsia="zh-CN"/>
              </w:rPr>
              <w:br w:type="textWrapping"/>
            </w:r>
            <w:r>
              <w:rPr>
                <w:rFonts w:hint="eastAsia"/>
                <w:lang w:eastAsia="zh-CN"/>
              </w:rPr>
              <w:t>一项不符扣1分，扣完为止。</w:t>
            </w:r>
          </w:p>
        </w:tc>
      </w:tr>
      <w:tr w14:paraId="33A20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7B96E341">
            <w:pPr>
              <w:pStyle w:val="18"/>
              <w:bidi w:val="0"/>
              <w:rPr>
                <w:rFonts w:hint="eastAsia"/>
                <w:lang w:eastAsia="zh-CN"/>
              </w:rPr>
            </w:pPr>
          </w:p>
        </w:tc>
        <w:tc>
          <w:tcPr>
            <w:tcW w:w="380" w:type="pct"/>
            <w:vMerge w:val="continue"/>
            <w:vAlign w:val="center"/>
          </w:tcPr>
          <w:p w14:paraId="6699320B">
            <w:pPr>
              <w:pStyle w:val="18"/>
              <w:bidi w:val="0"/>
              <w:rPr>
                <w:rFonts w:hint="eastAsia"/>
                <w:lang w:eastAsia="zh-CN"/>
              </w:rPr>
            </w:pPr>
          </w:p>
        </w:tc>
        <w:tc>
          <w:tcPr>
            <w:tcW w:w="594" w:type="pct"/>
            <w:vAlign w:val="center"/>
          </w:tcPr>
          <w:p w14:paraId="1E21AC89">
            <w:pPr>
              <w:pStyle w:val="18"/>
              <w:bidi w:val="0"/>
              <w:rPr>
                <w:rFonts w:hint="eastAsia"/>
                <w:lang w:eastAsia="zh-CN"/>
              </w:rPr>
            </w:pPr>
            <w:r>
              <w:rPr>
                <w:rFonts w:hint="eastAsia"/>
                <w:lang w:eastAsia="zh-CN"/>
              </w:rPr>
              <w:t>绩效自评合规性（3分）</w:t>
            </w:r>
          </w:p>
        </w:tc>
        <w:tc>
          <w:tcPr>
            <w:tcW w:w="1458" w:type="pct"/>
            <w:vAlign w:val="center"/>
          </w:tcPr>
          <w:p w14:paraId="0CE4C3C3">
            <w:pPr>
              <w:pStyle w:val="18"/>
              <w:bidi w:val="0"/>
              <w:rPr>
                <w:rFonts w:hint="eastAsia"/>
                <w:lang w:eastAsia="zh-CN"/>
              </w:rPr>
            </w:pPr>
            <w:r>
              <w:rPr>
                <w:rFonts w:hint="eastAsia"/>
                <w:lang w:eastAsia="zh-CN"/>
              </w:rPr>
              <w:t>主要评价部门（单位）是否按要求开展绩效自评工作；绩效自评报告是否报送及时，绩效自评是否真实可靠。</w:t>
            </w:r>
          </w:p>
        </w:tc>
        <w:tc>
          <w:tcPr>
            <w:tcW w:w="2195" w:type="pct"/>
            <w:vAlign w:val="center"/>
          </w:tcPr>
          <w:p w14:paraId="3F36C7F6">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①是否按要求开展绩效自评工作；</w:t>
            </w:r>
            <w:r>
              <w:rPr>
                <w:rFonts w:hint="eastAsia"/>
                <w:lang w:eastAsia="zh-CN"/>
              </w:rPr>
              <w:br w:type="textWrapping"/>
            </w:r>
            <w:r>
              <w:rPr>
                <w:rFonts w:hint="eastAsia"/>
                <w:lang w:eastAsia="zh-CN"/>
              </w:rPr>
              <w:t>②绩效自评报告是否报送及时；</w:t>
            </w:r>
            <w:r>
              <w:rPr>
                <w:rFonts w:hint="eastAsia"/>
                <w:lang w:eastAsia="zh-CN"/>
              </w:rPr>
              <w:br w:type="textWrapping"/>
            </w:r>
            <w:r>
              <w:rPr>
                <w:rFonts w:hint="eastAsia"/>
                <w:lang w:eastAsia="zh-CN"/>
              </w:rPr>
              <w:t>③绩效自评报告是否完整，数据是否全面、真实、准确，绩效指标是否细化量化和科学合理；</w:t>
            </w:r>
            <w:r>
              <w:rPr>
                <w:rFonts w:hint="eastAsia"/>
                <w:lang w:eastAsia="zh-CN"/>
              </w:rPr>
              <w:br w:type="textWrapping"/>
            </w:r>
            <w:r>
              <w:rPr>
                <w:rFonts w:hint="eastAsia"/>
                <w:lang w:eastAsia="zh-CN"/>
              </w:rPr>
              <w:t>一项不符扣1分，扣完为止。</w:t>
            </w:r>
          </w:p>
        </w:tc>
      </w:tr>
      <w:tr w14:paraId="2D467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restart"/>
            <w:vAlign w:val="center"/>
          </w:tcPr>
          <w:p w14:paraId="698359B1">
            <w:pPr>
              <w:pStyle w:val="18"/>
              <w:bidi w:val="0"/>
              <w:rPr>
                <w:rFonts w:hint="eastAsia"/>
                <w:lang w:eastAsia="zh-CN"/>
              </w:rPr>
            </w:pPr>
            <w:r>
              <w:rPr>
                <w:rFonts w:hint="eastAsia"/>
                <w:lang w:eastAsia="zh-CN"/>
              </w:rPr>
              <w:t>产出（36%）</w:t>
            </w:r>
          </w:p>
        </w:tc>
        <w:tc>
          <w:tcPr>
            <w:tcW w:w="380" w:type="pct"/>
            <w:vMerge w:val="restart"/>
            <w:vAlign w:val="center"/>
          </w:tcPr>
          <w:p w14:paraId="6F14C0C0">
            <w:pPr>
              <w:pStyle w:val="18"/>
              <w:bidi w:val="0"/>
              <w:rPr>
                <w:rFonts w:hint="eastAsia"/>
                <w:lang w:eastAsia="zh-CN"/>
              </w:rPr>
            </w:pPr>
            <w:r>
              <w:rPr>
                <w:rFonts w:hint="eastAsia"/>
                <w:lang w:eastAsia="zh-CN"/>
              </w:rPr>
              <w:t>职责履行（6分）</w:t>
            </w:r>
          </w:p>
        </w:tc>
        <w:tc>
          <w:tcPr>
            <w:tcW w:w="594" w:type="pct"/>
            <w:vAlign w:val="center"/>
          </w:tcPr>
          <w:p w14:paraId="0A3383B5">
            <w:pPr>
              <w:pStyle w:val="18"/>
              <w:bidi w:val="0"/>
              <w:rPr>
                <w:rFonts w:hint="eastAsia"/>
                <w:lang w:eastAsia="zh-CN"/>
              </w:rPr>
            </w:pPr>
            <w:r>
              <w:rPr>
                <w:rFonts w:hint="eastAsia"/>
                <w:lang w:eastAsia="zh-CN"/>
              </w:rPr>
              <w:t>项目实际完成率（3分）</w:t>
            </w:r>
          </w:p>
        </w:tc>
        <w:tc>
          <w:tcPr>
            <w:tcW w:w="1458" w:type="pct"/>
            <w:vAlign w:val="center"/>
          </w:tcPr>
          <w:p w14:paraId="75507744">
            <w:pPr>
              <w:pStyle w:val="18"/>
              <w:bidi w:val="0"/>
              <w:rPr>
                <w:rFonts w:hint="eastAsia"/>
                <w:lang w:eastAsia="zh-CN"/>
              </w:rPr>
            </w:pPr>
            <w:r>
              <w:rPr>
                <w:rFonts w:hint="eastAsia"/>
                <w:lang w:eastAsia="zh-CN"/>
              </w:rPr>
              <w:t>主要评价部门（单位）履行职责而实际完成的项目数与计划完成的项目数的比率，用以反映和评价部门（单位）履职任务目标的实现程度项目实际完成率=（实际完成项目数/计划完成项目数）×100%。</w:t>
            </w:r>
          </w:p>
        </w:tc>
        <w:tc>
          <w:tcPr>
            <w:tcW w:w="2195" w:type="pct"/>
            <w:vAlign w:val="center"/>
          </w:tcPr>
          <w:p w14:paraId="2AFC549B">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①项目实际完成率≥95%，得3分；</w:t>
            </w:r>
            <w:r>
              <w:rPr>
                <w:rFonts w:hint="eastAsia"/>
                <w:lang w:eastAsia="zh-CN"/>
              </w:rPr>
              <w:br w:type="textWrapping"/>
            </w:r>
            <w:r>
              <w:rPr>
                <w:rFonts w:hint="eastAsia"/>
                <w:lang w:eastAsia="zh-CN"/>
              </w:rPr>
              <w:t>②95%&gt;项目实际完成率≥90%，得2分；</w:t>
            </w:r>
            <w:r>
              <w:rPr>
                <w:rFonts w:hint="eastAsia"/>
                <w:lang w:eastAsia="zh-CN"/>
              </w:rPr>
              <w:br w:type="textWrapping"/>
            </w:r>
            <w:r>
              <w:rPr>
                <w:rFonts w:hint="eastAsia"/>
                <w:lang w:eastAsia="zh-CN"/>
              </w:rPr>
              <w:t>③90%&gt;项目实际完成率≥85%，得1分；</w:t>
            </w:r>
            <w:r>
              <w:rPr>
                <w:rFonts w:hint="eastAsia"/>
                <w:lang w:eastAsia="zh-CN"/>
              </w:rPr>
              <w:br w:type="textWrapping"/>
            </w:r>
            <w:r>
              <w:rPr>
                <w:rFonts w:hint="eastAsia"/>
                <w:lang w:eastAsia="zh-CN"/>
              </w:rPr>
              <w:t>④85%&gt;项目实际完成率，得0分。</w:t>
            </w:r>
          </w:p>
        </w:tc>
      </w:tr>
      <w:tr w14:paraId="31E96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043CEA0A">
            <w:pPr>
              <w:pStyle w:val="18"/>
              <w:bidi w:val="0"/>
              <w:rPr>
                <w:rFonts w:hint="eastAsia"/>
                <w:lang w:eastAsia="zh-CN"/>
              </w:rPr>
            </w:pPr>
          </w:p>
        </w:tc>
        <w:tc>
          <w:tcPr>
            <w:tcW w:w="380" w:type="pct"/>
            <w:vMerge w:val="continue"/>
            <w:vAlign w:val="center"/>
          </w:tcPr>
          <w:p w14:paraId="2FEB2813">
            <w:pPr>
              <w:pStyle w:val="18"/>
              <w:bidi w:val="0"/>
              <w:rPr>
                <w:rFonts w:hint="eastAsia"/>
                <w:lang w:eastAsia="zh-CN"/>
              </w:rPr>
            </w:pPr>
          </w:p>
        </w:tc>
        <w:tc>
          <w:tcPr>
            <w:tcW w:w="594" w:type="pct"/>
            <w:vAlign w:val="center"/>
          </w:tcPr>
          <w:p w14:paraId="6B6D1B58">
            <w:pPr>
              <w:pStyle w:val="18"/>
              <w:bidi w:val="0"/>
              <w:rPr>
                <w:rFonts w:hint="eastAsia"/>
                <w:lang w:eastAsia="zh-CN"/>
              </w:rPr>
            </w:pPr>
            <w:r>
              <w:rPr>
                <w:rFonts w:hint="eastAsia"/>
                <w:lang w:eastAsia="zh-CN"/>
              </w:rPr>
              <w:t>项目质量达标率（3分）</w:t>
            </w:r>
          </w:p>
        </w:tc>
        <w:tc>
          <w:tcPr>
            <w:tcW w:w="1458" w:type="pct"/>
            <w:vAlign w:val="center"/>
          </w:tcPr>
          <w:p w14:paraId="53BEF2E2">
            <w:pPr>
              <w:pStyle w:val="18"/>
              <w:bidi w:val="0"/>
              <w:rPr>
                <w:rFonts w:hint="eastAsia"/>
                <w:lang w:eastAsia="zh-CN"/>
              </w:rPr>
            </w:pPr>
            <w:r>
              <w:rPr>
                <w:rFonts w:hint="eastAsia"/>
                <w:lang w:eastAsia="zh-CN"/>
              </w:rPr>
              <w:t>部门已完成项目中质量达标项目个数占已完成项目个数的比率，主要评价部门（单位）部门履职质量目标的实现程度。</w:t>
            </w:r>
          </w:p>
        </w:tc>
        <w:tc>
          <w:tcPr>
            <w:tcW w:w="2195" w:type="pct"/>
            <w:vAlign w:val="center"/>
          </w:tcPr>
          <w:p w14:paraId="5F78A1F0">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①项目质量达标率≥95%，得3分；</w:t>
            </w:r>
            <w:r>
              <w:rPr>
                <w:rFonts w:hint="eastAsia"/>
                <w:lang w:eastAsia="zh-CN"/>
              </w:rPr>
              <w:br w:type="textWrapping"/>
            </w:r>
            <w:r>
              <w:rPr>
                <w:rFonts w:hint="eastAsia"/>
                <w:lang w:eastAsia="zh-CN"/>
              </w:rPr>
              <w:t>②95%&gt;项目质量达标率≥90%，得2分；</w:t>
            </w:r>
            <w:r>
              <w:rPr>
                <w:rFonts w:hint="eastAsia"/>
                <w:lang w:eastAsia="zh-CN"/>
              </w:rPr>
              <w:br w:type="textWrapping"/>
            </w:r>
            <w:r>
              <w:rPr>
                <w:rFonts w:hint="eastAsia"/>
                <w:lang w:eastAsia="zh-CN"/>
              </w:rPr>
              <w:t>③90%&gt;项目质量达标率≥85%，得1分；</w:t>
            </w:r>
            <w:r>
              <w:rPr>
                <w:rFonts w:hint="eastAsia"/>
                <w:lang w:eastAsia="zh-CN"/>
              </w:rPr>
              <w:br w:type="textWrapping"/>
            </w:r>
            <w:r>
              <w:rPr>
                <w:rFonts w:hint="eastAsia"/>
                <w:lang w:eastAsia="zh-CN"/>
              </w:rPr>
              <w:t>④85%&gt;项目质量达标率，得0分。</w:t>
            </w:r>
          </w:p>
        </w:tc>
      </w:tr>
      <w:tr w14:paraId="7A4ED5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62E9A018">
            <w:pPr>
              <w:pStyle w:val="18"/>
              <w:bidi w:val="0"/>
              <w:rPr>
                <w:rFonts w:hint="eastAsia"/>
                <w:lang w:eastAsia="zh-CN"/>
              </w:rPr>
            </w:pPr>
          </w:p>
        </w:tc>
        <w:tc>
          <w:tcPr>
            <w:tcW w:w="380" w:type="pct"/>
            <w:vMerge w:val="restart"/>
            <w:vAlign w:val="center"/>
          </w:tcPr>
          <w:p w14:paraId="37AFAD4F">
            <w:pPr>
              <w:pStyle w:val="18"/>
              <w:bidi w:val="0"/>
              <w:rPr>
                <w:rFonts w:hint="eastAsia"/>
                <w:lang w:eastAsia="zh-CN"/>
              </w:rPr>
            </w:pPr>
            <w:r>
              <w:rPr>
                <w:rFonts w:hint="eastAsia"/>
                <w:lang w:eastAsia="zh-CN"/>
              </w:rPr>
              <w:t>产出数量（18分）</w:t>
            </w:r>
          </w:p>
        </w:tc>
        <w:tc>
          <w:tcPr>
            <w:tcW w:w="594" w:type="pct"/>
            <w:vAlign w:val="center"/>
          </w:tcPr>
          <w:p w14:paraId="69987B73">
            <w:pPr>
              <w:pStyle w:val="18"/>
              <w:bidi w:val="0"/>
              <w:rPr>
                <w:rFonts w:hint="eastAsia"/>
                <w:lang w:eastAsia="zh-CN"/>
              </w:rPr>
            </w:pPr>
            <w:r>
              <w:rPr>
                <w:rFonts w:hint="eastAsia"/>
                <w:lang w:eastAsia="zh-CN"/>
              </w:rPr>
              <w:t>列入经营异常名录（3分）</w:t>
            </w:r>
          </w:p>
        </w:tc>
        <w:tc>
          <w:tcPr>
            <w:tcW w:w="1458" w:type="pct"/>
            <w:vAlign w:val="center"/>
          </w:tcPr>
          <w:p w14:paraId="19C4DD1F">
            <w:pPr>
              <w:pStyle w:val="18"/>
              <w:bidi w:val="0"/>
              <w:rPr>
                <w:rFonts w:hint="eastAsia"/>
                <w:lang w:eastAsia="zh-CN"/>
              </w:rPr>
            </w:pPr>
            <w:r>
              <w:rPr>
                <w:rFonts w:hint="eastAsia"/>
                <w:lang w:eastAsia="zh-CN"/>
              </w:rPr>
              <w:t>主要评价部门（单位）2024年度对经营异常企业进行监管的力度，列入经营异常企业名录企业的数量。</w:t>
            </w:r>
          </w:p>
        </w:tc>
        <w:tc>
          <w:tcPr>
            <w:tcW w:w="2195" w:type="pct"/>
            <w:vAlign w:val="center"/>
          </w:tcPr>
          <w:p w14:paraId="3063A8C8">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①列入经营异常数量≥1500家，得3分；</w:t>
            </w:r>
            <w:r>
              <w:rPr>
                <w:rFonts w:hint="eastAsia"/>
                <w:lang w:eastAsia="zh-CN"/>
              </w:rPr>
              <w:br w:type="textWrapping"/>
            </w:r>
            <w:r>
              <w:rPr>
                <w:rFonts w:hint="eastAsia"/>
                <w:lang w:eastAsia="zh-CN"/>
              </w:rPr>
              <w:t>②1500人&gt;列入经营异常数量≥1450家，得2分；</w:t>
            </w:r>
            <w:r>
              <w:rPr>
                <w:rFonts w:hint="eastAsia"/>
                <w:lang w:eastAsia="zh-CN"/>
              </w:rPr>
              <w:br w:type="textWrapping"/>
            </w:r>
            <w:r>
              <w:rPr>
                <w:rFonts w:hint="eastAsia"/>
                <w:lang w:eastAsia="zh-CN"/>
              </w:rPr>
              <w:t>③1450人&gt;列入经营异常数量≥1400家，得1分；</w:t>
            </w:r>
            <w:r>
              <w:rPr>
                <w:rFonts w:hint="eastAsia"/>
                <w:lang w:eastAsia="zh-CN"/>
              </w:rPr>
              <w:br w:type="textWrapping"/>
            </w:r>
            <w:r>
              <w:rPr>
                <w:rFonts w:hint="eastAsia"/>
                <w:lang w:eastAsia="zh-CN"/>
              </w:rPr>
              <w:t>④1400家&gt;列入经营异常数量，得0分。</w:t>
            </w:r>
          </w:p>
        </w:tc>
      </w:tr>
      <w:tr w14:paraId="2777C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3D54F4FE">
            <w:pPr>
              <w:pStyle w:val="18"/>
              <w:bidi w:val="0"/>
              <w:rPr>
                <w:rFonts w:hint="eastAsia"/>
                <w:lang w:eastAsia="zh-CN"/>
              </w:rPr>
            </w:pPr>
          </w:p>
        </w:tc>
        <w:tc>
          <w:tcPr>
            <w:tcW w:w="380" w:type="pct"/>
            <w:vMerge w:val="continue"/>
            <w:vAlign w:val="center"/>
          </w:tcPr>
          <w:p w14:paraId="7F477F6C">
            <w:pPr>
              <w:pStyle w:val="18"/>
              <w:bidi w:val="0"/>
              <w:rPr>
                <w:rFonts w:hint="eastAsia"/>
                <w:lang w:eastAsia="zh-CN"/>
              </w:rPr>
            </w:pPr>
          </w:p>
        </w:tc>
        <w:tc>
          <w:tcPr>
            <w:tcW w:w="594" w:type="pct"/>
            <w:vAlign w:val="center"/>
          </w:tcPr>
          <w:p w14:paraId="74F0598D">
            <w:pPr>
              <w:pStyle w:val="18"/>
              <w:bidi w:val="0"/>
              <w:rPr>
                <w:rFonts w:hint="eastAsia"/>
                <w:lang w:eastAsia="zh-CN"/>
              </w:rPr>
            </w:pPr>
            <w:r>
              <w:rPr>
                <w:rFonts w:hint="eastAsia"/>
                <w:lang w:eastAsia="zh-CN"/>
              </w:rPr>
              <w:t>新设市场主体登记数量（3分）</w:t>
            </w:r>
          </w:p>
        </w:tc>
        <w:tc>
          <w:tcPr>
            <w:tcW w:w="1458" w:type="pct"/>
            <w:vAlign w:val="center"/>
          </w:tcPr>
          <w:p w14:paraId="43A87839">
            <w:pPr>
              <w:pStyle w:val="18"/>
              <w:bidi w:val="0"/>
              <w:rPr>
                <w:rFonts w:hint="eastAsia"/>
                <w:lang w:eastAsia="zh-CN"/>
              </w:rPr>
            </w:pPr>
            <w:r>
              <w:rPr>
                <w:rFonts w:hint="eastAsia"/>
                <w:lang w:eastAsia="zh-CN"/>
              </w:rPr>
              <w:t>主要评价部门（单位）本年度在辖区内新设市场主体登记。</w:t>
            </w:r>
          </w:p>
        </w:tc>
        <w:tc>
          <w:tcPr>
            <w:tcW w:w="2195" w:type="pct"/>
            <w:vAlign w:val="center"/>
          </w:tcPr>
          <w:p w14:paraId="3119023E">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①新设主体数量≥5000家，得3分；</w:t>
            </w:r>
            <w:r>
              <w:rPr>
                <w:rFonts w:hint="eastAsia"/>
                <w:lang w:eastAsia="zh-CN"/>
              </w:rPr>
              <w:br w:type="textWrapping"/>
            </w:r>
            <w:r>
              <w:rPr>
                <w:rFonts w:hint="eastAsia"/>
                <w:lang w:eastAsia="zh-CN"/>
              </w:rPr>
              <w:t>②5000家&gt;新设主体数量≥4900家，得2分；</w:t>
            </w:r>
            <w:r>
              <w:rPr>
                <w:rFonts w:hint="eastAsia"/>
                <w:lang w:eastAsia="zh-CN"/>
              </w:rPr>
              <w:br w:type="textWrapping"/>
            </w:r>
            <w:r>
              <w:rPr>
                <w:rFonts w:hint="eastAsia"/>
                <w:lang w:eastAsia="zh-CN"/>
              </w:rPr>
              <w:t>③4900家&gt;新设主体数量≥4800家，得1分；</w:t>
            </w:r>
            <w:r>
              <w:rPr>
                <w:rFonts w:hint="eastAsia"/>
                <w:lang w:eastAsia="zh-CN"/>
              </w:rPr>
              <w:br w:type="textWrapping"/>
            </w:r>
            <w:r>
              <w:rPr>
                <w:rFonts w:hint="eastAsia"/>
                <w:lang w:eastAsia="zh-CN"/>
              </w:rPr>
              <w:t>④4800家&gt;新设主体数量，得0分。</w:t>
            </w:r>
          </w:p>
        </w:tc>
      </w:tr>
      <w:tr w14:paraId="1505E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3A41A27D">
            <w:pPr>
              <w:pStyle w:val="18"/>
              <w:bidi w:val="0"/>
              <w:rPr>
                <w:rFonts w:hint="eastAsia"/>
                <w:lang w:eastAsia="zh-CN"/>
              </w:rPr>
            </w:pPr>
          </w:p>
        </w:tc>
        <w:tc>
          <w:tcPr>
            <w:tcW w:w="380" w:type="pct"/>
            <w:vMerge w:val="continue"/>
            <w:vAlign w:val="center"/>
          </w:tcPr>
          <w:p w14:paraId="030359C0">
            <w:pPr>
              <w:pStyle w:val="18"/>
              <w:bidi w:val="0"/>
              <w:rPr>
                <w:rFonts w:hint="eastAsia"/>
                <w:lang w:eastAsia="zh-CN"/>
              </w:rPr>
            </w:pPr>
          </w:p>
        </w:tc>
        <w:tc>
          <w:tcPr>
            <w:tcW w:w="594" w:type="pct"/>
            <w:vAlign w:val="center"/>
          </w:tcPr>
          <w:p w14:paraId="3296C10A">
            <w:pPr>
              <w:pStyle w:val="18"/>
              <w:bidi w:val="0"/>
              <w:rPr>
                <w:rFonts w:hint="eastAsia"/>
                <w:lang w:eastAsia="zh-CN"/>
              </w:rPr>
            </w:pPr>
            <w:r>
              <w:rPr>
                <w:rFonts w:hint="eastAsia"/>
                <w:lang w:eastAsia="zh-CN"/>
              </w:rPr>
              <w:t>工业产品抽检批次（3分）</w:t>
            </w:r>
          </w:p>
        </w:tc>
        <w:tc>
          <w:tcPr>
            <w:tcW w:w="1458" w:type="pct"/>
            <w:vAlign w:val="center"/>
          </w:tcPr>
          <w:p w14:paraId="5C786F81">
            <w:pPr>
              <w:pStyle w:val="18"/>
              <w:bidi w:val="0"/>
              <w:rPr>
                <w:rFonts w:hint="eastAsia"/>
                <w:lang w:eastAsia="zh-CN"/>
              </w:rPr>
            </w:pPr>
            <w:r>
              <w:rPr>
                <w:rFonts w:hint="eastAsia"/>
                <w:lang w:eastAsia="zh-CN"/>
              </w:rPr>
              <w:t>主要评价部门（单位）本年度开展对工业产品抽检批次情况。</w:t>
            </w:r>
          </w:p>
        </w:tc>
        <w:tc>
          <w:tcPr>
            <w:tcW w:w="2195" w:type="pct"/>
            <w:vAlign w:val="center"/>
          </w:tcPr>
          <w:p w14:paraId="135A94AA">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①抽检批次≥120批次，得3分；</w:t>
            </w:r>
            <w:r>
              <w:rPr>
                <w:rFonts w:hint="eastAsia"/>
                <w:lang w:eastAsia="zh-CN"/>
              </w:rPr>
              <w:br w:type="textWrapping"/>
            </w:r>
            <w:r>
              <w:rPr>
                <w:rFonts w:hint="eastAsia"/>
                <w:lang w:eastAsia="zh-CN"/>
              </w:rPr>
              <w:t>②120批次&gt;抽检批次≥110批次，得2分；</w:t>
            </w:r>
            <w:r>
              <w:rPr>
                <w:rFonts w:hint="eastAsia"/>
                <w:lang w:eastAsia="zh-CN"/>
              </w:rPr>
              <w:br w:type="textWrapping"/>
            </w:r>
            <w:r>
              <w:rPr>
                <w:rFonts w:hint="eastAsia"/>
                <w:lang w:eastAsia="zh-CN"/>
              </w:rPr>
              <w:t>③110批次&gt;抽检批次≥100批次，得1分；</w:t>
            </w:r>
            <w:r>
              <w:rPr>
                <w:rFonts w:hint="eastAsia"/>
                <w:lang w:eastAsia="zh-CN"/>
              </w:rPr>
              <w:br w:type="textWrapping"/>
            </w:r>
            <w:r>
              <w:rPr>
                <w:rFonts w:hint="eastAsia"/>
                <w:lang w:eastAsia="zh-CN"/>
              </w:rPr>
              <w:t>④100批次&gt;抽检批次，得0分。</w:t>
            </w:r>
          </w:p>
        </w:tc>
      </w:tr>
      <w:tr w14:paraId="3AE14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1E88ED8B">
            <w:pPr>
              <w:pStyle w:val="18"/>
              <w:bidi w:val="0"/>
              <w:rPr>
                <w:rFonts w:hint="eastAsia"/>
                <w:lang w:eastAsia="zh-CN"/>
              </w:rPr>
            </w:pPr>
          </w:p>
        </w:tc>
        <w:tc>
          <w:tcPr>
            <w:tcW w:w="380" w:type="pct"/>
            <w:vMerge w:val="continue"/>
            <w:vAlign w:val="center"/>
          </w:tcPr>
          <w:p w14:paraId="060DA76B">
            <w:pPr>
              <w:pStyle w:val="18"/>
              <w:bidi w:val="0"/>
              <w:rPr>
                <w:rFonts w:hint="eastAsia"/>
                <w:lang w:eastAsia="zh-CN"/>
              </w:rPr>
            </w:pPr>
          </w:p>
        </w:tc>
        <w:tc>
          <w:tcPr>
            <w:tcW w:w="594" w:type="pct"/>
            <w:vAlign w:val="center"/>
          </w:tcPr>
          <w:p w14:paraId="54DC7702">
            <w:pPr>
              <w:pStyle w:val="18"/>
              <w:bidi w:val="0"/>
              <w:rPr>
                <w:rFonts w:hint="eastAsia"/>
                <w:lang w:eastAsia="zh-CN"/>
              </w:rPr>
            </w:pPr>
            <w:r>
              <w:rPr>
                <w:rFonts w:hint="eastAsia"/>
                <w:lang w:eastAsia="zh-CN"/>
              </w:rPr>
              <w:t>走访调研卫生用品企业数量（3分）</w:t>
            </w:r>
          </w:p>
        </w:tc>
        <w:tc>
          <w:tcPr>
            <w:tcW w:w="1458" w:type="pct"/>
            <w:vAlign w:val="center"/>
          </w:tcPr>
          <w:p w14:paraId="28CE57FA">
            <w:pPr>
              <w:pStyle w:val="18"/>
              <w:bidi w:val="0"/>
              <w:rPr>
                <w:rFonts w:hint="eastAsia"/>
                <w:lang w:eastAsia="zh-CN"/>
              </w:rPr>
            </w:pPr>
            <w:r>
              <w:rPr>
                <w:rFonts w:hint="eastAsia"/>
                <w:lang w:eastAsia="zh-CN"/>
              </w:rPr>
              <w:t>主要评价部门（单位）本年度开展走访调研纸类卫生用品企业数量。</w:t>
            </w:r>
          </w:p>
        </w:tc>
        <w:tc>
          <w:tcPr>
            <w:tcW w:w="2195" w:type="pct"/>
            <w:vAlign w:val="center"/>
          </w:tcPr>
          <w:p w14:paraId="0F11D9E8">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①调研数量≥28家，得3分；</w:t>
            </w:r>
            <w:r>
              <w:rPr>
                <w:rFonts w:hint="eastAsia"/>
                <w:lang w:eastAsia="zh-CN"/>
              </w:rPr>
              <w:br w:type="textWrapping"/>
            </w:r>
            <w:r>
              <w:rPr>
                <w:rFonts w:hint="eastAsia"/>
                <w:lang w:eastAsia="zh-CN"/>
              </w:rPr>
              <w:t>②28家&gt;调研数量≥25家，得2分；</w:t>
            </w:r>
            <w:r>
              <w:rPr>
                <w:rFonts w:hint="eastAsia"/>
                <w:lang w:eastAsia="zh-CN"/>
              </w:rPr>
              <w:br w:type="textWrapping"/>
            </w:r>
            <w:r>
              <w:rPr>
                <w:rFonts w:hint="eastAsia"/>
                <w:lang w:eastAsia="zh-CN"/>
              </w:rPr>
              <w:t>③25&gt;调研数量≥22家，得1分；</w:t>
            </w:r>
            <w:r>
              <w:rPr>
                <w:rFonts w:hint="eastAsia"/>
                <w:lang w:eastAsia="zh-CN"/>
              </w:rPr>
              <w:br w:type="textWrapping"/>
            </w:r>
            <w:r>
              <w:rPr>
                <w:rFonts w:hint="eastAsia"/>
                <w:lang w:eastAsia="zh-CN"/>
              </w:rPr>
              <w:t>④22家&gt;调研数量，得0分。</w:t>
            </w:r>
          </w:p>
        </w:tc>
      </w:tr>
      <w:tr w14:paraId="096AE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6EC9517A">
            <w:pPr>
              <w:pStyle w:val="18"/>
              <w:bidi w:val="0"/>
              <w:rPr>
                <w:rFonts w:hint="eastAsia"/>
                <w:lang w:eastAsia="zh-CN"/>
              </w:rPr>
            </w:pPr>
          </w:p>
        </w:tc>
        <w:tc>
          <w:tcPr>
            <w:tcW w:w="380" w:type="pct"/>
            <w:vMerge w:val="continue"/>
            <w:vAlign w:val="center"/>
          </w:tcPr>
          <w:p w14:paraId="3C479DD9">
            <w:pPr>
              <w:pStyle w:val="18"/>
              <w:bidi w:val="0"/>
              <w:rPr>
                <w:rFonts w:hint="eastAsia"/>
                <w:lang w:eastAsia="zh-CN"/>
              </w:rPr>
            </w:pPr>
          </w:p>
        </w:tc>
        <w:tc>
          <w:tcPr>
            <w:tcW w:w="594" w:type="pct"/>
            <w:vAlign w:val="center"/>
          </w:tcPr>
          <w:p w14:paraId="227F504C">
            <w:pPr>
              <w:pStyle w:val="18"/>
              <w:bidi w:val="0"/>
              <w:rPr>
                <w:rFonts w:hint="eastAsia"/>
                <w:lang w:eastAsia="zh-CN"/>
              </w:rPr>
            </w:pPr>
            <w:r>
              <w:rPr>
                <w:rFonts w:hint="eastAsia"/>
                <w:lang w:eastAsia="zh-CN"/>
              </w:rPr>
              <w:t>新增专利授权数量（3分）</w:t>
            </w:r>
          </w:p>
        </w:tc>
        <w:tc>
          <w:tcPr>
            <w:tcW w:w="1458" w:type="pct"/>
            <w:vAlign w:val="center"/>
          </w:tcPr>
          <w:p w14:paraId="09382B82">
            <w:pPr>
              <w:pStyle w:val="18"/>
              <w:bidi w:val="0"/>
              <w:rPr>
                <w:rFonts w:hint="eastAsia"/>
                <w:lang w:eastAsia="zh-CN"/>
              </w:rPr>
            </w:pPr>
            <w:r>
              <w:rPr>
                <w:rFonts w:hint="eastAsia"/>
                <w:lang w:eastAsia="zh-CN"/>
              </w:rPr>
              <w:t>主要评价部门（单位）本年度在辖区内新增专利授权数量。</w:t>
            </w:r>
          </w:p>
        </w:tc>
        <w:tc>
          <w:tcPr>
            <w:tcW w:w="2195" w:type="pct"/>
            <w:vAlign w:val="center"/>
          </w:tcPr>
          <w:p w14:paraId="4AE9E109">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①授权数量≥1000件，得3分；</w:t>
            </w:r>
            <w:r>
              <w:rPr>
                <w:rFonts w:hint="eastAsia"/>
                <w:lang w:eastAsia="zh-CN"/>
              </w:rPr>
              <w:br w:type="textWrapping"/>
            </w:r>
            <w:r>
              <w:rPr>
                <w:rFonts w:hint="eastAsia"/>
                <w:lang w:eastAsia="zh-CN"/>
              </w:rPr>
              <w:t>②1000件&gt;授权数量≥950件，得2分；</w:t>
            </w:r>
            <w:r>
              <w:rPr>
                <w:rFonts w:hint="eastAsia"/>
                <w:lang w:eastAsia="zh-CN"/>
              </w:rPr>
              <w:br w:type="textWrapping"/>
            </w:r>
            <w:r>
              <w:rPr>
                <w:rFonts w:hint="eastAsia"/>
                <w:lang w:eastAsia="zh-CN"/>
              </w:rPr>
              <w:t>③950件&gt;授权数量≥900件，得1分；</w:t>
            </w:r>
            <w:r>
              <w:rPr>
                <w:rFonts w:hint="eastAsia"/>
                <w:lang w:eastAsia="zh-CN"/>
              </w:rPr>
              <w:br w:type="textWrapping"/>
            </w:r>
            <w:r>
              <w:rPr>
                <w:rFonts w:hint="eastAsia"/>
                <w:lang w:eastAsia="zh-CN"/>
              </w:rPr>
              <w:t>④900件&gt;授权数量，得0分。</w:t>
            </w:r>
          </w:p>
        </w:tc>
      </w:tr>
      <w:tr w14:paraId="7964D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6487AAFE">
            <w:pPr>
              <w:pStyle w:val="18"/>
              <w:bidi w:val="0"/>
              <w:rPr>
                <w:rFonts w:hint="eastAsia"/>
                <w:lang w:eastAsia="zh-CN"/>
              </w:rPr>
            </w:pPr>
          </w:p>
        </w:tc>
        <w:tc>
          <w:tcPr>
            <w:tcW w:w="380" w:type="pct"/>
            <w:vMerge w:val="continue"/>
            <w:vAlign w:val="center"/>
          </w:tcPr>
          <w:p w14:paraId="43B7B46E">
            <w:pPr>
              <w:pStyle w:val="18"/>
              <w:bidi w:val="0"/>
              <w:rPr>
                <w:rFonts w:hint="eastAsia"/>
                <w:lang w:eastAsia="zh-CN"/>
              </w:rPr>
            </w:pPr>
          </w:p>
        </w:tc>
        <w:tc>
          <w:tcPr>
            <w:tcW w:w="594" w:type="pct"/>
            <w:vAlign w:val="center"/>
          </w:tcPr>
          <w:p w14:paraId="7991B7D9">
            <w:pPr>
              <w:pStyle w:val="18"/>
              <w:bidi w:val="0"/>
              <w:rPr>
                <w:rFonts w:hint="eastAsia"/>
                <w:lang w:eastAsia="zh-CN"/>
              </w:rPr>
            </w:pPr>
            <w:r>
              <w:rPr>
                <w:rFonts w:hint="eastAsia"/>
                <w:lang w:eastAsia="zh-CN"/>
              </w:rPr>
              <w:t>新增注册商标数量（3分）</w:t>
            </w:r>
          </w:p>
        </w:tc>
        <w:tc>
          <w:tcPr>
            <w:tcW w:w="1458" w:type="pct"/>
            <w:vAlign w:val="center"/>
          </w:tcPr>
          <w:p w14:paraId="66470281">
            <w:pPr>
              <w:pStyle w:val="18"/>
              <w:bidi w:val="0"/>
              <w:rPr>
                <w:rFonts w:hint="eastAsia"/>
                <w:lang w:eastAsia="zh-CN"/>
              </w:rPr>
            </w:pPr>
            <w:r>
              <w:rPr>
                <w:rFonts w:hint="eastAsia"/>
                <w:lang w:eastAsia="zh-CN"/>
              </w:rPr>
              <w:t>主要评价部门（单位）本年度在辖区内企业新增注册商标数量。</w:t>
            </w:r>
          </w:p>
        </w:tc>
        <w:tc>
          <w:tcPr>
            <w:tcW w:w="2195" w:type="pct"/>
            <w:vAlign w:val="center"/>
          </w:tcPr>
          <w:p w14:paraId="4D3806AC">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①注册数量≥1700件，得3分；</w:t>
            </w:r>
            <w:r>
              <w:rPr>
                <w:rFonts w:hint="eastAsia"/>
                <w:lang w:eastAsia="zh-CN"/>
              </w:rPr>
              <w:br w:type="textWrapping"/>
            </w:r>
            <w:r>
              <w:rPr>
                <w:rFonts w:hint="eastAsia"/>
                <w:lang w:eastAsia="zh-CN"/>
              </w:rPr>
              <w:t>②1700件&gt;注册数量≥1600件，得2分；</w:t>
            </w:r>
            <w:r>
              <w:rPr>
                <w:rFonts w:hint="eastAsia"/>
                <w:lang w:eastAsia="zh-CN"/>
              </w:rPr>
              <w:br w:type="textWrapping"/>
            </w:r>
            <w:r>
              <w:rPr>
                <w:rFonts w:hint="eastAsia"/>
                <w:lang w:eastAsia="zh-CN"/>
              </w:rPr>
              <w:t>③1600件&gt;注册数量≥1500件，得1分；</w:t>
            </w:r>
            <w:r>
              <w:rPr>
                <w:rFonts w:hint="eastAsia"/>
                <w:lang w:eastAsia="zh-CN"/>
              </w:rPr>
              <w:br w:type="textWrapping"/>
            </w:r>
            <w:r>
              <w:rPr>
                <w:rFonts w:hint="eastAsia"/>
                <w:lang w:eastAsia="zh-CN"/>
              </w:rPr>
              <w:t>④1500件&gt;注册数量，得0分。</w:t>
            </w:r>
          </w:p>
        </w:tc>
      </w:tr>
      <w:tr w14:paraId="6D74D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2DD89A78">
            <w:pPr>
              <w:pStyle w:val="18"/>
              <w:bidi w:val="0"/>
              <w:rPr>
                <w:rFonts w:hint="eastAsia"/>
                <w:lang w:eastAsia="zh-CN"/>
              </w:rPr>
            </w:pPr>
          </w:p>
        </w:tc>
        <w:tc>
          <w:tcPr>
            <w:tcW w:w="380" w:type="pct"/>
            <w:vMerge w:val="restart"/>
            <w:vAlign w:val="center"/>
          </w:tcPr>
          <w:p w14:paraId="69AAB84C">
            <w:pPr>
              <w:pStyle w:val="18"/>
              <w:bidi w:val="0"/>
              <w:rPr>
                <w:rFonts w:hint="eastAsia"/>
                <w:lang w:eastAsia="zh-CN"/>
              </w:rPr>
            </w:pPr>
            <w:r>
              <w:rPr>
                <w:rFonts w:hint="eastAsia"/>
                <w:lang w:eastAsia="zh-CN"/>
              </w:rPr>
              <w:t>产出质量（12分）</w:t>
            </w:r>
          </w:p>
        </w:tc>
        <w:tc>
          <w:tcPr>
            <w:tcW w:w="594" w:type="pct"/>
            <w:vAlign w:val="center"/>
          </w:tcPr>
          <w:p w14:paraId="556D191E">
            <w:pPr>
              <w:pStyle w:val="18"/>
              <w:bidi w:val="0"/>
              <w:rPr>
                <w:rFonts w:hint="eastAsia"/>
                <w:lang w:eastAsia="zh-CN"/>
              </w:rPr>
            </w:pPr>
            <w:r>
              <w:rPr>
                <w:rFonts w:hint="eastAsia"/>
                <w:lang w:eastAsia="zh-CN"/>
              </w:rPr>
              <w:t>食品安全监管情况（3分）</w:t>
            </w:r>
          </w:p>
        </w:tc>
        <w:tc>
          <w:tcPr>
            <w:tcW w:w="1458" w:type="pct"/>
            <w:vAlign w:val="center"/>
          </w:tcPr>
          <w:p w14:paraId="5569881C">
            <w:pPr>
              <w:pStyle w:val="18"/>
              <w:bidi w:val="0"/>
              <w:rPr>
                <w:rFonts w:hint="eastAsia"/>
                <w:lang w:eastAsia="zh-CN"/>
              </w:rPr>
            </w:pPr>
            <w:r>
              <w:rPr>
                <w:rFonts w:hint="eastAsia"/>
                <w:lang w:eastAsia="zh-CN"/>
              </w:rPr>
              <w:t>主要评价部门（单位）在食品安全监管方面是否监管全面。</w:t>
            </w:r>
          </w:p>
        </w:tc>
        <w:tc>
          <w:tcPr>
            <w:tcW w:w="2195" w:type="pct"/>
            <w:vAlign w:val="center"/>
          </w:tcPr>
          <w:p w14:paraId="4C978FCF">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①食品安全监管全面，得3分；</w:t>
            </w:r>
            <w:r>
              <w:rPr>
                <w:rFonts w:hint="eastAsia"/>
                <w:lang w:eastAsia="zh-CN"/>
              </w:rPr>
              <w:br w:type="textWrapping"/>
            </w:r>
            <w:r>
              <w:rPr>
                <w:rFonts w:hint="eastAsia"/>
                <w:lang w:eastAsia="zh-CN"/>
              </w:rPr>
              <w:t>②食品安全监督全面度较高，得2分；</w:t>
            </w:r>
            <w:r>
              <w:rPr>
                <w:rFonts w:hint="eastAsia"/>
                <w:lang w:eastAsia="zh-CN"/>
              </w:rPr>
              <w:br w:type="textWrapping"/>
            </w:r>
            <w:r>
              <w:rPr>
                <w:rFonts w:hint="eastAsia"/>
                <w:lang w:eastAsia="zh-CN"/>
              </w:rPr>
              <w:t>③食品安全监管全面度较低，得1分；</w:t>
            </w:r>
            <w:r>
              <w:rPr>
                <w:rFonts w:hint="eastAsia"/>
                <w:lang w:eastAsia="zh-CN"/>
              </w:rPr>
              <w:br w:type="textWrapping"/>
            </w:r>
            <w:r>
              <w:rPr>
                <w:rFonts w:hint="eastAsia"/>
                <w:lang w:eastAsia="zh-CN"/>
              </w:rPr>
              <w:t>④食品安全监管不全面，得0分。</w:t>
            </w:r>
          </w:p>
        </w:tc>
      </w:tr>
      <w:tr w14:paraId="23641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36AD4FAB">
            <w:pPr>
              <w:pStyle w:val="18"/>
              <w:bidi w:val="0"/>
              <w:rPr>
                <w:rFonts w:hint="eastAsia"/>
                <w:lang w:eastAsia="zh-CN"/>
              </w:rPr>
            </w:pPr>
          </w:p>
        </w:tc>
        <w:tc>
          <w:tcPr>
            <w:tcW w:w="380" w:type="pct"/>
            <w:vMerge w:val="continue"/>
            <w:vAlign w:val="center"/>
          </w:tcPr>
          <w:p w14:paraId="31D612E3">
            <w:pPr>
              <w:pStyle w:val="18"/>
              <w:bidi w:val="0"/>
              <w:rPr>
                <w:rFonts w:hint="eastAsia"/>
                <w:lang w:eastAsia="zh-CN"/>
              </w:rPr>
            </w:pPr>
          </w:p>
        </w:tc>
        <w:tc>
          <w:tcPr>
            <w:tcW w:w="594" w:type="pct"/>
            <w:vAlign w:val="center"/>
          </w:tcPr>
          <w:p w14:paraId="7C9F580B">
            <w:pPr>
              <w:pStyle w:val="18"/>
              <w:bidi w:val="0"/>
              <w:rPr>
                <w:rFonts w:hint="eastAsia"/>
                <w:lang w:eastAsia="zh-CN"/>
              </w:rPr>
            </w:pPr>
            <w:r>
              <w:rPr>
                <w:rFonts w:hint="eastAsia"/>
                <w:lang w:eastAsia="zh-CN"/>
              </w:rPr>
              <w:t>执法人员专业素养（3分）</w:t>
            </w:r>
          </w:p>
        </w:tc>
        <w:tc>
          <w:tcPr>
            <w:tcW w:w="1458" w:type="pct"/>
            <w:vAlign w:val="center"/>
          </w:tcPr>
          <w:p w14:paraId="08018613">
            <w:pPr>
              <w:pStyle w:val="18"/>
              <w:bidi w:val="0"/>
              <w:rPr>
                <w:rFonts w:hint="eastAsia"/>
                <w:lang w:eastAsia="zh-CN"/>
              </w:rPr>
            </w:pPr>
            <w:r>
              <w:rPr>
                <w:rFonts w:hint="eastAsia"/>
                <w:lang w:eastAsia="zh-CN"/>
              </w:rPr>
              <w:t>主要评价部门（单位）在执法过程中执法人员的专业素养水平如何。</w:t>
            </w:r>
          </w:p>
        </w:tc>
        <w:tc>
          <w:tcPr>
            <w:tcW w:w="2195" w:type="pct"/>
            <w:vAlign w:val="center"/>
          </w:tcPr>
          <w:p w14:paraId="3D8145EB">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①专业素养很高，得3分；</w:t>
            </w:r>
            <w:r>
              <w:rPr>
                <w:rFonts w:hint="eastAsia"/>
                <w:lang w:eastAsia="zh-CN"/>
              </w:rPr>
              <w:br w:type="textWrapping"/>
            </w:r>
            <w:r>
              <w:rPr>
                <w:rFonts w:hint="eastAsia"/>
                <w:lang w:eastAsia="zh-CN"/>
              </w:rPr>
              <w:t>②专业素养一般，得2分；</w:t>
            </w:r>
            <w:r>
              <w:rPr>
                <w:rFonts w:hint="eastAsia"/>
                <w:lang w:eastAsia="zh-CN"/>
              </w:rPr>
              <w:br w:type="textWrapping"/>
            </w:r>
            <w:r>
              <w:rPr>
                <w:rFonts w:hint="eastAsia"/>
                <w:lang w:eastAsia="zh-CN"/>
              </w:rPr>
              <w:t>③专业素养有待提高，得1分；</w:t>
            </w:r>
            <w:r>
              <w:rPr>
                <w:rFonts w:hint="eastAsia"/>
                <w:lang w:eastAsia="zh-CN"/>
              </w:rPr>
              <w:br w:type="textWrapping"/>
            </w:r>
            <w:r>
              <w:rPr>
                <w:rFonts w:hint="eastAsia"/>
                <w:lang w:eastAsia="zh-CN"/>
              </w:rPr>
              <w:t>④专业素养不足，得0分。</w:t>
            </w:r>
          </w:p>
        </w:tc>
      </w:tr>
      <w:tr w14:paraId="277BE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521FB332">
            <w:pPr>
              <w:pStyle w:val="18"/>
              <w:bidi w:val="0"/>
              <w:rPr>
                <w:rFonts w:hint="eastAsia"/>
                <w:lang w:eastAsia="zh-CN"/>
              </w:rPr>
            </w:pPr>
          </w:p>
        </w:tc>
        <w:tc>
          <w:tcPr>
            <w:tcW w:w="380" w:type="pct"/>
            <w:vMerge w:val="continue"/>
            <w:vAlign w:val="center"/>
          </w:tcPr>
          <w:p w14:paraId="252A66B9">
            <w:pPr>
              <w:pStyle w:val="18"/>
              <w:bidi w:val="0"/>
              <w:rPr>
                <w:rFonts w:hint="eastAsia"/>
                <w:lang w:eastAsia="zh-CN"/>
              </w:rPr>
            </w:pPr>
          </w:p>
        </w:tc>
        <w:tc>
          <w:tcPr>
            <w:tcW w:w="594" w:type="pct"/>
            <w:vAlign w:val="center"/>
          </w:tcPr>
          <w:p w14:paraId="66B38DB6">
            <w:pPr>
              <w:pStyle w:val="18"/>
              <w:bidi w:val="0"/>
              <w:rPr>
                <w:rFonts w:hint="eastAsia"/>
                <w:lang w:eastAsia="zh-CN"/>
              </w:rPr>
            </w:pPr>
            <w:r>
              <w:rPr>
                <w:rFonts w:hint="eastAsia"/>
                <w:lang w:eastAsia="zh-CN"/>
              </w:rPr>
              <w:t>打击广告市场力度（3分）</w:t>
            </w:r>
          </w:p>
        </w:tc>
        <w:tc>
          <w:tcPr>
            <w:tcW w:w="1458" w:type="pct"/>
            <w:vAlign w:val="center"/>
          </w:tcPr>
          <w:p w14:paraId="11507C67">
            <w:pPr>
              <w:pStyle w:val="18"/>
              <w:bidi w:val="0"/>
              <w:rPr>
                <w:rFonts w:hint="eastAsia"/>
                <w:lang w:eastAsia="zh-CN"/>
              </w:rPr>
            </w:pPr>
            <w:r>
              <w:rPr>
                <w:rFonts w:hint="eastAsia"/>
                <w:lang w:eastAsia="zh-CN"/>
              </w:rPr>
              <w:t>主要评价部门（单位）对本年度广告市场中虚假广告的打击力度。</w:t>
            </w:r>
          </w:p>
        </w:tc>
        <w:tc>
          <w:tcPr>
            <w:tcW w:w="2195" w:type="pct"/>
            <w:vAlign w:val="center"/>
          </w:tcPr>
          <w:p w14:paraId="57C12381">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①打击虚假广告力度很大，得3分；</w:t>
            </w:r>
            <w:r>
              <w:rPr>
                <w:rFonts w:hint="eastAsia"/>
                <w:lang w:eastAsia="zh-CN"/>
              </w:rPr>
              <w:br w:type="textWrapping"/>
            </w:r>
            <w:r>
              <w:rPr>
                <w:rFonts w:hint="eastAsia"/>
                <w:lang w:eastAsia="zh-CN"/>
              </w:rPr>
              <w:t>②打击虚假广告力度较大，得2分；</w:t>
            </w:r>
            <w:r>
              <w:rPr>
                <w:rFonts w:hint="eastAsia"/>
                <w:lang w:eastAsia="zh-CN"/>
              </w:rPr>
              <w:br w:type="textWrapping"/>
            </w:r>
            <w:r>
              <w:rPr>
                <w:rFonts w:hint="eastAsia"/>
                <w:lang w:eastAsia="zh-CN"/>
              </w:rPr>
              <w:t>③打击虚假广告力度一般，需要加强，得1分；</w:t>
            </w:r>
            <w:r>
              <w:rPr>
                <w:rFonts w:hint="eastAsia"/>
                <w:lang w:eastAsia="zh-CN"/>
              </w:rPr>
              <w:br w:type="textWrapping"/>
            </w:r>
            <w:r>
              <w:rPr>
                <w:rFonts w:hint="eastAsia"/>
                <w:lang w:eastAsia="zh-CN"/>
              </w:rPr>
              <w:t>④打击力度较小，得0分。</w:t>
            </w:r>
          </w:p>
        </w:tc>
      </w:tr>
      <w:tr w14:paraId="38730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582D904B">
            <w:pPr>
              <w:pStyle w:val="18"/>
              <w:bidi w:val="0"/>
              <w:rPr>
                <w:rFonts w:hint="eastAsia"/>
                <w:lang w:eastAsia="zh-CN"/>
              </w:rPr>
            </w:pPr>
          </w:p>
        </w:tc>
        <w:tc>
          <w:tcPr>
            <w:tcW w:w="380" w:type="pct"/>
            <w:vMerge w:val="continue"/>
            <w:vAlign w:val="center"/>
          </w:tcPr>
          <w:p w14:paraId="67056F40">
            <w:pPr>
              <w:pStyle w:val="18"/>
              <w:bidi w:val="0"/>
              <w:rPr>
                <w:rFonts w:hint="eastAsia"/>
                <w:lang w:eastAsia="zh-CN"/>
              </w:rPr>
            </w:pPr>
          </w:p>
        </w:tc>
        <w:tc>
          <w:tcPr>
            <w:tcW w:w="594" w:type="pct"/>
            <w:vAlign w:val="center"/>
          </w:tcPr>
          <w:p w14:paraId="5689DA91">
            <w:pPr>
              <w:pStyle w:val="18"/>
              <w:bidi w:val="0"/>
              <w:rPr>
                <w:rFonts w:hint="eastAsia"/>
                <w:lang w:eastAsia="zh-CN"/>
              </w:rPr>
            </w:pPr>
            <w:r>
              <w:rPr>
                <w:rFonts w:hint="eastAsia"/>
                <w:lang w:eastAsia="zh-CN"/>
              </w:rPr>
              <w:t>2024年度单位绩效考评结果（3分）</w:t>
            </w:r>
          </w:p>
        </w:tc>
        <w:tc>
          <w:tcPr>
            <w:tcW w:w="1458" w:type="pct"/>
            <w:vAlign w:val="center"/>
          </w:tcPr>
          <w:p w14:paraId="0192D13C">
            <w:pPr>
              <w:pStyle w:val="18"/>
              <w:bidi w:val="0"/>
              <w:rPr>
                <w:rFonts w:hint="eastAsia"/>
                <w:lang w:eastAsia="zh-CN"/>
              </w:rPr>
            </w:pPr>
            <w:r>
              <w:rPr>
                <w:rFonts w:hint="eastAsia"/>
                <w:lang w:eastAsia="zh-CN"/>
              </w:rPr>
              <w:t>主要评价部门（单位）在2024年度单位绩效考评结果情况。</w:t>
            </w:r>
          </w:p>
        </w:tc>
        <w:tc>
          <w:tcPr>
            <w:tcW w:w="2195" w:type="pct"/>
            <w:vAlign w:val="center"/>
          </w:tcPr>
          <w:p w14:paraId="78719521">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①获得优秀，得3分；</w:t>
            </w:r>
            <w:r>
              <w:rPr>
                <w:rFonts w:hint="eastAsia"/>
                <w:lang w:eastAsia="zh-CN"/>
              </w:rPr>
              <w:br w:type="textWrapping"/>
            </w:r>
            <w:r>
              <w:rPr>
                <w:rFonts w:hint="eastAsia"/>
                <w:lang w:eastAsia="zh-CN"/>
              </w:rPr>
              <w:t>②获得良好，得2分；</w:t>
            </w:r>
            <w:r>
              <w:rPr>
                <w:rFonts w:hint="eastAsia"/>
                <w:lang w:eastAsia="zh-CN"/>
              </w:rPr>
              <w:br w:type="textWrapping"/>
            </w:r>
            <w:r>
              <w:rPr>
                <w:rFonts w:hint="eastAsia"/>
                <w:lang w:eastAsia="zh-CN"/>
              </w:rPr>
              <w:t>③获得一般，得1分；</w:t>
            </w:r>
            <w:r>
              <w:rPr>
                <w:rFonts w:hint="eastAsia"/>
                <w:lang w:eastAsia="zh-CN"/>
              </w:rPr>
              <w:br w:type="textWrapping"/>
            </w:r>
            <w:r>
              <w:rPr>
                <w:rFonts w:hint="eastAsia"/>
                <w:lang w:eastAsia="zh-CN"/>
              </w:rPr>
              <w:t>④获得不合规，得0分。</w:t>
            </w:r>
          </w:p>
        </w:tc>
      </w:tr>
      <w:tr w14:paraId="6C259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restart"/>
            <w:vAlign w:val="center"/>
          </w:tcPr>
          <w:p w14:paraId="2F8F14B7">
            <w:pPr>
              <w:pStyle w:val="18"/>
              <w:bidi w:val="0"/>
              <w:rPr>
                <w:rFonts w:hint="eastAsia"/>
                <w:lang w:eastAsia="zh-CN"/>
              </w:rPr>
            </w:pPr>
            <w:r>
              <w:rPr>
                <w:rFonts w:hint="eastAsia"/>
                <w:lang w:eastAsia="zh-CN"/>
              </w:rPr>
              <w:t>效益（28%）</w:t>
            </w:r>
          </w:p>
        </w:tc>
        <w:tc>
          <w:tcPr>
            <w:tcW w:w="380" w:type="pct"/>
            <w:vMerge w:val="restart"/>
            <w:vAlign w:val="center"/>
          </w:tcPr>
          <w:p w14:paraId="1F1A7651">
            <w:pPr>
              <w:pStyle w:val="18"/>
              <w:bidi w:val="0"/>
              <w:rPr>
                <w:rFonts w:hint="eastAsia"/>
                <w:lang w:eastAsia="zh-CN"/>
              </w:rPr>
            </w:pPr>
            <w:r>
              <w:rPr>
                <w:rFonts w:hint="eastAsia"/>
                <w:lang w:eastAsia="zh-CN"/>
              </w:rPr>
              <w:t>社会效益（18分）</w:t>
            </w:r>
          </w:p>
        </w:tc>
        <w:tc>
          <w:tcPr>
            <w:tcW w:w="594" w:type="pct"/>
            <w:vAlign w:val="center"/>
          </w:tcPr>
          <w:p w14:paraId="5539BFFD">
            <w:pPr>
              <w:pStyle w:val="18"/>
              <w:bidi w:val="0"/>
              <w:rPr>
                <w:rFonts w:hint="eastAsia"/>
                <w:lang w:eastAsia="zh-CN"/>
              </w:rPr>
            </w:pPr>
            <w:r>
              <w:rPr>
                <w:rFonts w:hint="eastAsia"/>
                <w:lang w:eastAsia="zh-CN"/>
              </w:rPr>
              <w:t>12315维权服务点数量（3分）</w:t>
            </w:r>
          </w:p>
        </w:tc>
        <w:tc>
          <w:tcPr>
            <w:tcW w:w="1458" w:type="pct"/>
            <w:vAlign w:val="center"/>
          </w:tcPr>
          <w:p w14:paraId="23874074">
            <w:pPr>
              <w:pStyle w:val="18"/>
              <w:bidi w:val="0"/>
              <w:rPr>
                <w:rFonts w:hint="eastAsia"/>
                <w:lang w:eastAsia="zh-CN"/>
              </w:rPr>
            </w:pPr>
            <w:r>
              <w:rPr>
                <w:rFonts w:hint="eastAsia"/>
                <w:lang w:eastAsia="zh-CN"/>
              </w:rPr>
              <w:t>主要评价部门（单位）在辖区内12315消费者维权服务点的数量。</w:t>
            </w:r>
          </w:p>
        </w:tc>
        <w:tc>
          <w:tcPr>
            <w:tcW w:w="2195" w:type="pct"/>
            <w:vAlign w:val="center"/>
          </w:tcPr>
          <w:p w14:paraId="16C05911">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①服务点数量≥100个，得3分；</w:t>
            </w:r>
            <w:r>
              <w:rPr>
                <w:rFonts w:hint="eastAsia"/>
                <w:lang w:eastAsia="zh-CN"/>
              </w:rPr>
              <w:br w:type="textWrapping"/>
            </w:r>
            <w:r>
              <w:rPr>
                <w:rFonts w:hint="eastAsia"/>
                <w:lang w:eastAsia="zh-CN"/>
              </w:rPr>
              <w:t>②100个&gt;服务点数量≥95个，得2分；</w:t>
            </w:r>
            <w:r>
              <w:rPr>
                <w:rFonts w:hint="eastAsia"/>
                <w:lang w:eastAsia="zh-CN"/>
              </w:rPr>
              <w:br w:type="textWrapping"/>
            </w:r>
            <w:r>
              <w:rPr>
                <w:rFonts w:hint="eastAsia"/>
                <w:lang w:eastAsia="zh-CN"/>
              </w:rPr>
              <w:t>③95个&gt;服务点数量≥90个，得1分；</w:t>
            </w:r>
            <w:r>
              <w:rPr>
                <w:rFonts w:hint="eastAsia"/>
                <w:lang w:eastAsia="zh-CN"/>
              </w:rPr>
              <w:br w:type="textWrapping"/>
            </w:r>
            <w:r>
              <w:rPr>
                <w:rFonts w:hint="eastAsia"/>
                <w:lang w:eastAsia="zh-CN"/>
              </w:rPr>
              <w:t>④90个&gt;服务点数量，得0分。</w:t>
            </w:r>
          </w:p>
        </w:tc>
      </w:tr>
      <w:tr w14:paraId="35E12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799672E5">
            <w:pPr>
              <w:pStyle w:val="18"/>
              <w:bidi w:val="0"/>
              <w:rPr>
                <w:rFonts w:hint="eastAsia"/>
                <w:lang w:eastAsia="zh-CN"/>
              </w:rPr>
            </w:pPr>
          </w:p>
        </w:tc>
        <w:tc>
          <w:tcPr>
            <w:tcW w:w="380" w:type="pct"/>
            <w:vMerge w:val="continue"/>
            <w:vAlign w:val="center"/>
          </w:tcPr>
          <w:p w14:paraId="1BC2C117">
            <w:pPr>
              <w:pStyle w:val="18"/>
              <w:bidi w:val="0"/>
              <w:rPr>
                <w:rFonts w:hint="eastAsia"/>
                <w:lang w:eastAsia="zh-CN"/>
              </w:rPr>
            </w:pPr>
          </w:p>
        </w:tc>
        <w:tc>
          <w:tcPr>
            <w:tcW w:w="594" w:type="pct"/>
            <w:vAlign w:val="center"/>
          </w:tcPr>
          <w:p w14:paraId="1976599D">
            <w:pPr>
              <w:pStyle w:val="18"/>
              <w:bidi w:val="0"/>
              <w:rPr>
                <w:rFonts w:hint="eastAsia"/>
                <w:lang w:eastAsia="zh-CN"/>
              </w:rPr>
            </w:pPr>
            <w:r>
              <w:rPr>
                <w:rFonts w:hint="eastAsia"/>
                <w:lang w:eastAsia="zh-CN"/>
              </w:rPr>
              <w:t>受理消费者投诉案件数量（3分）</w:t>
            </w:r>
          </w:p>
        </w:tc>
        <w:tc>
          <w:tcPr>
            <w:tcW w:w="1458" w:type="pct"/>
            <w:vAlign w:val="center"/>
          </w:tcPr>
          <w:p w14:paraId="6C588FBC">
            <w:pPr>
              <w:pStyle w:val="18"/>
              <w:bidi w:val="0"/>
              <w:rPr>
                <w:rFonts w:hint="eastAsia"/>
                <w:lang w:eastAsia="zh-CN"/>
              </w:rPr>
            </w:pPr>
            <w:r>
              <w:rPr>
                <w:rFonts w:hint="eastAsia"/>
                <w:lang w:eastAsia="zh-CN"/>
              </w:rPr>
              <w:t>主要评价部门（单位）在本年度受理消费者维权申诉、投诉、举报等案件的数量。</w:t>
            </w:r>
          </w:p>
        </w:tc>
        <w:tc>
          <w:tcPr>
            <w:tcW w:w="2195" w:type="pct"/>
            <w:vAlign w:val="center"/>
          </w:tcPr>
          <w:p w14:paraId="1C8F05E0">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①案件数量≥4500件，得3分；</w:t>
            </w:r>
            <w:r>
              <w:rPr>
                <w:rFonts w:hint="eastAsia"/>
                <w:lang w:eastAsia="zh-CN"/>
              </w:rPr>
              <w:br w:type="textWrapping"/>
            </w:r>
            <w:r>
              <w:rPr>
                <w:rFonts w:hint="eastAsia"/>
                <w:lang w:eastAsia="zh-CN"/>
              </w:rPr>
              <w:t>②4500件&gt;案件数量≥4400件，得2分；</w:t>
            </w:r>
            <w:r>
              <w:rPr>
                <w:rFonts w:hint="eastAsia"/>
                <w:lang w:eastAsia="zh-CN"/>
              </w:rPr>
              <w:br w:type="textWrapping"/>
            </w:r>
            <w:r>
              <w:rPr>
                <w:rFonts w:hint="eastAsia"/>
                <w:lang w:eastAsia="zh-CN"/>
              </w:rPr>
              <w:t>③4400件&gt;案件数量≥4300件，得1分；</w:t>
            </w:r>
            <w:r>
              <w:rPr>
                <w:rFonts w:hint="eastAsia"/>
                <w:lang w:eastAsia="zh-CN"/>
              </w:rPr>
              <w:br w:type="textWrapping"/>
            </w:r>
            <w:r>
              <w:rPr>
                <w:rFonts w:hint="eastAsia"/>
                <w:lang w:eastAsia="zh-CN"/>
              </w:rPr>
              <w:t>④4300件&gt;案件数量，得0分。</w:t>
            </w:r>
          </w:p>
        </w:tc>
      </w:tr>
      <w:tr w14:paraId="5089F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1AE731A4">
            <w:pPr>
              <w:pStyle w:val="18"/>
              <w:bidi w:val="0"/>
              <w:rPr>
                <w:rFonts w:hint="eastAsia"/>
                <w:lang w:eastAsia="zh-CN"/>
              </w:rPr>
            </w:pPr>
          </w:p>
        </w:tc>
        <w:tc>
          <w:tcPr>
            <w:tcW w:w="380" w:type="pct"/>
            <w:vMerge w:val="continue"/>
            <w:vAlign w:val="center"/>
          </w:tcPr>
          <w:p w14:paraId="32681DA5">
            <w:pPr>
              <w:pStyle w:val="18"/>
              <w:bidi w:val="0"/>
              <w:rPr>
                <w:rFonts w:hint="eastAsia"/>
                <w:lang w:eastAsia="zh-CN"/>
              </w:rPr>
            </w:pPr>
          </w:p>
        </w:tc>
        <w:tc>
          <w:tcPr>
            <w:tcW w:w="594" w:type="pct"/>
            <w:vAlign w:val="center"/>
          </w:tcPr>
          <w:p w14:paraId="5F461E34">
            <w:pPr>
              <w:pStyle w:val="18"/>
              <w:bidi w:val="0"/>
              <w:rPr>
                <w:rFonts w:hint="eastAsia"/>
                <w:lang w:eastAsia="zh-CN"/>
              </w:rPr>
            </w:pPr>
            <w:r>
              <w:rPr>
                <w:rFonts w:hint="eastAsia"/>
                <w:lang w:eastAsia="zh-CN"/>
              </w:rPr>
              <w:t>药品监督抽检批次（3分）</w:t>
            </w:r>
          </w:p>
        </w:tc>
        <w:tc>
          <w:tcPr>
            <w:tcW w:w="1458" w:type="pct"/>
            <w:vAlign w:val="center"/>
          </w:tcPr>
          <w:p w14:paraId="200193E0">
            <w:pPr>
              <w:pStyle w:val="18"/>
              <w:bidi w:val="0"/>
              <w:rPr>
                <w:rFonts w:hint="eastAsia"/>
                <w:lang w:eastAsia="zh-CN"/>
              </w:rPr>
            </w:pPr>
            <w:r>
              <w:rPr>
                <w:rFonts w:hint="eastAsia"/>
                <w:lang w:eastAsia="zh-CN"/>
              </w:rPr>
              <w:t>主要评价部门（单位）在本年度对药品进行抽检的次数。</w:t>
            </w:r>
          </w:p>
        </w:tc>
        <w:tc>
          <w:tcPr>
            <w:tcW w:w="2195" w:type="pct"/>
            <w:vAlign w:val="center"/>
          </w:tcPr>
          <w:p w14:paraId="7792A9D3">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①抽检批次≥30次，得3分；</w:t>
            </w:r>
            <w:r>
              <w:rPr>
                <w:rFonts w:hint="eastAsia"/>
                <w:lang w:eastAsia="zh-CN"/>
              </w:rPr>
              <w:br w:type="textWrapping"/>
            </w:r>
            <w:r>
              <w:rPr>
                <w:rFonts w:hint="eastAsia"/>
                <w:lang w:eastAsia="zh-CN"/>
              </w:rPr>
              <w:t>②30次&gt;抽检批次≥25次，得2分；</w:t>
            </w:r>
            <w:r>
              <w:rPr>
                <w:rFonts w:hint="eastAsia"/>
                <w:lang w:eastAsia="zh-CN"/>
              </w:rPr>
              <w:br w:type="textWrapping"/>
            </w:r>
            <w:r>
              <w:rPr>
                <w:rFonts w:hint="eastAsia"/>
                <w:lang w:eastAsia="zh-CN"/>
              </w:rPr>
              <w:t>③25次&gt;抽检批次≥20次，得1分；</w:t>
            </w:r>
            <w:r>
              <w:rPr>
                <w:rFonts w:hint="eastAsia"/>
                <w:lang w:eastAsia="zh-CN"/>
              </w:rPr>
              <w:br w:type="textWrapping"/>
            </w:r>
            <w:r>
              <w:rPr>
                <w:rFonts w:hint="eastAsia"/>
                <w:lang w:eastAsia="zh-CN"/>
              </w:rPr>
              <w:t>④20次&gt;抽检批次，得0分。</w:t>
            </w:r>
          </w:p>
        </w:tc>
      </w:tr>
      <w:tr w14:paraId="20BF9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59164210">
            <w:pPr>
              <w:pStyle w:val="18"/>
              <w:bidi w:val="0"/>
              <w:rPr>
                <w:rFonts w:hint="eastAsia"/>
                <w:lang w:eastAsia="zh-CN"/>
              </w:rPr>
            </w:pPr>
          </w:p>
        </w:tc>
        <w:tc>
          <w:tcPr>
            <w:tcW w:w="380" w:type="pct"/>
            <w:vMerge w:val="continue"/>
            <w:vAlign w:val="center"/>
          </w:tcPr>
          <w:p w14:paraId="45F15141">
            <w:pPr>
              <w:pStyle w:val="18"/>
              <w:bidi w:val="0"/>
              <w:rPr>
                <w:rFonts w:hint="eastAsia"/>
                <w:lang w:eastAsia="zh-CN"/>
              </w:rPr>
            </w:pPr>
          </w:p>
        </w:tc>
        <w:tc>
          <w:tcPr>
            <w:tcW w:w="594" w:type="pct"/>
            <w:vAlign w:val="center"/>
          </w:tcPr>
          <w:p w14:paraId="55C7049A">
            <w:pPr>
              <w:pStyle w:val="18"/>
              <w:bidi w:val="0"/>
              <w:rPr>
                <w:rFonts w:hint="eastAsia"/>
                <w:lang w:eastAsia="zh-CN"/>
              </w:rPr>
            </w:pPr>
            <w:r>
              <w:rPr>
                <w:rFonts w:hint="eastAsia"/>
                <w:lang w:eastAsia="zh-CN"/>
              </w:rPr>
              <w:t>规范旅游市场检查力度（3分）</w:t>
            </w:r>
          </w:p>
        </w:tc>
        <w:tc>
          <w:tcPr>
            <w:tcW w:w="1458" w:type="pct"/>
            <w:vAlign w:val="center"/>
          </w:tcPr>
          <w:p w14:paraId="4F08678E">
            <w:pPr>
              <w:pStyle w:val="18"/>
              <w:bidi w:val="0"/>
              <w:rPr>
                <w:rFonts w:hint="eastAsia"/>
                <w:lang w:eastAsia="zh-CN"/>
              </w:rPr>
            </w:pPr>
            <w:r>
              <w:rPr>
                <w:rFonts w:hint="eastAsia"/>
                <w:lang w:eastAsia="zh-CN"/>
              </w:rPr>
              <w:t>主要评价部门（单位）在本年度对在规范旅游市场中对酒店、旅馆开展检查，引导签订合规承诺书的酒店数量。</w:t>
            </w:r>
          </w:p>
        </w:tc>
        <w:tc>
          <w:tcPr>
            <w:tcW w:w="2195" w:type="pct"/>
            <w:vAlign w:val="center"/>
          </w:tcPr>
          <w:p w14:paraId="107983BD">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①签订数量≥30家，得3分；</w:t>
            </w:r>
            <w:r>
              <w:rPr>
                <w:rFonts w:hint="eastAsia"/>
                <w:lang w:eastAsia="zh-CN"/>
              </w:rPr>
              <w:br w:type="textWrapping"/>
            </w:r>
            <w:r>
              <w:rPr>
                <w:rFonts w:hint="eastAsia"/>
                <w:lang w:eastAsia="zh-CN"/>
              </w:rPr>
              <w:t>②30家&gt;签订数量≥25家，得2分；</w:t>
            </w:r>
            <w:r>
              <w:rPr>
                <w:rFonts w:hint="eastAsia"/>
                <w:lang w:eastAsia="zh-CN"/>
              </w:rPr>
              <w:br w:type="textWrapping"/>
            </w:r>
            <w:r>
              <w:rPr>
                <w:rFonts w:hint="eastAsia"/>
                <w:lang w:eastAsia="zh-CN"/>
              </w:rPr>
              <w:t>③25家&gt;签订数量≥20家，得1分；</w:t>
            </w:r>
            <w:r>
              <w:rPr>
                <w:rFonts w:hint="eastAsia"/>
                <w:lang w:eastAsia="zh-CN"/>
              </w:rPr>
              <w:br w:type="textWrapping"/>
            </w:r>
            <w:r>
              <w:rPr>
                <w:rFonts w:hint="eastAsia"/>
                <w:lang w:eastAsia="zh-CN"/>
              </w:rPr>
              <w:t>④20家&gt;签订数量，得0分。</w:t>
            </w:r>
          </w:p>
        </w:tc>
      </w:tr>
      <w:tr w14:paraId="4CED4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705B4C23">
            <w:pPr>
              <w:pStyle w:val="18"/>
              <w:bidi w:val="0"/>
              <w:rPr>
                <w:rFonts w:hint="eastAsia"/>
                <w:lang w:eastAsia="zh-CN"/>
              </w:rPr>
            </w:pPr>
          </w:p>
        </w:tc>
        <w:tc>
          <w:tcPr>
            <w:tcW w:w="380" w:type="pct"/>
            <w:vMerge w:val="continue"/>
            <w:vAlign w:val="center"/>
          </w:tcPr>
          <w:p w14:paraId="7984CA34">
            <w:pPr>
              <w:pStyle w:val="18"/>
              <w:bidi w:val="0"/>
              <w:rPr>
                <w:rFonts w:hint="eastAsia"/>
                <w:lang w:eastAsia="zh-CN"/>
              </w:rPr>
            </w:pPr>
          </w:p>
        </w:tc>
        <w:tc>
          <w:tcPr>
            <w:tcW w:w="594" w:type="pct"/>
            <w:vAlign w:val="center"/>
          </w:tcPr>
          <w:p w14:paraId="764E37E1">
            <w:pPr>
              <w:pStyle w:val="18"/>
              <w:bidi w:val="0"/>
              <w:rPr>
                <w:rFonts w:hint="eastAsia"/>
                <w:lang w:eastAsia="zh-CN"/>
              </w:rPr>
            </w:pPr>
            <w:r>
              <w:rPr>
                <w:rFonts w:hint="eastAsia"/>
                <w:lang w:eastAsia="zh-CN"/>
              </w:rPr>
              <w:t>政策知晓率（3分）</w:t>
            </w:r>
          </w:p>
        </w:tc>
        <w:tc>
          <w:tcPr>
            <w:tcW w:w="1458" w:type="pct"/>
            <w:vAlign w:val="center"/>
          </w:tcPr>
          <w:p w14:paraId="31C2B0D8">
            <w:pPr>
              <w:pStyle w:val="18"/>
              <w:bidi w:val="0"/>
              <w:rPr>
                <w:rFonts w:hint="eastAsia"/>
                <w:lang w:eastAsia="zh-CN"/>
              </w:rPr>
            </w:pPr>
            <w:r>
              <w:rPr>
                <w:rFonts w:hint="eastAsia"/>
                <w:lang w:eastAsia="zh-CN"/>
              </w:rPr>
              <w:t>主要评价部门（单位）在本年度，群众、消费者、企业对市场监督管理局的监管政策知晓程度。</w:t>
            </w:r>
          </w:p>
        </w:tc>
        <w:tc>
          <w:tcPr>
            <w:tcW w:w="2195" w:type="pct"/>
            <w:vAlign w:val="center"/>
          </w:tcPr>
          <w:p w14:paraId="15071CEC">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①政策知晓度高，得3分；</w:t>
            </w:r>
            <w:r>
              <w:rPr>
                <w:rFonts w:hint="eastAsia"/>
                <w:lang w:eastAsia="zh-CN"/>
              </w:rPr>
              <w:br w:type="textWrapping"/>
            </w:r>
            <w:r>
              <w:rPr>
                <w:rFonts w:hint="eastAsia"/>
                <w:lang w:eastAsia="zh-CN"/>
              </w:rPr>
              <w:t>②政策知晓度较高，得2分；</w:t>
            </w:r>
            <w:r>
              <w:rPr>
                <w:rFonts w:hint="eastAsia"/>
                <w:lang w:eastAsia="zh-CN"/>
              </w:rPr>
              <w:br w:type="textWrapping"/>
            </w:r>
            <w:r>
              <w:rPr>
                <w:rFonts w:hint="eastAsia"/>
                <w:lang w:eastAsia="zh-CN"/>
              </w:rPr>
              <w:t>③政策知晓度一般，得1分；</w:t>
            </w:r>
            <w:r>
              <w:rPr>
                <w:rFonts w:hint="eastAsia"/>
                <w:lang w:eastAsia="zh-CN"/>
              </w:rPr>
              <w:br w:type="textWrapping"/>
            </w:r>
            <w:r>
              <w:rPr>
                <w:rFonts w:hint="eastAsia"/>
                <w:lang w:eastAsia="zh-CN"/>
              </w:rPr>
              <w:t>④政策知晓度较低，得0分。</w:t>
            </w:r>
          </w:p>
        </w:tc>
      </w:tr>
      <w:tr w14:paraId="06283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4557A685">
            <w:pPr>
              <w:pStyle w:val="18"/>
              <w:bidi w:val="0"/>
              <w:rPr>
                <w:rFonts w:hint="eastAsia"/>
                <w:lang w:eastAsia="zh-CN"/>
              </w:rPr>
            </w:pPr>
          </w:p>
        </w:tc>
        <w:tc>
          <w:tcPr>
            <w:tcW w:w="380" w:type="pct"/>
            <w:vMerge w:val="continue"/>
            <w:vAlign w:val="center"/>
          </w:tcPr>
          <w:p w14:paraId="4E9C1E52">
            <w:pPr>
              <w:pStyle w:val="18"/>
              <w:bidi w:val="0"/>
              <w:rPr>
                <w:rFonts w:hint="eastAsia"/>
                <w:lang w:eastAsia="zh-CN"/>
              </w:rPr>
            </w:pPr>
          </w:p>
        </w:tc>
        <w:tc>
          <w:tcPr>
            <w:tcW w:w="594" w:type="pct"/>
            <w:vAlign w:val="center"/>
          </w:tcPr>
          <w:p w14:paraId="5644201B">
            <w:pPr>
              <w:pStyle w:val="18"/>
              <w:bidi w:val="0"/>
              <w:rPr>
                <w:rFonts w:hint="eastAsia"/>
                <w:lang w:eastAsia="zh-CN"/>
              </w:rPr>
            </w:pPr>
            <w:r>
              <w:rPr>
                <w:rFonts w:hint="eastAsia"/>
                <w:lang w:eastAsia="zh-CN"/>
              </w:rPr>
              <w:t>查处电动车违法案件数量（3分）</w:t>
            </w:r>
          </w:p>
        </w:tc>
        <w:tc>
          <w:tcPr>
            <w:tcW w:w="1458" w:type="pct"/>
            <w:vAlign w:val="center"/>
          </w:tcPr>
          <w:p w14:paraId="0E90905E">
            <w:pPr>
              <w:pStyle w:val="18"/>
              <w:bidi w:val="0"/>
              <w:rPr>
                <w:rFonts w:hint="eastAsia"/>
                <w:lang w:eastAsia="zh-CN"/>
              </w:rPr>
            </w:pPr>
            <w:r>
              <w:rPr>
                <w:rFonts w:hint="eastAsia"/>
                <w:lang w:eastAsia="zh-CN"/>
              </w:rPr>
              <w:t>主要评价部门（单位）在本年度查处关于电动车违法案件的数量。</w:t>
            </w:r>
          </w:p>
        </w:tc>
        <w:tc>
          <w:tcPr>
            <w:tcW w:w="2195" w:type="pct"/>
            <w:vAlign w:val="center"/>
          </w:tcPr>
          <w:p w14:paraId="5AFF107B">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①案件数量≥18件，得3分；</w:t>
            </w:r>
            <w:r>
              <w:rPr>
                <w:rFonts w:hint="eastAsia"/>
                <w:lang w:eastAsia="zh-CN"/>
              </w:rPr>
              <w:br w:type="textWrapping"/>
            </w:r>
            <w:r>
              <w:rPr>
                <w:rFonts w:hint="eastAsia"/>
                <w:lang w:eastAsia="zh-CN"/>
              </w:rPr>
              <w:t>②18件&gt;案件数量≥15件，得2分；</w:t>
            </w:r>
            <w:r>
              <w:rPr>
                <w:rFonts w:hint="eastAsia"/>
                <w:lang w:eastAsia="zh-CN"/>
              </w:rPr>
              <w:br w:type="textWrapping"/>
            </w:r>
            <w:r>
              <w:rPr>
                <w:rFonts w:hint="eastAsia"/>
                <w:lang w:eastAsia="zh-CN"/>
              </w:rPr>
              <w:t>③15件&gt;案件数量≥13件，得1分；</w:t>
            </w:r>
            <w:r>
              <w:rPr>
                <w:rFonts w:hint="eastAsia"/>
                <w:lang w:eastAsia="zh-CN"/>
              </w:rPr>
              <w:br w:type="textWrapping"/>
            </w:r>
            <w:r>
              <w:rPr>
                <w:rFonts w:hint="eastAsia"/>
                <w:lang w:eastAsia="zh-CN"/>
              </w:rPr>
              <w:t>④13件&gt;案件数量，得0分。</w:t>
            </w:r>
          </w:p>
        </w:tc>
      </w:tr>
      <w:tr w14:paraId="2293A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4EDC54D6">
            <w:pPr>
              <w:pStyle w:val="18"/>
              <w:bidi w:val="0"/>
              <w:rPr>
                <w:rFonts w:hint="eastAsia"/>
                <w:lang w:eastAsia="zh-CN"/>
              </w:rPr>
            </w:pPr>
          </w:p>
        </w:tc>
        <w:tc>
          <w:tcPr>
            <w:tcW w:w="380" w:type="pct"/>
            <w:vMerge w:val="restart"/>
            <w:vAlign w:val="center"/>
          </w:tcPr>
          <w:p w14:paraId="75AF82FC">
            <w:pPr>
              <w:pStyle w:val="18"/>
              <w:bidi w:val="0"/>
              <w:rPr>
                <w:rFonts w:hint="eastAsia"/>
                <w:lang w:eastAsia="zh-CN"/>
              </w:rPr>
            </w:pPr>
            <w:r>
              <w:rPr>
                <w:rFonts w:hint="eastAsia"/>
                <w:lang w:eastAsia="zh-CN"/>
              </w:rPr>
              <w:t>经济效益（6分）</w:t>
            </w:r>
          </w:p>
        </w:tc>
        <w:tc>
          <w:tcPr>
            <w:tcW w:w="594" w:type="pct"/>
            <w:vAlign w:val="center"/>
          </w:tcPr>
          <w:p w14:paraId="6940F74E">
            <w:pPr>
              <w:pStyle w:val="18"/>
              <w:bidi w:val="0"/>
              <w:rPr>
                <w:rFonts w:hint="eastAsia"/>
                <w:lang w:eastAsia="zh-CN"/>
              </w:rPr>
            </w:pPr>
            <w:r>
              <w:rPr>
                <w:rFonts w:hint="eastAsia"/>
                <w:lang w:eastAsia="zh-CN"/>
              </w:rPr>
              <w:t>查处知识产权案件涉案金额（3分）</w:t>
            </w:r>
          </w:p>
        </w:tc>
        <w:tc>
          <w:tcPr>
            <w:tcW w:w="1458" w:type="pct"/>
            <w:vAlign w:val="center"/>
          </w:tcPr>
          <w:p w14:paraId="7C5C4B9E">
            <w:pPr>
              <w:pStyle w:val="18"/>
              <w:bidi w:val="0"/>
              <w:rPr>
                <w:rFonts w:hint="eastAsia"/>
                <w:lang w:eastAsia="zh-CN"/>
              </w:rPr>
            </w:pPr>
            <w:r>
              <w:rPr>
                <w:rFonts w:hint="eastAsia"/>
                <w:lang w:eastAsia="zh-CN"/>
              </w:rPr>
              <w:t>主要评价部门（单位）在本年度查处知识产权案件的涉案金额。</w:t>
            </w:r>
          </w:p>
        </w:tc>
        <w:tc>
          <w:tcPr>
            <w:tcW w:w="2195" w:type="pct"/>
            <w:vAlign w:val="center"/>
          </w:tcPr>
          <w:p w14:paraId="7BCDD5E5">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①涉案金额≥14万元，得3分；</w:t>
            </w:r>
            <w:r>
              <w:rPr>
                <w:rFonts w:hint="eastAsia"/>
                <w:lang w:eastAsia="zh-CN"/>
              </w:rPr>
              <w:br w:type="textWrapping"/>
            </w:r>
            <w:r>
              <w:rPr>
                <w:rFonts w:hint="eastAsia"/>
                <w:lang w:eastAsia="zh-CN"/>
              </w:rPr>
              <w:t>②14万元&gt;涉案金额≥13万元，得2分；</w:t>
            </w:r>
            <w:r>
              <w:rPr>
                <w:rFonts w:hint="eastAsia"/>
                <w:lang w:eastAsia="zh-CN"/>
              </w:rPr>
              <w:br w:type="textWrapping"/>
            </w:r>
            <w:r>
              <w:rPr>
                <w:rFonts w:hint="eastAsia"/>
                <w:lang w:eastAsia="zh-CN"/>
              </w:rPr>
              <w:t>③13万元&gt;涉案金额≥12万元，得1分；</w:t>
            </w:r>
            <w:r>
              <w:rPr>
                <w:rFonts w:hint="eastAsia"/>
                <w:lang w:eastAsia="zh-CN"/>
              </w:rPr>
              <w:br w:type="textWrapping"/>
            </w:r>
            <w:r>
              <w:rPr>
                <w:rFonts w:hint="eastAsia"/>
                <w:lang w:eastAsia="zh-CN"/>
              </w:rPr>
              <w:t>④12万元&gt;涉案金额，得0分。</w:t>
            </w:r>
          </w:p>
        </w:tc>
      </w:tr>
      <w:tr w14:paraId="63F9F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15BFAEFF">
            <w:pPr>
              <w:pStyle w:val="18"/>
              <w:bidi w:val="0"/>
              <w:rPr>
                <w:rFonts w:hint="eastAsia"/>
                <w:lang w:eastAsia="zh-CN"/>
              </w:rPr>
            </w:pPr>
          </w:p>
        </w:tc>
        <w:tc>
          <w:tcPr>
            <w:tcW w:w="380" w:type="pct"/>
            <w:vMerge w:val="continue"/>
            <w:vAlign w:val="center"/>
          </w:tcPr>
          <w:p w14:paraId="75A91D0A">
            <w:pPr>
              <w:pStyle w:val="18"/>
              <w:bidi w:val="0"/>
              <w:rPr>
                <w:rFonts w:hint="eastAsia"/>
                <w:lang w:eastAsia="zh-CN"/>
              </w:rPr>
            </w:pPr>
          </w:p>
        </w:tc>
        <w:tc>
          <w:tcPr>
            <w:tcW w:w="594" w:type="pct"/>
            <w:vAlign w:val="center"/>
          </w:tcPr>
          <w:p w14:paraId="73CBEF82">
            <w:pPr>
              <w:pStyle w:val="18"/>
              <w:bidi w:val="0"/>
              <w:rPr>
                <w:rFonts w:hint="eastAsia"/>
                <w:lang w:eastAsia="zh-CN"/>
              </w:rPr>
            </w:pPr>
            <w:r>
              <w:rPr>
                <w:rFonts w:hint="eastAsia"/>
                <w:lang w:eastAsia="zh-CN"/>
              </w:rPr>
              <w:t>下达知识产权补贴金额（3分）</w:t>
            </w:r>
          </w:p>
        </w:tc>
        <w:tc>
          <w:tcPr>
            <w:tcW w:w="1458" w:type="pct"/>
            <w:vAlign w:val="center"/>
          </w:tcPr>
          <w:p w14:paraId="71B03733">
            <w:pPr>
              <w:pStyle w:val="18"/>
              <w:bidi w:val="0"/>
              <w:rPr>
                <w:rFonts w:hint="eastAsia"/>
                <w:lang w:eastAsia="zh-CN"/>
              </w:rPr>
            </w:pPr>
            <w:r>
              <w:rPr>
                <w:rFonts w:hint="eastAsia"/>
                <w:lang w:eastAsia="zh-CN"/>
              </w:rPr>
              <w:t>主要评价部门（单位）在本年度对申报知识产权的企业进行补贴的金额。</w:t>
            </w:r>
          </w:p>
        </w:tc>
        <w:tc>
          <w:tcPr>
            <w:tcW w:w="2195" w:type="pct"/>
            <w:vAlign w:val="center"/>
          </w:tcPr>
          <w:p w14:paraId="10428BCD">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①知识产权金≥40万元，得3分；</w:t>
            </w:r>
            <w:r>
              <w:rPr>
                <w:rFonts w:hint="eastAsia"/>
                <w:lang w:eastAsia="zh-CN"/>
              </w:rPr>
              <w:br w:type="textWrapping"/>
            </w:r>
            <w:r>
              <w:rPr>
                <w:rFonts w:hint="eastAsia"/>
                <w:lang w:eastAsia="zh-CN"/>
              </w:rPr>
              <w:t>②40万元&gt;知识产权金≥35万元，得2分；</w:t>
            </w:r>
            <w:r>
              <w:rPr>
                <w:rFonts w:hint="eastAsia"/>
                <w:lang w:eastAsia="zh-CN"/>
              </w:rPr>
              <w:br w:type="textWrapping"/>
            </w:r>
            <w:r>
              <w:rPr>
                <w:rFonts w:hint="eastAsia"/>
                <w:lang w:eastAsia="zh-CN"/>
              </w:rPr>
              <w:t>③35万元&gt;知识产权金≥30万元，得1分；</w:t>
            </w:r>
            <w:r>
              <w:rPr>
                <w:rFonts w:hint="eastAsia"/>
                <w:lang w:eastAsia="zh-CN"/>
              </w:rPr>
              <w:br w:type="textWrapping"/>
            </w:r>
            <w:r>
              <w:rPr>
                <w:rFonts w:hint="eastAsia"/>
                <w:lang w:eastAsia="zh-CN"/>
              </w:rPr>
              <w:t>④30万元&gt;知识产权金，得0分。</w:t>
            </w:r>
          </w:p>
        </w:tc>
      </w:tr>
      <w:tr w14:paraId="0BFD0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73" w:type="pct"/>
            <w:vMerge w:val="continue"/>
            <w:vAlign w:val="center"/>
          </w:tcPr>
          <w:p w14:paraId="086EDEA8">
            <w:pPr>
              <w:pStyle w:val="18"/>
              <w:bidi w:val="0"/>
              <w:rPr>
                <w:rFonts w:hint="eastAsia"/>
                <w:lang w:eastAsia="zh-CN"/>
              </w:rPr>
            </w:pPr>
          </w:p>
        </w:tc>
        <w:tc>
          <w:tcPr>
            <w:tcW w:w="380" w:type="pct"/>
            <w:vAlign w:val="center"/>
          </w:tcPr>
          <w:p w14:paraId="20608636">
            <w:pPr>
              <w:pStyle w:val="18"/>
              <w:bidi w:val="0"/>
              <w:rPr>
                <w:rFonts w:hint="eastAsia"/>
                <w:lang w:eastAsia="zh-CN"/>
              </w:rPr>
            </w:pPr>
            <w:r>
              <w:rPr>
                <w:rFonts w:hint="eastAsia"/>
                <w:lang w:eastAsia="zh-CN"/>
              </w:rPr>
              <w:t>满意度（4分）</w:t>
            </w:r>
          </w:p>
        </w:tc>
        <w:tc>
          <w:tcPr>
            <w:tcW w:w="594" w:type="pct"/>
            <w:vAlign w:val="center"/>
          </w:tcPr>
          <w:p w14:paraId="32097B6B">
            <w:pPr>
              <w:pStyle w:val="18"/>
              <w:bidi w:val="0"/>
              <w:rPr>
                <w:rFonts w:hint="eastAsia"/>
                <w:lang w:eastAsia="zh-CN"/>
              </w:rPr>
            </w:pPr>
            <w:r>
              <w:rPr>
                <w:rFonts w:hint="eastAsia"/>
                <w:lang w:eastAsia="zh-CN"/>
              </w:rPr>
              <w:t>群众的满意度情况（4分）</w:t>
            </w:r>
          </w:p>
        </w:tc>
        <w:tc>
          <w:tcPr>
            <w:tcW w:w="1458" w:type="pct"/>
            <w:vAlign w:val="center"/>
          </w:tcPr>
          <w:p w14:paraId="30D07B62">
            <w:pPr>
              <w:pStyle w:val="18"/>
              <w:bidi w:val="0"/>
              <w:rPr>
                <w:rFonts w:hint="eastAsia"/>
                <w:lang w:eastAsia="zh-CN"/>
              </w:rPr>
            </w:pPr>
            <w:r>
              <w:rPr>
                <w:lang w:eastAsia="zh-CN"/>
              </w:rPr>
              <w:t>主要评价群众</w:t>
            </w:r>
            <w:r>
              <w:rPr>
                <w:rFonts w:hint="eastAsia"/>
                <w:lang w:eastAsia="zh-CN"/>
              </w:rPr>
              <w:t>对泉州市洛江区市场监督管理局</w:t>
            </w:r>
            <w:r>
              <w:rPr>
                <w:lang w:eastAsia="zh-CN"/>
              </w:rPr>
              <w:t>的工作是否感到满意。</w:t>
            </w:r>
          </w:p>
        </w:tc>
        <w:tc>
          <w:tcPr>
            <w:tcW w:w="2195" w:type="pct"/>
            <w:vAlign w:val="center"/>
          </w:tcPr>
          <w:p w14:paraId="491A2B54">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①非常满意；</w:t>
            </w:r>
            <w:r>
              <w:rPr>
                <w:rFonts w:hint="eastAsia"/>
                <w:lang w:eastAsia="zh-CN"/>
              </w:rPr>
              <w:br w:type="textWrapping"/>
            </w:r>
            <w:r>
              <w:rPr>
                <w:rFonts w:hint="eastAsia"/>
                <w:lang w:eastAsia="zh-CN"/>
              </w:rPr>
              <w:t>②基本满意；</w:t>
            </w:r>
            <w:r>
              <w:rPr>
                <w:rFonts w:hint="eastAsia"/>
                <w:lang w:eastAsia="zh-CN"/>
              </w:rPr>
              <w:br w:type="textWrapping"/>
            </w:r>
            <w:r>
              <w:rPr>
                <w:rFonts w:hint="eastAsia"/>
                <w:lang w:eastAsia="zh-CN"/>
              </w:rPr>
              <w:t>③一般满意；</w:t>
            </w:r>
            <w:r>
              <w:rPr>
                <w:rFonts w:hint="eastAsia"/>
                <w:lang w:eastAsia="zh-CN"/>
              </w:rPr>
              <w:br w:type="textWrapping"/>
            </w:r>
            <w:r>
              <w:rPr>
                <w:rFonts w:hint="eastAsia"/>
                <w:lang w:eastAsia="zh-CN"/>
              </w:rPr>
              <w:t>④不满意。</w:t>
            </w:r>
            <w:r>
              <w:rPr>
                <w:rFonts w:hint="eastAsia"/>
                <w:lang w:eastAsia="zh-CN"/>
              </w:rPr>
              <w:br w:type="textWrapping"/>
            </w:r>
            <w:r>
              <w:rPr>
                <w:rFonts w:hint="eastAsia"/>
                <w:lang w:eastAsia="zh-CN"/>
              </w:rPr>
              <w:t>非常满意4分，基本满意3分，一般满意2分，不满意1分。</w:t>
            </w:r>
          </w:p>
        </w:tc>
      </w:tr>
    </w:tbl>
    <w:p w14:paraId="0642E7BC">
      <w:pPr>
        <w:pStyle w:val="3"/>
        <w:bidi w:val="0"/>
        <w:rPr>
          <w:rFonts w:hint="eastAsia"/>
          <w:lang w:eastAsia="zh-CN"/>
        </w:rPr>
      </w:pPr>
      <w:bookmarkStart w:id="215" w:name="bookmark34"/>
      <w:bookmarkEnd w:id="215"/>
      <w:bookmarkStart w:id="216" w:name="_Toc25290"/>
      <w:bookmarkStart w:id="217" w:name="_Toc13240"/>
      <w:bookmarkStart w:id="218" w:name="_Toc11331"/>
      <w:bookmarkStart w:id="219" w:name="_Toc217363514"/>
      <w:bookmarkStart w:id="220" w:name="_Toc181558020"/>
      <w:r>
        <w:rPr>
          <w:rFonts w:hint="eastAsia"/>
          <w:lang w:eastAsia="zh-CN"/>
        </w:rPr>
        <w:t>六、绩效指标分析</w:t>
      </w:r>
      <w:bookmarkEnd w:id="216"/>
      <w:bookmarkEnd w:id="217"/>
      <w:bookmarkEnd w:id="218"/>
      <w:bookmarkEnd w:id="219"/>
      <w:bookmarkEnd w:id="220"/>
    </w:p>
    <w:p w14:paraId="4FC0CA53">
      <w:pPr>
        <w:bidi w:val="0"/>
        <w:rPr>
          <w:rFonts w:hint="eastAsia"/>
          <w:lang w:eastAsia="zh-CN"/>
        </w:rPr>
      </w:pPr>
      <w:r>
        <w:rPr>
          <w:rFonts w:hint="eastAsia"/>
          <w:lang w:eastAsia="zh-CN"/>
        </w:rPr>
        <w:t>泉州市洛江区市场监督管理局</w:t>
      </w:r>
      <w:r>
        <w:rPr>
          <w:lang w:eastAsia="zh-CN"/>
        </w:rPr>
        <w:t>的绩效指标体系涵盖了</w:t>
      </w:r>
      <w:r>
        <w:rPr>
          <w:rFonts w:hint="eastAsia"/>
          <w:lang w:eastAsia="zh-CN"/>
        </w:rPr>
        <w:t>决策</w:t>
      </w:r>
      <w:r>
        <w:rPr>
          <w:lang w:eastAsia="zh-CN"/>
        </w:rPr>
        <w:t>、过程、产出、效益和满意度等多个维度，旨在全面、系统地评估该局的工作绩效。以下是对各项指标分数、得分情况和完成情况的详细分析，并在此基础上提出存在的问题与改进建议。</w:t>
      </w:r>
    </w:p>
    <w:p w14:paraId="321EA061">
      <w:pPr>
        <w:pStyle w:val="4"/>
        <w:bidi w:val="0"/>
        <w:rPr>
          <w:rFonts w:hint="eastAsia"/>
          <w:lang w:eastAsia="zh-CN"/>
        </w:rPr>
      </w:pPr>
      <w:bookmarkStart w:id="221" w:name="_Toc30920"/>
      <w:bookmarkStart w:id="222" w:name="_Toc181558021"/>
      <w:bookmarkStart w:id="223" w:name="_Toc217363515"/>
      <w:bookmarkStart w:id="224" w:name="_Toc19150"/>
      <w:r>
        <w:rPr>
          <w:lang w:eastAsia="zh-CN"/>
        </w:rPr>
        <w:t>（一）</w:t>
      </w:r>
      <w:r>
        <w:rPr>
          <w:rFonts w:hint="eastAsia"/>
          <w:lang w:eastAsia="zh-CN"/>
        </w:rPr>
        <w:t>决策</w:t>
      </w:r>
      <w:r>
        <w:rPr>
          <w:lang w:eastAsia="zh-CN"/>
        </w:rPr>
        <w:t>（总分1</w:t>
      </w:r>
      <w:r>
        <w:rPr>
          <w:rFonts w:hint="eastAsia"/>
          <w:lang w:eastAsia="zh-CN"/>
        </w:rPr>
        <w:t>5</w:t>
      </w:r>
      <w:r>
        <w:rPr>
          <w:lang w:eastAsia="zh-CN"/>
        </w:rPr>
        <w:t>分，得分</w:t>
      </w:r>
      <w:r>
        <w:rPr>
          <w:rFonts w:hint="eastAsia"/>
          <w:lang w:eastAsia="zh-CN"/>
        </w:rPr>
        <w:t>13</w:t>
      </w:r>
      <w:r>
        <w:rPr>
          <w:lang w:eastAsia="zh-CN"/>
        </w:rPr>
        <w:t>分）</w:t>
      </w:r>
      <w:bookmarkEnd w:id="221"/>
      <w:bookmarkEnd w:id="222"/>
      <w:bookmarkEnd w:id="223"/>
      <w:bookmarkEnd w:id="224"/>
    </w:p>
    <w:p w14:paraId="5BFB74FD">
      <w:pPr>
        <w:pStyle w:val="5"/>
        <w:bidi w:val="0"/>
        <w:rPr>
          <w:rFonts w:hint="eastAsia"/>
          <w:lang w:eastAsia="zh-CN"/>
        </w:rPr>
      </w:pPr>
      <w:bookmarkStart w:id="225" w:name="_Toc217363516"/>
      <w:bookmarkStart w:id="226" w:name="_Toc181558022"/>
      <w:bookmarkStart w:id="227" w:name="_Toc13483"/>
      <w:r>
        <w:rPr>
          <w:rFonts w:hint="eastAsia"/>
          <w:lang w:eastAsia="zh-CN"/>
        </w:rPr>
        <w:t>1.</w:t>
      </w:r>
      <w:r>
        <w:rPr>
          <w:lang w:eastAsia="zh-CN"/>
        </w:rPr>
        <w:t>目标设定（总分</w:t>
      </w:r>
      <w:r>
        <w:rPr>
          <w:rFonts w:hint="eastAsia"/>
          <w:lang w:eastAsia="zh-CN"/>
        </w:rPr>
        <w:t>6</w:t>
      </w:r>
      <w:r>
        <w:rPr>
          <w:lang w:eastAsia="zh-CN"/>
        </w:rPr>
        <w:t>分，得分</w:t>
      </w:r>
      <w:r>
        <w:rPr>
          <w:rFonts w:hint="eastAsia"/>
          <w:lang w:eastAsia="zh-CN"/>
        </w:rPr>
        <w:t>4</w:t>
      </w:r>
      <w:r>
        <w:rPr>
          <w:lang w:eastAsia="zh-CN"/>
        </w:rPr>
        <w:t>分）</w:t>
      </w:r>
      <w:bookmarkEnd w:id="225"/>
      <w:bookmarkEnd w:id="226"/>
      <w:bookmarkEnd w:id="227"/>
    </w:p>
    <w:p w14:paraId="58C40040">
      <w:pPr>
        <w:bidi w:val="0"/>
        <w:rPr>
          <w:rFonts w:hint="eastAsia"/>
          <w:lang w:eastAsia="zh-CN"/>
        </w:rPr>
      </w:pPr>
      <w:r>
        <w:rPr>
          <w:lang w:eastAsia="zh-CN"/>
        </w:rPr>
        <w:t>（1）</w:t>
      </w:r>
      <w:r>
        <w:rPr>
          <w:rFonts w:hint="eastAsia"/>
          <w:lang w:eastAsia="zh-CN"/>
        </w:rPr>
        <w:t>绩效目标合理性（</w:t>
      </w:r>
      <w:r>
        <w:rPr>
          <w:lang w:eastAsia="zh-CN"/>
        </w:rPr>
        <w:t>3</w:t>
      </w:r>
      <w:r>
        <w:rPr>
          <w:rFonts w:hint="eastAsia"/>
          <w:lang w:eastAsia="zh-CN"/>
        </w:rPr>
        <w:t>分）</w:t>
      </w:r>
      <w:r>
        <w:rPr>
          <w:lang w:eastAsia="zh-CN"/>
        </w:rPr>
        <w:t>：得分</w:t>
      </w:r>
      <w:r>
        <w:rPr>
          <w:rFonts w:hint="eastAsia"/>
          <w:lang w:eastAsia="zh-CN"/>
        </w:rPr>
        <w:t>2</w:t>
      </w:r>
      <w:r>
        <w:rPr>
          <w:lang w:eastAsia="zh-CN"/>
        </w:rPr>
        <w:t>分</w:t>
      </w:r>
    </w:p>
    <w:p w14:paraId="724A7821">
      <w:pPr>
        <w:bidi w:val="0"/>
        <w:rPr>
          <w:rFonts w:hint="eastAsia"/>
          <w:lang w:eastAsia="zh-CN"/>
        </w:rPr>
      </w:pPr>
      <w:r>
        <w:rPr>
          <w:rFonts w:hint="eastAsia"/>
          <w:lang w:eastAsia="zh-CN"/>
        </w:rPr>
        <w:t>泉州市洛江区市场监督管理局</w:t>
      </w:r>
      <w:r>
        <w:rPr>
          <w:lang w:eastAsia="zh-CN"/>
        </w:rPr>
        <w:t>根据工作职能制定了年度</w:t>
      </w:r>
      <w:r>
        <w:rPr>
          <w:rFonts w:hint="eastAsia"/>
          <w:lang w:eastAsia="zh-CN"/>
        </w:rPr>
        <w:t>绩效</w:t>
      </w:r>
      <w:r>
        <w:rPr>
          <w:lang w:eastAsia="zh-CN"/>
        </w:rPr>
        <w:t>目标，</w:t>
      </w:r>
      <w:r>
        <w:rPr>
          <w:rFonts w:hint="eastAsia"/>
          <w:lang w:eastAsia="zh-CN"/>
        </w:rPr>
        <w:t>在绩效目标的设置整体上符合法律法规，符合部门“三定”方案确定的职责，绩效指标的设置符合实际工作情况</w:t>
      </w:r>
      <w:r>
        <w:rPr>
          <w:lang w:eastAsia="zh-CN"/>
        </w:rPr>
        <w:t>。</w:t>
      </w:r>
      <w:r>
        <w:rPr>
          <w:rFonts w:hint="eastAsia"/>
          <w:lang w:eastAsia="zh-CN"/>
        </w:rPr>
        <w:t>但有部分指标设置存在不合理之处，例如在“四星监管所创建经费”项目的绩效自评表中，存在部分指标为“空”以及指标目标值为“空”，但是自评得分确有分数，该指标及目标值设置、指标评分存在不合理。</w:t>
      </w:r>
      <w:r>
        <w:rPr>
          <w:lang w:eastAsia="zh-CN"/>
        </w:rPr>
        <w:t>根据评分标准，本项得</w:t>
      </w:r>
      <w:r>
        <w:rPr>
          <w:rFonts w:hint="eastAsia"/>
          <w:lang w:eastAsia="zh-CN"/>
        </w:rPr>
        <w:t>2</w:t>
      </w:r>
      <w:r>
        <w:rPr>
          <w:lang w:eastAsia="zh-CN"/>
        </w:rPr>
        <w:t>分</w:t>
      </w:r>
      <w:r>
        <w:rPr>
          <w:rFonts w:hint="eastAsia"/>
          <w:lang w:eastAsia="zh-CN"/>
        </w:rPr>
        <w:t>，扣1分</w:t>
      </w:r>
      <w:r>
        <w:rPr>
          <w:lang w:eastAsia="zh-CN"/>
        </w:rPr>
        <w:t>。</w:t>
      </w:r>
    </w:p>
    <w:p w14:paraId="2DEF84DF">
      <w:pPr>
        <w:widowControl w:val="0"/>
        <w:overflowPunct w:val="0"/>
        <w:snapToGrid/>
        <w:spacing w:line="408" w:lineRule="auto"/>
        <w:ind w:firstLine="560" w:firstLineChars="200"/>
        <w:jc w:val="both"/>
        <w:rPr>
          <w:rFonts w:hint="eastAsia" w:ascii="仿宋" w:hAnsi="仿宋" w:eastAsia="仿宋" w:cs="仿宋"/>
          <w:color w:val="auto"/>
          <w:spacing w:val="3"/>
          <w:sz w:val="28"/>
          <w:szCs w:val="28"/>
          <w:highlight w:val="yellow"/>
          <w:lang w:eastAsia="zh-CN"/>
        </w:rPr>
      </w:pPr>
      <w:r>
        <w:rPr>
          <w:snapToGrid/>
          <w:highlight w:val="yellow"/>
        </w:rPr>
        <w:drawing>
          <wp:inline distT="0" distB="0" distL="0" distR="0">
            <wp:extent cx="5936615" cy="1624965"/>
            <wp:effectExtent l="0" t="0" r="6985" b="13335"/>
            <wp:docPr id="5711607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160770" name="图片 1"/>
                    <pic:cNvPicPr>
                      <a:picLocks noChangeAspect="1"/>
                    </pic:cNvPicPr>
                  </pic:nvPicPr>
                  <pic:blipFill>
                    <a:blip r:embed="rId12"/>
                    <a:stretch>
                      <a:fillRect/>
                    </a:stretch>
                  </pic:blipFill>
                  <pic:spPr>
                    <a:xfrm>
                      <a:off x="0" y="0"/>
                      <a:ext cx="5941898" cy="1626564"/>
                    </a:xfrm>
                    <a:prstGeom prst="rect">
                      <a:avLst/>
                    </a:prstGeom>
                  </pic:spPr>
                </pic:pic>
              </a:graphicData>
            </a:graphic>
          </wp:inline>
        </w:drawing>
      </w:r>
    </w:p>
    <w:p w14:paraId="58C934A7">
      <w:pPr>
        <w:bidi w:val="0"/>
        <w:rPr>
          <w:rFonts w:hint="eastAsia"/>
          <w:lang w:eastAsia="zh-CN"/>
        </w:rPr>
      </w:pPr>
      <w:r>
        <w:rPr>
          <w:lang w:eastAsia="zh-CN"/>
        </w:rPr>
        <w:t>（2）</w:t>
      </w:r>
      <w:r>
        <w:rPr>
          <w:rFonts w:hint="eastAsia"/>
          <w:lang w:eastAsia="zh-CN"/>
        </w:rPr>
        <w:t>绩效目标明确性（</w:t>
      </w:r>
      <w:r>
        <w:rPr>
          <w:lang w:eastAsia="zh-CN"/>
        </w:rPr>
        <w:t>3</w:t>
      </w:r>
      <w:r>
        <w:rPr>
          <w:rFonts w:hint="eastAsia"/>
          <w:lang w:eastAsia="zh-CN"/>
        </w:rPr>
        <w:t>分）</w:t>
      </w:r>
      <w:r>
        <w:rPr>
          <w:lang w:eastAsia="zh-CN"/>
        </w:rPr>
        <w:t>：得分</w:t>
      </w:r>
      <w:r>
        <w:rPr>
          <w:rFonts w:hint="eastAsia"/>
          <w:lang w:eastAsia="zh-CN"/>
        </w:rPr>
        <w:t>2</w:t>
      </w:r>
      <w:r>
        <w:rPr>
          <w:lang w:eastAsia="zh-CN"/>
        </w:rPr>
        <w:t>分</w:t>
      </w:r>
    </w:p>
    <w:p w14:paraId="39F5DC1C">
      <w:pPr>
        <w:bidi w:val="0"/>
        <w:rPr>
          <w:rFonts w:hint="eastAsia"/>
          <w:lang w:eastAsia="zh-CN"/>
        </w:rPr>
      </w:pPr>
      <w:r>
        <w:rPr>
          <w:rFonts w:hint="eastAsia"/>
          <w:lang w:eastAsia="zh-CN"/>
        </w:rPr>
        <w:t>根据泉州市洛江区市场监督管理局提供的绩效目标表</w:t>
      </w:r>
      <w:bookmarkStart w:id="228" w:name="_Hlk181531046"/>
      <w:r>
        <w:rPr>
          <w:rFonts w:hint="eastAsia"/>
          <w:lang w:eastAsia="zh-CN"/>
        </w:rPr>
        <w:t>。泉州市洛江区市场监督管理局所设置的绩效指标、绩效目标值整体上能够做到清晰、细化、可衡量，但是有个别绩效指标的目标值设置不够明确具体。例如在“下达省级自然灾害救灾资金”绩效自评表中“防灾减灾降低生态经济损失”指标的目标值为“因气象灾害引起的生态经济损失小于等于历史极值”，该目标设置不明确，年度目标设置过于笼统</w:t>
      </w:r>
      <w:r>
        <w:rPr>
          <w:lang w:eastAsia="zh-CN"/>
        </w:rPr>
        <w:t>。</w:t>
      </w:r>
      <w:bookmarkEnd w:id="228"/>
      <w:r>
        <w:rPr>
          <w:lang w:eastAsia="zh-CN"/>
        </w:rPr>
        <w:t>根据评分标准，本项得</w:t>
      </w:r>
      <w:r>
        <w:rPr>
          <w:rFonts w:hint="eastAsia"/>
          <w:lang w:eastAsia="zh-CN"/>
        </w:rPr>
        <w:t>2</w:t>
      </w:r>
      <w:r>
        <w:rPr>
          <w:lang w:eastAsia="zh-CN"/>
        </w:rPr>
        <w:t>分</w:t>
      </w:r>
      <w:r>
        <w:rPr>
          <w:rFonts w:hint="eastAsia"/>
          <w:lang w:eastAsia="zh-CN"/>
        </w:rPr>
        <w:t>，扣1分</w:t>
      </w:r>
      <w:r>
        <w:rPr>
          <w:lang w:eastAsia="zh-CN"/>
        </w:rPr>
        <w:t>。</w:t>
      </w:r>
    </w:p>
    <w:p w14:paraId="2809F82A">
      <w:pPr>
        <w:pStyle w:val="5"/>
        <w:bidi w:val="0"/>
        <w:rPr>
          <w:rFonts w:hint="eastAsia"/>
          <w:lang w:eastAsia="zh-CN"/>
        </w:rPr>
      </w:pPr>
      <w:bookmarkStart w:id="229" w:name="_Toc181558023"/>
      <w:bookmarkStart w:id="230" w:name="_Toc9180"/>
      <w:bookmarkStart w:id="231" w:name="_Toc217363517"/>
      <w:r>
        <w:rPr>
          <w:rFonts w:hint="eastAsia"/>
          <w:lang w:eastAsia="zh-CN"/>
        </w:rPr>
        <w:t>2.</w:t>
      </w:r>
      <w:r>
        <w:rPr>
          <w:lang w:eastAsia="zh-CN"/>
        </w:rPr>
        <w:t>预算配置（总分</w:t>
      </w:r>
      <w:r>
        <w:rPr>
          <w:rFonts w:hint="eastAsia"/>
          <w:lang w:eastAsia="zh-CN"/>
        </w:rPr>
        <w:t>9</w:t>
      </w:r>
      <w:r>
        <w:rPr>
          <w:lang w:eastAsia="zh-CN"/>
        </w:rPr>
        <w:t>分</w:t>
      </w:r>
      <w:r>
        <w:rPr>
          <w:rFonts w:hint="eastAsia"/>
          <w:lang w:eastAsia="zh-CN"/>
        </w:rPr>
        <w:t>，得分9分</w:t>
      </w:r>
      <w:r>
        <w:rPr>
          <w:lang w:eastAsia="zh-CN"/>
        </w:rPr>
        <w:t>）</w:t>
      </w:r>
      <w:bookmarkEnd w:id="229"/>
      <w:bookmarkEnd w:id="230"/>
      <w:bookmarkEnd w:id="231"/>
    </w:p>
    <w:p w14:paraId="21821C81">
      <w:pPr>
        <w:bidi w:val="0"/>
        <w:rPr>
          <w:rFonts w:hint="eastAsia"/>
          <w:lang w:eastAsia="zh-CN"/>
        </w:rPr>
      </w:pPr>
      <w:r>
        <w:rPr>
          <w:lang w:eastAsia="zh-CN"/>
        </w:rPr>
        <w:t>（1）</w:t>
      </w:r>
      <w:r>
        <w:rPr>
          <w:rFonts w:hint="eastAsia"/>
          <w:lang w:eastAsia="zh-CN"/>
        </w:rPr>
        <w:t>在职人员控制率（</w:t>
      </w:r>
      <w:r>
        <w:rPr>
          <w:lang w:eastAsia="zh-CN"/>
        </w:rPr>
        <w:t>3</w:t>
      </w:r>
      <w:r>
        <w:rPr>
          <w:rFonts w:hint="eastAsia"/>
          <w:lang w:eastAsia="zh-CN"/>
        </w:rPr>
        <w:t>分）</w:t>
      </w:r>
      <w:r>
        <w:rPr>
          <w:lang w:eastAsia="zh-CN"/>
        </w:rPr>
        <w:t>：得分</w:t>
      </w:r>
      <w:r>
        <w:rPr>
          <w:rFonts w:hint="eastAsia"/>
          <w:lang w:eastAsia="zh-CN"/>
        </w:rPr>
        <w:t>3</w:t>
      </w:r>
      <w:r>
        <w:rPr>
          <w:lang w:eastAsia="zh-CN"/>
        </w:rPr>
        <w:t>分</w:t>
      </w:r>
    </w:p>
    <w:p w14:paraId="178C5203">
      <w:pPr>
        <w:bidi w:val="0"/>
        <w:rPr>
          <w:rFonts w:hint="eastAsia"/>
          <w:lang w:eastAsia="zh-CN"/>
        </w:rPr>
      </w:pPr>
      <w:r>
        <w:rPr>
          <w:rFonts w:hint="eastAsia"/>
          <w:lang w:eastAsia="zh-CN"/>
        </w:rPr>
        <w:t>泉州市洛江区市场监督管理局</w:t>
      </w:r>
      <w:r>
        <w:rPr>
          <w:lang w:eastAsia="zh-CN"/>
        </w:rPr>
        <w:t>202</w:t>
      </w:r>
      <w:r>
        <w:rPr>
          <w:rFonts w:hint="eastAsia"/>
          <w:lang w:eastAsia="zh-CN"/>
        </w:rPr>
        <w:t>4</w:t>
      </w:r>
      <w:r>
        <w:rPr>
          <w:lang w:eastAsia="zh-CN"/>
        </w:rPr>
        <w:t>年的编制数为62人</w:t>
      </w:r>
      <w:r>
        <w:rPr>
          <w:rFonts w:hint="eastAsia"/>
          <w:lang w:eastAsia="zh-CN"/>
        </w:rPr>
        <w:t>，截至2024年12月31日在编</w:t>
      </w:r>
      <w:r>
        <w:rPr>
          <w:lang w:eastAsia="zh-CN"/>
        </w:rPr>
        <w:t>人员数为</w:t>
      </w:r>
      <w:r>
        <w:rPr>
          <w:rFonts w:hint="eastAsia"/>
          <w:lang w:val="en-US" w:eastAsia="zh-CN"/>
        </w:rPr>
        <w:t>53</w:t>
      </w:r>
      <w:r>
        <w:rPr>
          <w:lang w:eastAsia="zh-CN"/>
        </w:rPr>
        <w:t>人，</w:t>
      </w:r>
      <w:r>
        <w:rPr>
          <w:rFonts w:hint="eastAsia"/>
          <w:lang w:eastAsia="zh-CN"/>
        </w:rPr>
        <w:t>在职人员控制率</w:t>
      </w:r>
      <w:r>
        <w:rPr>
          <w:lang w:eastAsia="zh-CN"/>
        </w:rPr>
        <w:t>=</w:t>
      </w:r>
      <w:r>
        <w:rPr>
          <w:rFonts w:hint="eastAsia"/>
          <w:lang w:val="en-US" w:eastAsia="zh-CN"/>
        </w:rPr>
        <w:t>53</w:t>
      </w:r>
      <w:r>
        <w:rPr>
          <w:lang w:eastAsia="zh-CN"/>
        </w:rPr>
        <w:t>/</w:t>
      </w:r>
      <w:r>
        <w:rPr>
          <w:rFonts w:hint="eastAsia"/>
          <w:lang w:eastAsia="zh-CN"/>
        </w:rPr>
        <w:t>6</w:t>
      </w:r>
      <w:r>
        <w:rPr>
          <w:lang w:eastAsia="zh-CN"/>
        </w:rPr>
        <w:t>2*100%</w:t>
      </w:r>
      <w:r>
        <w:rPr>
          <w:rFonts w:hint="eastAsia"/>
          <w:lang w:eastAsia="zh-CN"/>
        </w:rPr>
        <w:t>=</w:t>
      </w:r>
      <w:r>
        <w:rPr>
          <w:rFonts w:hint="eastAsia"/>
          <w:lang w:val="en-US" w:eastAsia="zh-CN"/>
        </w:rPr>
        <w:t>85.48</w:t>
      </w:r>
      <w:r>
        <w:rPr>
          <w:lang w:eastAsia="zh-CN"/>
        </w:rPr>
        <w:t>%。根据评分标准，该指标得</w:t>
      </w:r>
      <w:r>
        <w:rPr>
          <w:rFonts w:hint="eastAsia"/>
          <w:lang w:eastAsia="zh-CN"/>
        </w:rPr>
        <w:t>3</w:t>
      </w:r>
      <w:r>
        <w:rPr>
          <w:lang w:eastAsia="zh-CN"/>
        </w:rPr>
        <w:t>分。</w:t>
      </w:r>
    </w:p>
    <w:p w14:paraId="7D330C10">
      <w:pPr>
        <w:bidi w:val="0"/>
        <w:rPr>
          <w:rFonts w:hint="eastAsia"/>
          <w:lang w:eastAsia="zh-CN"/>
        </w:rPr>
      </w:pPr>
      <w:r>
        <w:rPr>
          <w:lang w:eastAsia="zh-CN"/>
        </w:rPr>
        <w:t>（2）</w:t>
      </w:r>
      <w:r>
        <w:rPr>
          <w:rFonts w:hint="eastAsia"/>
          <w:lang w:eastAsia="zh-CN"/>
        </w:rPr>
        <w:t>“三公”经费</w:t>
      </w:r>
      <w:r>
        <w:rPr>
          <w:lang w:eastAsia="zh-CN"/>
        </w:rPr>
        <w:t>变动率（</w:t>
      </w:r>
      <w:r>
        <w:rPr>
          <w:rFonts w:hint="eastAsia"/>
          <w:lang w:eastAsia="zh-CN"/>
        </w:rPr>
        <w:t>3</w:t>
      </w:r>
      <w:r>
        <w:rPr>
          <w:lang w:eastAsia="zh-CN"/>
        </w:rPr>
        <w:t>分）：得分</w:t>
      </w:r>
      <w:r>
        <w:rPr>
          <w:rFonts w:hint="eastAsia"/>
          <w:lang w:eastAsia="zh-CN"/>
        </w:rPr>
        <w:t>3</w:t>
      </w:r>
      <w:r>
        <w:rPr>
          <w:lang w:eastAsia="zh-CN"/>
        </w:rPr>
        <w:t>分</w:t>
      </w:r>
    </w:p>
    <w:p w14:paraId="2A62ACE3">
      <w:pPr>
        <w:bidi w:val="0"/>
        <w:rPr>
          <w:rFonts w:hint="eastAsia"/>
          <w:lang w:eastAsia="zh-CN"/>
        </w:rPr>
      </w:pPr>
      <w:r>
        <w:rPr>
          <w:rFonts w:hint="eastAsia"/>
          <w:lang w:eastAsia="zh-CN"/>
        </w:rPr>
        <w:t>泉州市洛江区市场监督管理局2024年度“三公”经费实际支出</w:t>
      </w:r>
      <w:r>
        <w:rPr>
          <w:lang w:eastAsia="zh-CN"/>
        </w:rPr>
        <w:t>9.68</w:t>
      </w:r>
      <w:r>
        <w:rPr>
          <w:rFonts w:hint="eastAsia"/>
          <w:lang w:eastAsia="zh-CN"/>
        </w:rPr>
        <w:t>万元，上年度“三公”经费实际支出</w:t>
      </w:r>
      <w:r>
        <w:rPr>
          <w:lang w:eastAsia="zh-CN"/>
        </w:rPr>
        <w:t>40.84</w:t>
      </w:r>
      <w:r>
        <w:rPr>
          <w:rFonts w:hint="eastAsia"/>
          <w:lang w:eastAsia="zh-CN"/>
        </w:rPr>
        <w:t>万元，“三公”经费变动率</w:t>
      </w:r>
      <w:r>
        <w:rPr>
          <w:lang w:eastAsia="zh-CN"/>
        </w:rPr>
        <w:t>-76.3%。根据评分标准，该指标得</w:t>
      </w:r>
      <w:r>
        <w:rPr>
          <w:rFonts w:hint="eastAsia"/>
          <w:lang w:eastAsia="zh-CN"/>
        </w:rPr>
        <w:t>3</w:t>
      </w:r>
      <w:r>
        <w:rPr>
          <w:lang w:eastAsia="zh-CN"/>
        </w:rPr>
        <w:t>分。</w:t>
      </w:r>
    </w:p>
    <w:p w14:paraId="268F49AC">
      <w:pPr>
        <w:bidi w:val="0"/>
        <w:rPr>
          <w:rFonts w:hint="eastAsia"/>
          <w:lang w:eastAsia="zh-CN"/>
        </w:rPr>
      </w:pPr>
      <w:r>
        <w:rPr>
          <w:lang w:eastAsia="zh-CN"/>
        </w:rPr>
        <w:t>（3）结转结余变动率（</w:t>
      </w:r>
      <w:r>
        <w:rPr>
          <w:rFonts w:hint="eastAsia"/>
          <w:lang w:eastAsia="zh-CN"/>
        </w:rPr>
        <w:t>3</w:t>
      </w:r>
      <w:r>
        <w:rPr>
          <w:lang w:eastAsia="zh-CN"/>
        </w:rPr>
        <w:t>分）：得分</w:t>
      </w:r>
      <w:r>
        <w:rPr>
          <w:rFonts w:hint="eastAsia"/>
          <w:lang w:eastAsia="zh-CN"/>
        </w:rPr>
        <w:t>3</w:t>
      </w:r>
      <w:r>
        <w:rPr>
          <w:lang w:eastAsia="zh-CN"/>
        </w:rPr>
        <w:t>分</w:t>
      </w:r>
    </w:p>
    <w:p w14:paraId="620A10B7">
      <w:pPr>
        <w:bidi w:val="0"/>
        <w:rPr>
          <w:rFonts w:hint="eastAsia"/>
          <w:lang w:eastAsia="zh-CN"/>
        </w:rPr>
      </w:pPr>
      <w:r>
        <w:rPr>
          <w:lang w:eastAsia="zh-CN"/>
        </w:rPr>
        <w:t>根据</w:t>
      </w:r>
      <w:r>
        <w:rPr>
          <w:rFonts w:hint="eastAsia"/>
          <w:lang w:eastAsia="zh-CN"/>
        </w:rPr>
        <w:t>泉州市洛江区市场监督管理局</w:t>
      </w:r>
      <w:r>
        <w:rPr>
          <w:lang w:eastAsia="zh-CN"/>
        </w:rPr>
        <w:t>202</w:t>
      </w:r>
      <w:r>
        <w:rPr>
          <w:rFonts w:hint="eastAsia"/>
          <w:lang w:eastAsia="zh-CN"/>
        </w:rPr>
        <w:t>4</w:t>
      </w:r>
      <w:r>
        <w:rPr>
          <w:lang w:eastAsia="zh-CN"/>
        </w:rPr>
        <w:t>年部门资金结余情况表，</w:t>
      </w:r>
      <w:r>
        <w:rPr>
          <w:rFonts w:hint="eastAsia"/>
          <w:lang w:eastAsia="zh-CN"/>
        </w:rPr>
        <w:t>上年度</w:t>
      </w:r>
      <w:r>
        <w:rPr>
          <w:lang w:eastAsia="zh-CN"/>
        </w:rPr>
        <w:t>结转结余资金总额为70</w:t>
      </w:r>
      <w:r>
        <w:rPr>
          <w:rFonts w:hint="eastAsia"/>
          <w:lang w:eastAsia="zh-CN"/>
        </w:rPr>
        <w:t>万元</w:t>
      </w:r>
      <w:r>
        <w:rPr>
          <w:lang w:eastAsia="zh-CN"/>
        </w:rPr>
        <w:t>，202</w:t>
      </w:r>
      <w:r>
        <w:rPr>
          <w:rFonts w:hint="eastAsia"/>
          <w:lang w:eastAsia="zh-CN"/>
        </w:rPr>
        <w:t>4</w:t>
      </w:r>
      <w:r>
        <w:rPr>
          <w:lang w:eastAsia="zh-CN"/>
        </w:rPr>
        <w:t>年结转结余资金总额为42.73</w:t>
      </w:r>
      <w:r>
        <w:rPr>
          <w:rFonts w:hint="eastAsia"/>
          <w:lang w:eastAsia="zh-CN"/>
        </w:rPr>
        <w:t>万</w:t>
      </w:r>
      <w:r>
        <w:rPr>
          <w:lang w:eastAsia="zh-CN"/>
        </w:rPr>
        <w:t>元。结转结余变动率</w:t>
      </w:r>
      <w:r>
        <w:rPr>
          <w:rFonts w:hint="eastAsia"/>
          <w:lang w:eastAsia="zh-CN"/>
        </w:rPr>
        <w:t>为</w:t>
      </w:r>
      <w:r>
        <w:rPr>
          <w:lang w:eastAsia="zh-CN"/>
        </w:rPr>
        <w:t>-38.96%。反映出资金</w:t>
      </w:r>
      <w:r>
        <w:rPr>
          <w:rFonts w:hint="eastAsia"/>
          <w:lang w:eastAsia="zh-CN"/>
        </w:rPr>
        <w:t>管理及资</w:t>
      </w:r>
      <w:r>
        <w:rPr>
          <w:lang w:eastAsia="zh-CN"/>
        </w:rPr>
        <w:t>金使用的合理性和有效性。根据评分标准，该指标得</w:t>
      </w:r>
      <w:r>
        <w:rPr>
          <w:rFonts w:hint="eastAsia"/>
          <w:lang w:eastAsia="zh-CN"/>
        </w:rPr>
        <w:t>3</w:t>
      </w:r>
      <w:r>
        <w:rPr>
          <w:lang w:eastAsia="zh-CN"/>
        </w:rPr>
        <w:t>分。</w:t>
      </w:r>
    </w:p>
    <w:p w14:paraId="37303664">
      <w:pPr>
        <w:pStyle w:val="4"/>
        <w:bidi w:val="0"/>
        <w:rPr>
          <w:rFonts w:hint="eastAsia"/>
          <w:lang w:eastAsia="zh-CN"/>
        </w:rPr>
      </w:pPr>
      <w:bookmarkStart w:id="232" w:name="_Toc8286"/>
      <w:bookmarkStart w:id="233" w:name="_Toc181558024"/>
      <w:bookmarkStart w:id="234" w:name="_Toc217363518"/>
      <w:bookmarkStart w:id="235" w:name="_Toc22632"/>
      <w:r>
        <w:rPr>
          <w:lang w:eastAsia="zh-CN"/>
        </w:rPr>
        <w:t>（二）过程（总分</w:t>
      </w:r>
      <w:r>
        <w:rPr>
          <w:rFonts w:hint="eastAsia"/>
          <w:lang w:eastAsia="zh-CN"/>
        </w:rPr>
        <w:t>21</w:t>
      </w:r>
      <w:r>
        <w:rPr>
          <w:lang w:eastAsia="zh-CN"/>
        </w:rPr>
        <w:t>分，得分1</w:t>
      </w:r>
      <w:r>
        <w:rPr>
          <w:rFonts w:hint="eastAsia"/>
          <w:lang w:eastAsia="zh-CN"/>
        </w:rPr>
        <w:t>4</w:t>
      </w:r>
      <w:r>
        <w:rPr>
          <w:lang w:eastAsia="zh-CN"/>
        </w:rPr>
        <w:t>.</w:t>
      </w:r>
      <w:r>
        <w:rPr>
          <w:rFonts w:hint="eastAsia"/>
          <w:lang w:eastAsia="zh-CN"/>
        </w:rPr>
        <w:t>28</w:t>
      </w:r>
      <w:r>
        <w:rPr>
          <w:lang w:eastAsia="zh-CN"/>
        </w:rPr>
        <w:t>分）</w:t>
      </w:r>
      <w:bookmarkEnd w:id="232"/>
      <w:bookmarkEnd w:id="233"/>
      <w:bookmarkEnd w:id="234"/>
      <w:bookmarkEnd w:id="235"/>
    </w:p>
    <w:p w14:paraId="4FA3621C">
      <w:pPr>
        <w:pStyle w:val="5"/>
        <w:bidi w:val="0"/>
        <w:rPr>
          <w:rFonts w:hint="eastAsia"/>
          <w:lang w:eastAsia="zh-CN"/>
        </w:rPr>
      </w:pPr>
      <w:bookmarkStart w:id="236" w:name="_Toc181558025"/>
      <w:bookmarkStart w:id="237" w:name="_Toc13399"/>
      <w:bookmarkStart w:id="238" w:name="_Toc217363519"/>
      <w:r>
        <w:rPr>
          <w:rFonts w:hint="eastAsia"/>
          <w:lang w:eastAsia="zh-CN"/>
        </w:rPr>
        <w:t>1.</w:t>
      </w:r>
      <w:r>
        <w:rPr>
          <w:lang w:eastAsia="zh-CN"/>
        </w:rPr>
        <w:t>预算执行（总分</w:t>
      </w:r>
      <w:r>
        <w:rPr>
          <w:rFonts w:hint="eastAsia"/>
          <w:lang w:eastAsia="zh-CN"/>
        </w:rPr>
        <w:t>9</w:t>
      </w:r>
      <w:r>
        <w:rPr>
          <w:lang w:eastAsia="zh-CN"/>
        </w:rPr>
        <w:t>分，得分</w:t>
      </w:r>
      <w:r>
        <w:rPr>
          <w:rFonts w:hint="eastAsia"/>
          <w:lang w:eastAsia="zh-CN"/>
        </w:rPr>
        <w:t>8.28</w:t>
      </w:r>
      <w:r>
        <w:rPr>
          <w:lang w:eastAsia="zh-CN"/>
        </w:rPr>
        <w:t>分）</w:t>
      </w:r>
      <w:bookmarkEnd w:id="236"/>
      <w:bookmarkEnd w:id="237"/>
      <w:bookmarkEnd w:id="238"/>
    </w:p>
    <w:p w14:paraId="49F7A676">
      <w:pPr>
        <w:bidi w:val="0"/>
        <w:rPr>
          <w:rFonts w:hint="eastAsia"/>
          <w:lang w:eastAsia="zh-CN"/>
        </w:rPr>
      </w:pPr>
      <w:r>
        <w:rPr>
          <w:lang w:eastAsia="zh-CN"/>
        </w:rPr>
        <w:t>（1）预算执行率（</w:t>
      </w:r>
      <w:r>
        <w:rPr>
          <w:rFonts w:hint="eastAsia"/>
          <w:lang w:eastAsia="zh-CN"/>
        </w:rPr>
        <w:t>2</w:t>
      </w:r>
      <w:r>
        <w:rPr>
          <w:lang w:eastAsia="zh-CN"/>
        </w:rPr>
        <w:t>分）：得分</w:t>
      </w:r>
      <w:r>
        <w:rPr>
          <w:rFonts w:hint="eastAsia"/>
          <w:lang w:eastAsia="zh-CN"/>
        </w:rPr>
        <w:t>2</w:t>
      </w:r>
      <w:r>
        <w:rPr>
          <w:lang w:eastAsia="zh-CN"/>
        </w:rPr>
        <w:t>分</w:t>
      </w:r>
    </w:p>
    <w:p w14:paraId="3CB9D1FC">
      <w:pPr>
        <w:bidi w:val="0"/>
        <w:rPr>
          <w:rFonts w:hint="eastAsia"/>
          <w:lang w:eastAsia="zh-CN"/>
        </w:rPr>
      </w:pPr>
      <w:r>
        <w:rPr>
          <w:rFonts w:hint="eastAsia"/>
          <w:lang w:eastAsia="zh-CN"/>
        </w:rPr>
        <w:t>泉州市洛江区市场监督管理局</w:t>
      </w:r>
      <w:r>
        <w:rPr>
          <w:lang w:eastAsia="zh-CN"/>
        </w:rPr>
        <w:t>202</w:t>
      </w:r>
      <w:r>
        <w:rPr>
          <w:rFonts w:hint="eastAsia"/>
          <w:lang w:eastAsia="zh-CN"/>
        </w:rPr>
        <w:t>4</w:t>
      </w:r>
      <w:r>
        <w:rPr>
          <w:lang w:eastAsia="zh-CN"/>
        </w:rPr>
        <w:t>年度支出完成数与支出预算数的比较显示，全年预算数为1769.97</w:t>
      </w:r>
      <w:r>
        <w:rPr>
          <w:rFonts w:hint="eastAsia"/>
          <w:lang w:eastAsia="zh-CN"/>
        </w:rPr>
        <w:t>万元，全年支出执行数为</w:t>
      </w:r>
      <w:r>
        <w:rPr>
          <w:lang w:eastAsia="zh-CN"/>
        </w:rPr>
        <w:t>1755.63</w:t>
      </w:r>
      <w:r>
        <w:rPr>
          <w:rFonts w:hint="eastAsia"/>
          <w:lang w:eastAsia="zh-CN"/>
        </w:rPr>
        <w:t>万</w:t>
      </w:r>
      <w:r>
        <w:rPr>
          <w:lang w:eastAsia="zh-CN"/>
        </w:rPr>
        <w:t>元，预算执行率</w:t>
      </w:r>
      <w:r>
        <w:rPr>
          <w:rFonts w:hint="eastAsia"/>
          <w:lang w:eastAsia="zh-CN"/>
        </w:rPr>
        <w:t>为</w:t>
      </w:r>
      <w:r>
        <w:rPr>
          <w:lang w:eastAsia="zh-CN"/>
        </w:rPr>
        <w:t>99.19%</w:t>
      </w:r>
      <w:r>
        <w:rPr>
          <w:rFonts w:hint="eastAsia"/>
          <w:lang w:eastAsia="zh-CN"/>
        </w:rPr>
        <w:t>。</w:t>
      </w:r>
      <w:r>
        <w:rPr>
          <w:lang w:eastAsia="zh-CN"/>
        </w:rPr>
        <w:t>（全年支出执行数/全年预算数）=（1755.63/1769.97）×100%=99.19%。根据评分标准，该指标得</w:t>
      </w:r>
      <w:r>
        <w:rPr>
          <w:rFonts w:hint="eastAsia"/>
          <w:lang w:eastAsia="zh-CN"/>
        </w:rPr>
        <w:t>2分</w:t>
      </w:r>
      <w:r>
        <w:rPr>
          <w:lang w:eastAsia="zh-CN"/>
        </w:rPr>
        <w:t>。</w:t>
      </w:r>
    </w:p>
    <w:p w14:paraId="3FB99793">
      <w:pPr>
        <w:bidi w:val="0"/>
        <w:rPr>
          <w:rFonts w:hint="eastAsia"/>
          <w:lang w:eastAsia="zh-CN"/>
        </w:rPr>
      </w:pPr>
      <w:r>
        <w:rPr>
          <w:lang w:eastAsia="zh-CN"/>
        </w:rPr>
        <w:t>（2）预算调整率（</w:t>
      </w:r>
      <w:r>
        <w:rPr>
          <w:rFonts w:hint="eastAsia"/>
          <w:lang w:eastAsia="zh-CN"/>
        </w:rPr>
        <w:t>2</w:t>
      </w:r>
      <w:r>
        <w:rPr>
          <w:lang w:eastAsia="zh-CN"/>
        </w:rPr>
        <w:t>分）：得分</w:t>
      </w:r>
      <w:r>
        <w:rPr>
          <w:rFonts w:hint="eastAsia"/>
          <w:lang w:eastAsia="zh-CN"/>
        </w:rPr>
        <w:t>2</w:t>
      </w:r>
      <w:r>
        <w:rPr>
          <w:lang w:eastAsia="zh-CN"/>
        </w:rPr>
        <w:t>分</w:t>
      </w:r>
    </w:p>
    <w:p w14:paraId="4DF8B2E0">
      <w:pPr>
        <w:bidi w:val="0"/>
        <w:rPr>
          <w:rFonts w:hint="eastAsia"/>
          <w:lang w:eastAsia="zh-CN"/>
        </w:rPr>
      </w:pPr>
      <w:r>
        <w:rPr>
          <w:rFonts w:hint="eastAsia"/>
          <w:lang w:eastAsia="zh-CN"/>
        </w:rPr>
        <w:t>泉州市洛江区市场监督管理局</w:t>
      </w:r>
      <w:r>
        <w:rPr>
          <w:lang w:eastAsia="zh-CN"/>
        </w:rPr>
        <w:t>全年</w:t>
      </w:r>
      <w:r>
        <w:rPr>
          <w:rFonts w:hint="eastAsia"/>
          <w:lang w:eastAsia="zh-CN"/>
        </w:rPr>
        <w:t>支出</w:t>
      </w:r>
      <w:r>
        <w:rPr>
          <w:lang w:eastAsia="zh-CN"/>
        </w:rPr>
        <w:t>预算数</w:t>
      </w:r>
      <w:bookmarkStart w:id="239" w:name="OLE_LINK3"/>
      <w:r>
        <w:rPr>
          <w:lang w:eastAsia="zh-CN"/>
        </w:rPr>
        <w:t>1769.97</w:t>
      </w:r>
      <w:bookmarkEnd w:id="239"/>
      <w:r>
        <w:rPr>
          <w:rFonts w:hint="eastAsia"/>
          <w:lang w:eastAsia="zh-CN"/>
        </w:rPr>
        <w:t>万元，年初支出预算数</w:t>
      </w:r>
      <w:r>
        <w:rPr>
          <w:lang w:eastAsia="zh-CN"/>
        </w:rPr>
        <w:t>1869.51</w:t>
      </w:r>
      <w:r>
        <w:rPr>
          <w:rFonts w:hint="eastAsia"/>
          <w:lang w:eastAsia="zh-CN"/>
        </w:rPr>
        <w:t>万元，调整支出</w:t>
      </w:r>
      <w:r>
        <w:rPr>
          <w:lang w:eastAsia="zh-CN"/>
        </w:rPr>
        <w:t>-99.54万元，支出预算调整率</w:t>
      </w:r>
      <w:r>
        <w:rPr>
          <w:rFonts w:hint="eastAsia"/>
          <w:lang w:eastAsia="zh-CN"/>
        </w:rPr>
        <w:t>为</w:t>
      </w:r>
      <w:r>
        <w:rPr>
          <w:lang w:eastAsia="zh-CN"/>
        </w:rPr>
        <w:t>-99.54/1769.97</w:t>
      </w:r>
      <w:r>
        <w:rPr>
          <w:rFonts w:hint="eastAsia"/>
          <w:lang w:eastAsia="zh-CN"/>
        </w:rPr>
        <w:t>*100%=</w:t>
      </w:r>
      <w:r>
        <w:rPr>
          <w:lang w:eastAsia="zh-CN"/>
        </w:rPr>
        <w:t>-5.62%</w:t>
      </w:r>
      <w:r>
        <w:rPr>
          <w:rFonts w:hint="eastAsia"/>
          <w:lang w:eastAsia="zh-CN"/>
        </w:rPr>
        <w:t>。单位本年度预算不仅没有调整增加，反而还减少</w:t>
      </w:r>
      <w:r>
        <w:rPr>
          <w:lang w:eastAsia="zh-CN"/>
        </w:rPr>
        <w:t>。根据评分标准，该指标得</w:t>
      </w:r>
      <w:r>
        <w:rPr>
          <w:rFonts w:hint="eastAsia"/>
          <w:lang w:eastAsia="zh-CN"/>
        </w:rPr>
        <w:t>2</w:t>
      </w:r>
      <w:r>
        <w:rPr>
          <w:lang w:eastAsia="zh-CN"/>
        </w:rPr>
        <w:t>分。</w:t>
      </w:r>
    </w:p>
    <w:p w14:paraId="58F3185C">
      <w:pPr>
        <w:bidi w:val="0"/>
        <w:rPr>
          <w:rFonts w:hint="eastAsia"/>
          <w:lang w:eastAsia="zh-CN"/>
        </w:rPr>
      </w:pPr>
      <w:r>
        <w:rPr>
          <w:lang w:eastAsia="zh-CN"/>
        </w:rPr>
        <w:t>（3）结转结余率（</w:t>
      </w:r>
      <w:r>
        <w:rPr>
          <w:rFonts w:hint="eastAsia"/>
          <w:lang w:eastAsia="zh-CN"/>
        </w:rPr>
        <w:t>3</w:t>
      </w:r>
      <w:r>
        <w:rPr>
          <w:lang w:eastAsia="zh-CN"/>
        </w:rPr>
        <w:t>分）：得分2.28分</w:t>
      </w:r>
    </w:p>
    <w:p w14:paraId="00FA6B3A">
      <w:pPr>
        <w:bidi w:val="0"/>
        <w:rPr>
          <w:rFonts w:hint="eastAsia"/>
          <w:lang w:eastAsia="zh-CN"/>
        </w:rPr>
      </w:pPr>
      <w:r>
        <w:rPr>
          <w:rFonts w:hint="eastAsia"/>
          <w:lang w:eastAsia="zh-CN"/>
        </w:rPr>
        <w:t>泉州市洛江区市场监督管理局</w:t>
      </w:r>
      <w:r>
        <w:rPr>
          <w:lang w:eastAsia="zh-CN"/>
        </w:rPr>
        <w:t>202</w:t>
      </w:r>
      <w:r>
        <w:rPr>
          <w:rFonts w:hint="eastAsia"/>
          <w:lang w:eastAsia="zh-CN"/>
        </w:rPr>
        <w:t>4</w:t>
      </w:r>
      <w:r>
        <w:rPr>
          <w:lang w:eastAsia="zh-CN"/>
        </w:rPr>
        <w:t>年结转结余资金总额为42.73万元，全年</w:t>
      </w:r>
      <w:r>
        <w:rPr>
          <w:rFonts w:hint="eastAsia"/>
          <w:lang w:eastAsia="zh-CN"/>
        </w:rPr>
        <w:t>支出</w:t>
      </w:r>
      <w:r>
        <w:rPr>
          <w:lang w:eastAsia="zh-CN"/>
        </w:rPr>
        <w:t>预算数为1769.97万元，结转结余率=（42.73/1769.97）</w:t>
      </w:r>
      <w:r>
        <w:rPr>
          <w:rFonts w:hint="eastAsia"/>
          <w:lang w:eastAsia="zh-CN"/>
        </w:rPr>
        <w:t>*</w:t>
      </w:r>
      <w:r>
        <w:rPr>
          <w:lang w:eastAsia="zh-CN"/>
        </w:rPr>
        <w:t>100%=2.41%。根据评分标准，该指标得2.28分</w:t>
      </w:r>
      <w:r>
        <w:rPr>
          <w:rFonts w:hint="eastAsia"/>
          <w:lang w:eastAsia="zh-CN"/>
        </w:rPr>
        <w:t>，扣</w:t>
      </w:r>
      <w:r>
        <w:rPr>
          <w:lang w:eastAsia="zh-CN"/>
        </w:rPr>
        <w:t>0.72</w:t>
      </w:r>
      <w:r>
        <w:rPr>
          <w:rFonts w:hint="eastAsia"/>
          <w:lang w:eastAsia="zh-CN"/>
        </w:rPr>
        <w:t>分</w:t>
      </w:r>
      <w:r>
        <w:rPr>
          <w:lang w:eastAsia="zh-CN"/>
        </w:rPr>
        <w:t>。</w:t>
      </w:r>
    </w:p>
    <w:p w14:paraId="21F02F78">
      <w:pPr>
        <w:bidi w:val="0"/>
        <w:rPr>
          <w:rFonts w:hint="eastAsia"/>
          <w:lang w:eastAsia="zh-CN"/>
        </w:rPr>
      </w:pPr>
      <w:r>
        <w:rPr>
          <w:lang w:eastAsia="zh-CN"/>
        </w:rPr>
        <w:t>（4）公用经费控制率（</w:t>
      </w:r>
      <w:r>
        <w:rPr>
          <w:rFonts w:hint="eastAsia"/>
          <w:lang w:eastAsia="zh-CN"/>
        </w:rPr>
        <w:t>2</w:t>
      </w:r>
      <w:r>
        <w:rPr>
          <w:lang w:eastAsia="zh-CN"/>
        </w:rPr>
        <w:t>分）：得分</w:t>
      </w:r>
      <w:r>
        <w:rPr>
          <w:rFonts w:hint="eastAsia"/>
          <w:lang w:eastAsia="zh-CN"/>
        </w:rPr>
        <w:t>2</w:t>
      </w:r>
      <w:r>
        <w:rPr>
          <w:lang w:eastAsia="zh-CN"/>
        </w:rPr>
        <w:t>分</w:t>
      </w:r>
    </w:p>
    <w:p w14:paraId="1659C632">
      <w:pPr>
        <w:bidi w:val="0"/>
        <w:rPr>
          <w:rFonts w:hint="eastAsia"/>
          <w:lang w:eastAsia="zh-CN"/>
        </w:rPr>
      </w:pPr>
      <w:r>
        <w:rPr>
          <w:rFonts w:hint="eastAsia"/>
          <w:lang w:eastAsia="zh-CN"/>
        </w:rPr>
        <w:t>泉州市洛江区市场监督管理局</w:t>
      </w:r>
      <w:r>
        <w:rPr>
          <w:lang w:eastAsia="zh-CN"/>
        </w:rPr>
        <w:t>202</w:t>
      </w:r>
      <w:r>
        <w:rPr>
          <w:rFonts w:hint="eastAsia"/>
          <w:lang w:eastAsia="zh-CN"/>
        </w:rPr>
        <w:t>4</w:t>
      </w:r>
      <w:r>
        <w:rPr>
          <w:lang w:eastAsia="zh-CN"/>
        </w:rPr>
        <w:t>年公用经费预算安排数为175.27万元，实际支出为161.57万元，公用经费控制率为161.57</w:t>
      </w:r>
      <w:r>
        <w:rPr>
          <w:rFonts w:hint="eastAsia"/>
          <w:lang w:eastAsia="zh-CN"/>
        </w:rPr>
        <w:t>/</w:t>
      </w:r>
      <w:r>
        <w:rPr>
          <w:lang w:eastAsia="zh-CN"/>
        </w:rPr>
        <w:t>175.27</w:t>
      </w:r>
      <w:r>
        <w:rPr>
          <w:rFonts w:hint="eastAsia"/>
          <w:lang w:eastAsia="zh-CN"/>
        </w:rPr>
        <w:t>=</w:t>
      </w:r>
      <w:r>
        <w:rPr>
          <w:lang w:eastAsia="zh-CN"/>
        </w:rPr>
        <w:t>92.18%，公用经费控制得当。根据评分标准，此项得</w:t>
      </w:r>
      <w:r>
        <w:rPr>
          <w:rFonts w:hint="eastAsia"/>
          <w:lang w:eastAsia="zh-CN"/>
        </w:rPr>
        <w:t>2</w:t>
      </w:r>
      <w:r>
        <w:rPr>
          <w:lang w:eastAsia="zh-CN"/>
        </w:rPr>
        <w:t>分。</w:t>
      </w:r>
    </w:p>
    <w:p w14:paraId="0D15229A">
      <w:pPr>
        <w:pStyle w:val="5"/>
        <w:bidi w:val="0"/>
        <w:rPr>
          <w:rFonts w:hint="eastAsia"/>
          <w:lang w:eastAsia="zh-CN"/>
        </w:rPr>
      </w:pPr>
      <w:bookmarkStart w:id="240" w:name="_Toc217363520"/>
      <w:bookmarkStart w:id="241" w:name="_Toc181558026"/>
      <w:bookmarkStart w:id="242" w:name="_Toc29699"/>
      <w:r>
        <w:rPr>
          <w:rFonts w:hint="eastAsia"/>
          <w:lang w:eastAsia="zh-CN"/>
        </w:rPr>
        <w:t>2.</w:t>
      </w:r>
      <w:r>
        <w:rPr>
          <w:lang w:eastAsia="zh-CN"/>
        </w:rPr>
        <w:t>预算管理（总分</w:t>
      </w:r>
      <w:r>
        <w:rPr>
          <w:rFonts w:hint="eastAsia"/>
          <w:lang w:eastAsia="zh-CN"/>
        </w:rPr>
        <w:t>12</w:t>
      </w:r>
      <w:r>
        <w:rPr>
          <w:lang w:eastAsia="zh-CN"/>
        </w:rPr>
        <w:t>分，得分</w:t>
      </w:r>
      <w:r>
        <w:rPr>
          <w:rFonts w:hint="eastAsia"/>
          <w:lang w:eastAsia="zh-CN"/>
        </w:rPr>
        <w:t>6</w:t>
      </w:r>
      <w:r>
        <w:rPr>
          <w:lang w:eastAsia="zh-CN"/>
        </w:rPr>
        <w:t>分）</w:t>
      </w:r>
      <w:bookmarkEnd w:id="240"/>
      <w:bookmarkEnd w:id="241"/>
      <w:bookmarkEnd w:id="242"/>
    </w:p>
    <w:p w14:paraId="7EDD3323">
      <w:pPr>
        <w:bidi w:val="0"/>
        <w:rPr>
          <w:rFonts w:hint="eastAsia"/>
          <w:lang w:eastAsia="zh-CN"/>
        </w:rPr>
      </w:pPr>
      <w:r>
        <w:rPr>
          <w:lang w:eastAsia="zh-CN"/>
        </w:rPr>
        <w:t>（1）管理制度健全性（</w:t>
      </w:r>
      <w:r>
        <w:rPr>
          <w:rFonts w:hint="eastAsia"/>
          <w:lang w:eastAsia="zh-CN"/>
        </w:rPr>
        <w:t>3</w:t>
      </w:r>
      <w:r>
        <w:rPr>
          <w:lang w:eastAsia="zh-CN"/>
        </w:rPr>
        <w:t>分）：得分</w:t>
      </w:r>
      <w:r>
        <w:rPr>
          <w:rFonts w:hint="eastAsia"/>
          <w:lang w:eastAsia="zh-CN"/>
        </w:rPr>
        <w:t>2</w:t>
      </w:r>
      <w:r>
        <w:rPr>
          <w:lang w:eastAsia="zh-CN"/>
        </w:rPr>
        <w:t>分</w:t>
      </w:r>
    </w:p>
    <w:p w14:paraId="06FFCF53">
      <w:pPr>
        <w:bidi w:val="0"/>
        <w:rPr>
          <w:rFonts w:hint="eastAsia"/>
          <w:lang w:eastAsia="zh-CN"/>
        </w:rPr>
      </w:pPr>
      <w:r>
        <w:rPr>
          <w:lang w:eastAsia="zh-CN"/>
        </w:rPr>
        <w:t>为加强财务管理和会计核算，规范财务行为，降低行政成本，防止国有资产流失，提高资金使用效益并强化财务监督，</w:t>
      </w:r>
      <w:r>
        <w:rPr>
          <w:rFonts w:hint="eastAsia"/>
          <w:lang w:eastAsia="zh-CN"/>
        </w:rPr>
        <w:t>泉州市洛江区市场监督管理局</w:t>
      </w:r>
      <w:r>
        <w:rPr>
          <w:lang w:eastAsia="zh-CN"/>
        </w:rPr>
        <w:t>制定了</w:t>
      </w:r>
      <w:r>
        <w:rPr>
          <w:rFonts w:hint="eastAsia"/>
          <w:lang w:eastAsia="zh-CN"/>
        </w:rPr>
        <w:t>《泉州市洛江区市场监督管理局关于印发采购内部控制制度的通知》《泉州市洛江区市场监督管理局固定资产管理制度》《关于印发洛江区市场监督管理系统“三重一大”决策制度的通知》等多项管理制度文件</w:t>
      </w:r>
      <w:r>
        <w:rPr>
          <w:lang w:eastAsia="zh-CN"/>
        </w:rPr>
        <w:t>。该制度对预算管理、收支管理、固定资产管理、资金管理、审批管理、会计档案管理等进行了严格规定</w:t>
      </w:r>
      <w:r>
        <w:rPr>
          <w:rFonts w:hint="eastAsia"/>
          <w:lang w:eastAsia="zh-CN"/>
        </w:rPr>
        <w:t>。但是在固定资产管理方面，泉州市洛江区市场监督管理局存在部分固定资产未建立固定资产卡片标签，未能严格按照内控制度进行管理，未严格落实一物一卡管理原则，在固定资产的管理方面存在一定不足。</w:t>
      </w:r>
      <w:r>
        <w:rPr>
          <w:lang w:eastAsia="zh-CN"/>
        </w:rPr>
        <w:t>根据评分标准，此项得</w:t>
      </w:r>
      <w:r>
        <w:rPr>
          <w:rFonts w:hint="eastAsia"/>
          <w:lang w:eastAsia="zh-CN"/>
        </w:rPr>
        <w:t>2</w:t>
      </w:r>
      <w:r>
        <w:rPr>
          <w:lang w:eastAsia="zh-CN"/>
        </w:rPr>
        <w:t>分</w:t>
      </w:r>
      <w:r>
        <w:rPr>
          <w:rFonts w:hint="eastAsia"/>
          <w:lang w:eastAsia="zh-CN"/>
        </w:rPr>
        <w:t>，扣1分</w:t>
      </w:r>
      <w:r>
        <w:rPr>
          <w:lang w:eastAsia="zh-CN"/>
        </w:rPr>
        <w:t>。</w:t>
      </w:r>
    </w:p>
    <w:p w14:paraId="1EC159ED">
      <w:pPr>
        <w:bidi w:val="0"/>
        <w:rPr>
          <w:rFonts w:hint="eastAsia"/>
          <w:lang w:eastAsia="zh-CN"/>
        </w:rPr>
      </w:pPr>
      <w:r>
        <w:rPr>
          <w:lang w:eastAsia="zh-CN"/>
        </w:rPr>
        <w:t>（2）</w:t>
      </w:r>
      <w:r>
        <w:rPr>
          <w:rFonts w:hint="eastAsia"/>
          <w:lang w:eastAsia="zh-CN"/>
        </w:rPr>
        <w:t>工程项目管理合规性（3分）</w:t>
      </w:r>
      <w:r>
        <w:rPr>
          <w:lang w:eastAsia="zh-CN"/>
        </w:rPr>
        <w:t>：得分</w:t>
      </w:r>
      <w:r>
        <w:rPr>
          <w:rFonts w:hint="eastAsia"/>
          <w:lang w:eastAsia="zh-CN"/>
        </w:rPr>
        <w:t>1</w:t>
      </w:r>
      <w:r>
        <w:rPr>
          <w:lang w:eastAsia="zh-CN"/>
        </w:rPr>
        <w:t>分</w:t>
      </w:r>
    </w:p>
    <w:p w14:paraId="7AA3AA77">
      <w:pPr>
        <w:bidi w:val="0"/>
        <w:rPr>
          <w:rFonts w:hint="eastAsia"/>
          <w:lang w:eastAsia="zh-CN"/>
        </w:rPr>
      </w:pPr>
      <w:r>
        <w:rPr>
          <w:rFonts w:hint="eastAsia"/>
          <w:lang w:eastAsia="zh-CN"/>
        </w:rPr>
        <w:t>泉州市洛江区市场监督管理局在工程项目管理方面存在验收报告未写明验收日期以及工程实际竣工时间滞后于合同约定的竣工交付日期的问题。例如在</w:t>
      </w:r>
      <w:r>
        <w:rPr>
          <w:lang w:eastAsia="zh-CN"/>
        </w:rPr>
        <w:t>2024</w:t>
      </w:r>
      <w:r>
        <w:rPr>
          <w:rFonts w:hint="eastAsia"/>
          <w:lang w:eastAsia="zh-CN"/>
        </w:rPr>
        <w:t>年</w:t>
      </w:r>
      <w:r>
        <w:rPr>
          <w:lang w:eastAsia="zh-CN"/>
        </w:rPr>
        <w:t>10</w:t>
      </w:r>
      <w:r>
        <w:rPr>
          <w:rFonts w:hint="eastAsia"/>
          <w:lang w:eastAsia="zh-CN"/>
        </w:rPr>
        <w:t>月</w:t>
      </w:r>
      <w:r>
        <w:rPr>
          <w:lang w:eastAsia="zh-CN"/>
        </w:rPr>
        <w:t>-45#</w:t>
      </w:r>
      <w:r>
        <w:rPr>
          <w:rFonts w:hint="eastAsia"/>
          <w:lang w:eastAsia="zh-CN"/>
        </w:rPr>
        <w:t>凭证中满意度调查验收报告中未填写验收日期。在安置房小区电瓶车电梯管控系统和公共安全信息平台建设采购项目，合同签订日期为</w:t>
      </w:r>
      <w:r>
        <w:rPr>
          <w:lang w:eastAsia="zh-CN"/>
        </w:rPr>
        <w:t>2024</w:t>
      </w:r>
      <w:r>
        <w:rPr>
          <w:rFonts w:hint="eastAsia"/>
          <w:lang w:eastAsia="zh-CN"/>
        </w:rPr>
        <w:t>年</w:t>
      </w:r>
      <w:r>
        <w:rPr>
          <w:lang w:eastAsia="zh-CN"/>
        </w:rPr>
        <w:t>7</w:t>
      </w:r>
      <w:r>
        <w:rPr>
          <w:rFonts w:hint="eastAsia"/>
          <w:lang w:eastAsia="zh-CN"/>
        </w:rPr>
        <w:t>月</w:t>
      </w:r>
      <w:r>
        <w:rPr>
          <w:lang w:eastAsia="zh-CN"/>
        </w:rPr>
        <w:t>18</w:t>
      </w:r>
      <w:r>
        <w:rPr>
          <w:rFonts w:hint="eastAsia"/>
          <w:lang w:eastAsia="zh-CN"/>
        </w:rPr>
        <w:t>日，合同约定设备交付期限为合同签订之日起</w:t>
      </w:r>
      <w:r>
        <w:rPr>
          <w:lang w:eastAsia="zh-CN"/>
        </w:rPr>
        <w:t>60</w:t>
      </w:r>
      <w:r>
        <w:rPr>
          <w:rFonts w:hint="eastAsia"/>
          <w:lang w:eastAsia="zh-CN"/>
        </w:rPr>
        <w:t>日内完成硬件安装并验收，但根据验收报告所示，实际验收日期为</w:t>
      </w:r>
      <w:r>
        <w:rPr>
          <w:lang w:eastAsia="zh-CN"/>
        </w:rPr>
        <w:t>2024</w:t>
      </w:r>
      <w:r>
        <w:rPr>
          <w:rFonts w:hint="eastAsia"/>
          <w:lang w:eastAsia="zh-CN"/>
        </w:rPr>
        <w:t>年</w:t>
      </w:r>
      <w:r>
        <w:rPr>
          <w:lang w:eastAsia="zh-CN"/>
        </w:rPr>
        <w:t>12</w:t>
      </w:r>
      <w:r>
        <w:rPr>
          <w:rFonts w:hint="eastAsia"/>
          <w:lang w:eastAsia="zh-CN"/>
        </w:rPr>
        <w:t>月</w:t>
      </w:r>
      <w:r>
        <w:rPr>
          <w:lang w:eastAsia="zh-CN"/>
        </w:rPr>
        <w:t>16</w:t>
      </w:r>
      <w:r>
        <w:rPr>
          <w:rFonts w:hint="eastAsia"/>
          <w:lang w:eastAsia="zh-CN"/>
        </w:rPr>
        <w:t>日，硬件安装交付方面未严格按照合同约定执行，存在合同交付延期</w:t>
      </w:r>
      <w:r>
        <w:rPr>
          <w:lang w:eastAsia="zh-CN"/>
        </w:rPr>
        <w:t>。根据评分标准，得</w:t>
      </w:r>
      <w:r>
        <w:rPr>
          <w:rFonts w:hint="eastAsia"/>
          <w:lang w:eastAsia="zh-CN"/>
        </w:rPr>
        <w:t>1</w:t>
      </w:r>
      <w:r>
        <w:rPr>
          <w:lang w:eastAsia="zh-CN"/>
        </w:rPr>
        <w:t>分</w:t>
      </w:r>
      <w:r>
        <w:rPr>
          <w:rFonts w:hint="eastAsia"/>
          <w:lang w:eastAsia="zh-CN"/>
        </w:rPr>
        <w:t>，扣2分</w:t>
      </w:r>
      <w:r>
        <w:rPr>
          <w:lang w:eastAsia="zh-CN"/>
        </w:rPr>
        <w:t>。</w:t>
      </w:r>
    </w:p>
    <w:p w14:paraId="73CFA178">
      <w:pPr>
        <w:bidi w:val="0"/>
        <w:rPr>
          <w:rFonts w:hint="eastAsia"/>
          <w:lang w:eastAsia="zh-CN"/>
        </w:rPr>
      </w:pPr>
      <w:r>
        <w:rPr>
          <w:lang w:eastAsia="zh-CN"/>
        </w:rPr>
        <w:t>（</w:t>
      </w:r>
      <w:r>
        <w:rPr>
          <w:rFonts w:hint="eastAsia"/>
          <w:lang w:eastAsia="zh-CN"/>
        </w:rPr>
        <w:t>3</w:t>
      </w:r>
      <w:r>
        <w:rPr>
          <w:lang w:eastAsia="zh-CN"/>
        </w:rPr>
        <w:t>）合同管理规范性（</w:t>
      </w:r>
      <w:r>
        <w:rPr>
          <w:rFonts w:hint="eastAsia"/>
          <w:lang w:eastAsia="zh-CN"/>
        </w:rPr>
        <w:t>3</w:t>
      </w:r>
      <w:r>
        <w:rPr>
          <w:lang w:eastAsia="zh-CN"/>
        </w:rPr>
        <w:t>分）：得分</w:t>
      </w:r>
      <w:r>
        <w:rPr>
          <w:rFonts w:hint="eastAsia"/>
          <w:lang w:eastAsia="zh-CN"/>
        </w:rPr>
        <w:t>1</w:t>
      </w:r>
      <w:r>
        <w:rPr>
          <w:lang w:eastAsia="zh-CN"/>
        </w:rPr>
        <w:t>分</w:t>
      </w:r>
    </w:p>
    <w:p w14:paraId="7F727DBD">
      <w:pPr>
        <w:bidi w:val="0"/>
        <w:rPr>
          <w:rFonts w:hint="eastAsia"/>
          <w:lang w:eastAsia="zh-CN"/>
        </w:rPr>
      </w:pPr>
      <w:bookmarkStart w:id="243" w:name="_Hlk212713156"/>
      <w:r>
        <w:rPr>
          <w:rFonts w:hint="eastAsia"/>
          <w:lang w:eastAsia="zh-CN"/>
        </w:rPr>
        <w:t>泉州市洛江区市场监督管理局在</w:t>
      </w:r>
      <w:bookmarkEnd w:id="243"/>
      <w:r>
        <w:rPr>
          <w:rFonts w:hint="eastAsia"/>
          <w:lang w:eastAsia="zh-CN"/>
        </w:rPr>
        <w:t>合同的签订与管理方面存在一定不足。泉州市洛江区市场监督管理局在合同签订方面存在未写明合同签订日期，在资金支付方面未严格按照合同约定的方式付款。例如在</w:t>
      </w:r>
      <w:r>
        <w:rPr>
          <w:lang w:eastAsia="zh-CN"/>
        </w:rPr>
        <w:t>2024</w:t>
      </w:r>
      <w:r>
        <w:rPr>
          <w:rFonts w:hint="eastAsia"/>
          <w:lang w:eastAsia="zh-CN"/>
        </w:rPr>
        <w:t>年</w:t>
      </w:r>
      <w:r>
        <w:rPr>
          <w:lang w:eastAsia="zh-CN"/>
        </w:rPr>
        <w:t>11</w:t>
      </w:r>
      <w:r>
        <w:rPr>
          <w:rFonts w:hint="eastAsia"/>
          <w:lang w:eastAsia="zh-CN"/>
        </w:rPr>
        <w:t>月</w:t>
      </w:r>
      <w:r>
        <w:rPr>
          <w:lang w:eastAsia="zh-CN"/>
        </w:rPr>
        <w:t>-5#</w:t>
      </w:r>
      <w:r>
        <w:rPr>
          <w:rFonts w:hint="eastAsia"/>
          <w:lang w:eastAsia="zh-CN"/>
        </w:rPr>
        <w:t>凭证中的技术服务合同中未填写合同签订日期，在</w:t>
      </w:r>
      <w:r>
        <w:rPr>
          <w:lang w:eastAsia="zh-CN"/>
        </w:rPr>
        <w:t>2024</w:t>
      </w:r>
      <w:r>
        <w:rPr>
          <w:rFonts w:hint="eastAsia"/>
          <w:lang w:eastAsia="zh-CN"/>
        </w:rPr>
        <w:t>年</w:t>
      </w:r>
      <w:r>
        <w:rPr>
          <w:lang w:eastAsia="zh-CN"/>
        </w:rPr>
        <w:t>6</w:t>
      </w:r>
      <w:r>
        <w:rPr>
          <w:rFonts w:hint="eastAsia"/>
          <w:lang w:eastAsia="zh-CN"/>
        </w:rPr>
        <w:t>月</w:t>
      </w:r>
      <w:r>
        <w:rPr>
          <w:lang w:eastAsia="zh-CN"/>
        </w:rPr>
        <w:t>-28#</w:t>
      </w:r>
      <w:r>
        <w:rPr>
          <w:rFonts w:hint="eastAsia"/>
          <w:lang w:eastAsia="zh-CN"/>
        </w:rPr>
        <w:t>凭证中的广告宣传合同中未填写合同签订日期。在</w:t>
      </w:r>
      <w:r>
        <w:rPr>
          <w:lang w:eastAsia="zh-CN"/>
        </w:rPr>
        <w:t>2024</w:t>
      </w:r>
      <w:r>
        <w:rPr>
          <w:rFonts w:hint="eastAsia"/>
          <w:lang w:eastAsia="zh-CN"/>
        </w:rPr>
        <w:t>年</w:t>
      </w:r>
      <w:r>
        <w:rPr>
          <w:lang w:eastAsia="zh-CN"/>
        </w:rPr>
        <w:t>11</w:t>
      </w:r>
      <w:r>
        <w:rPr>
          <w:rFonts w:hint="eastAsia"/>
          <w:lang w:eastAsia="zh-CN"/>
        </w:rPr>
        <w:t>月</w:t>
      </w:r>
      <w:r>
        <w:rPr>
          <w:lang w:eastAsia="zh-CN"/>
        </w:rPr>
        <w:t>-5#</w:t>
      </w:r>
      <w:r>
        <w:rPr>
          <w:rFonts w:hint="eastAsia"/>
          <w:lang w:eastAsia="zh-CN"/>
        </w:rPr>
        <w:t>凭证中，合同约定的付款方式为签订合同后一次性支付，实际开票时间是</w:t>
      </w:r>
      <w:r>
        <w:rPr>
          <w:lang w:eastAsia="zh-CN"/>
        </w:rPr>
        <w:t>24</w:t>
      </w:r>
      <w:r>
        <w:rPr>
          <w:rFonts w:hint="eastAsia"/>
          <w:lang w:eastAsia="zh-CN"/>
        </w:rPr>
        <w:t>年</w:t>
      </w:r>
      <w:r>
        <w:rPr>
          <w:lang w:eastAsia="zh-CN"/>
        </w:rPr>
        <w:t>8</w:t>
      </w:r>
      <w:r>
        <w:rPr>
          <w:rFonts w:hint="eastAsia"/>
          <w:lang w:eastAsia="zh-CN"/>
        </w:rPr>
        <w:t>月，实际付款时间为20</w:t>
      </w:r>
      <w:r>
        <w:rPr>
          <w:lang w:eastAsia="zh-CN"/>
        </w:rPr>
        <w:t>24</w:t>
      </w:r>
      <w:r>
        <w:rPr>
          <w:rFonts w:hint="eastAsia"/>
          <w:lang w:eastAsia="zh-CN"/>
        </w:rPr>
        <w:t>年</w:t>
      </w:r>
      <w:r>
        <w:rPr>
          <w:lang w:eastAsia="zh-CN"/>
        </w:rPr>
        <w:t>11</w:t>
      </w:r>
      <w:r>
        <w:rPr>
          <w:rFonts w:hint="eastAsia"/>
          <w:lang w:eastAsia="zh-CN"/>
        </w:rPr>
        <w:t>月</w:t>
      </w:r>
      <w:r>
        <w:rPr>
          <w:lang w:eastAsia="zh-CN"/>
        </w:rPr>
        <w:t>5</w:t>
      </w:r>
      <w:r>
        <w:rPr>
          <w:rFonts w:hint="eastAsia"/>
          <w:lang w:eastAsia="zh-CN"/>
        </w:rPr>
        <w:t>日，实际付款时间不符合合同的约定。在</w:t>
      </w:r>
      <w:r>
        <w:rPr>
          <w:lang w:eastAsia="zh-CN"/>
        </w:rPr>
        <w:t>2024</w:t>
      </w:r>
      <w:r>
        <w:rPr>
          <w:rFonts w:hint="eastAsia"/>
          <w:lang w:eastAsia="zh-CN"/>
        </w:rPr>
        <w:t>年</w:t>
      </w:r>
      <w:r>
        <w:rPr>
          <w:lang w:eastAsia="zh-CN"/>
        </w:rPr>
        <w:t>6</w:t>
      </w:r>
      <w:r>
        <w:rPr>
          <w:rFonts w:hint="eastAsia"/>
          <w:lang w:eastAsia="zh-CN"/>
        </w:rPr>
        <w:t>月</w:t>
      </w:r>
      <w:r>
        <w:rPr>
          <w:lang w:eastAsia="zh-CN"/>
        </w:rPr>
        <w:t>-28#</w:t>
      </w:r>
      <w:r>
        <w:rPr>
          <w:rFonts w:hint="eastAsia"/>
          <w:lang w:eastAsia="zh-CN"/>
        </w:rPr>
        <w:t>凭证，合同约定开票后</w:t>
      </w:r>
      <w:r>
        <w:rPr>
          <w:lang w:eastAsia="zh-CN"/>
        </w:rPr>
        <w:t>5</w:t>
      </w:r>
      <w:r>
        <w:rPr>
          <w:rFonts w:hint="eastAsia"/>
          <w:lang w:eastAsia="zh-CN"/>
        </w:rPr>
        <w:t>个工作日内一次性支付款项，</w:t>
      </w:r>
      <w:r>
        <w:rPr>
          <w:lang w:eastAsia="zh-CN"/>
        </w:rPr>
        <w:t>24</w:t>
      </w:r>
      <w:r>
        <w:rPr>
          <w:rFonts w:hint="eastAsia"/>
          <w:lang w:eastAsia="zh-CN"/>
        </w:rPr>
        <w:t>年度开票日期为</w:t>
      </w:r>
      <w:r>
        <w:rPr>
          <w:lang w:eastAsia="zh-CN"/>
        </w:rPr>
        <w:t>2024</w:t>
      </w:r>
      <w:r>
        <w:rPr>
          <w:rFonts w:hint="eastAsia"/>
          <w:lang w:eastAsia="zh-CN"/>
        </w:rPr>
        <w:t>年</w:t>
      </w:r>
      <w:r>
        <w:rPr>
          <w:lang w:eastAsia="zh-CN"/>
        </w:rPr>
        <w:t>5</w:t>
      </w:r>
      <w:r>
        <w:rPr>
          <w:rFonts w:hint="eastAsia"/>
          <w:lang w:eastAsia="zh-CN"/>
        </w:rPr>
        <w:t>月</w:t>
      </w:r>
      <w:r>
        <w:rPr>
          <w:lang w:eastAsia="zh-CN"/>
        </w:rPr>
        <w:t>21</w:t>
      </w:r>
      <w:r>
        <w:rPr>
          <w:rFonts w:hint="eastAsia"/>
          <w:lang w:eastAsia="zh-CN"/>
        </w:rPr>
        <w:t>日，实际付款日期为</w:t>
      </w:r>
      <w:r>
        <w:rPr>
          <w:lang w:eastAsia="zh-CN"/>
        </w:rPr>
        <w:t>2024</w:t>
      </w:r>
      <w:r>
        <w:rPr>
          <w:rFonts w:hint="eastAsia"/>
          <w:lang w:eastAsia="zh-CN"/>
        </w:rPr>
        <w:t>年</w:t>
      </w:r>
      <w:r>
        <w:rPr>
          <w:lang w:eastAsia="zh-CN"/>
        </w:rPr>
        <w:t>6</w:t>
      </w:r>
      <w:r>
        <w:rPr>
          <w:rFonts w:hint="eastAsia"/>
          <w:lang w:eastAsia="zh-CN"/>
        </w:rPr>
        <w:t>月</w:t>
      </w:r>
      <w:r>
        <w:rPr>
          <w:lang w:eastAsia="zh-CN"/>
        </w:rPr>
        <w:t>14</w:t>
      </w:r>
      <w:r>
        <w:rPr>
          <w:rFonts w:hint="eastAsia"/>
          <w:lang w:eastAsia="zh-CN"/>
        </w:rPr>
        <w:t>日，实际付款时间也不符合合同的约定。</w:t>
      </w:r>
      <w:r>
        <w:rPr>
          <w:lang w:eastAsia="zh-CN"/>
        </w:rPr>
        <w:t>根据评分标准，此项得</w:t>
      </w:r>
      <w:r>
        <w:rPr>
          <w:rFonts w:hint="eastAsia"/>
          <w:lang w:eastAsia="zh-CN"/>
        </w:rPr>
        <w:t>1</w:t>
      </w:r>
      <w:r>
        <w:rPr>
          <w:lang w:eastAsia="zh-CN"/>
        </w:rPr>
        <w:t>分</w:t>
      </w:r>
      <w:r>
        <w:rPr>
          <w:rFonts w:hint="eastAsia"/>
          <w:lang w:eastAsia="zh-CN"/>
        </w:rPr>
        <w:t>，扣2分</w:t>
      </w:r>
      <w:r>
        <w:rPr>
          <w:lang w:eastAsia="zh-CN"/>
        </w:rPr>
        <w:t>。</w:t>
      </w:r>
    </w:p>
    <w:p w14:paraId="664EB352">
      <w:pPr>
        <w:bidi w:val="0"/>
        <w:rPr>
          <w:rFonts w:hint="eastAsia"/>
          <w:lang w:eastAsia="zh-CN"/>
        </w:rPr>
      </w:pPr>
      <w:r>
        <w:rPr>
          <w:lang w:eastAsia="zh-CN"/>
        </w:rPr>
        <w:t>（</w:t>
      </w:r>
      <w:r>
        <w:rPr>
          <w:rFonts w:hint="eastAsia"/>
          <w:lang w:eastAsia="zh-CN"/>
        </w:rPr>
        <w:t>4</w:t>
      </w:r>
      <w:r>
        <w:rPr>
          <w:lang w:eastAsia="zh-CN"/>
        </w:rPr>
        <w:t>）</w:t>
      </w:r>
      <w:r>
        <w:rPr>
          <w:rFonts w:hint="eastAsia"/>
          <w:lang w:eastAsia="zh-CN"/>
        </w:rPr>
        <w:t>绩效自评合规性（3分）</w:t>
      </w:r>
      <w:r>
        <w:rPr>
          <w:lang w:eastAsia="zh-CN"/>
        </w:rPr>
        <w:t>：得分</w:t>
      </w:r>
      <w:r>
        <w:rPr>
          <w:rFonts w:hint="eastAsia"/>
          <w:lang w:eastAsia="zh-CN"/>
        </w:rPr>
        <w:t>2</w:t>
      </w:r>
      <w:r>
        <w:rPr>
          <w:lang w:eastAsia="zh-CN"/>
        </w:rPr>
        <w:t>分</w:t>
      </w:r>
    </w:p>
    <w:p w14:paraId="74422DC6">
      <w:pPr>
        <w:bidi w:val="0"/>
        <w:rPr>
          <w:rFonts w:hint="eastAsia"/>
          <w:lang w:eastAsia="zh-CN"/>
        </w:rPr>
      </w:pPr>
      <w:r>
        <w:rPr>
          <w:rFonts w:hint="eastAsia"/>
          <w:lang w:eastAsia="zh-CN"/>
        </w:rPr>
        <w:t>泉州市洛江区市场监督管理局在绩效自评方面有及时在预算一体化系统上填报绩效监控表，绩效自评表，按时开展绩效自评工作并及时撰写绩效自评报告。但是在撰写绩效自评报告方面存在一定的不足之处，例如在“四星监管所创建经费”绩效自评报告中“主要成效”一栏为空，绩效自评报告撰写不完整。未严格按照绩效自评要求执行自评工作。</w:t>
      </w:r>
      <w:r>
        <w:rPr>
          <w:lang w:eastAsia="zh-CN"/>
        </w:rPr>
        <w:t>根据评分标准，此项得</w:t>
      </w:r>
      <w:r>
        <w:rPr>
          <w:rFonts w:hint="eastAsia"/>
          <w:lang w:eastAsia="zh-CN"/>
        </w:rPr>
        <w:t>2</w:t>
      </w:r>
      <w:r>
        <w:rPr>
          <w:lang w:eastAsia="zh-CN"/>
        </w:rPr>
        <w:t>分</w:t>
      </w:r>
      <w:r>
        <w:rPr>
          <w:rFonts w:hint="eastAsia"/>
          <w:lang w:eastAsia="zh-CN"/>
        </w:rPr>
        <w:t>，扣1分。</w:t>
      </w:r>
    </w:p>
    <w:p w14:paraId="29E2EEBB">
      <w:pPr>
        <w:pStyle w:val="4"/>
        <w:bidi w:val="0"/>
        <w:rPr>
          <w:rFonts w:hint="eastAsia"/>
          <w:lang w:eastAsia="zh-CN"/>
        </w:rPr>
      </w:pPr>
      <w:bookmarkStart w:id="244" w:name="_Toc27365"/>
      <w:bookmarkStart w:id="245" w:name="_Toc181558027"/>
      <w:bookmarkStart w:id="246" w:name="_Toc14851"/>
      <w:bookmarkStart w:id="247" w:name="_Toc217363521"/>
      <w:r>
        <w:rPr>
          <w:rFonts w:hint="eastAsia"/>
          <w:lang w:eastAsia="zh-CN"/>
        </w:rPr>
        <w:t>（三）产出（总分36分，得分30分）</w:t>
      </w:r>
      <w:bookmarkEnd w:id="244"/>
      <w:bookmarkEnd w:id="245"/>
      <w:bookmarkEnd w:id="246"/>
      <w:bookmarkEnd w:id="247"/>
    </w:p>
    <w:p w14:paraId="01ED41B2">
      <w:pPr>
        <w:pStyle w:val="5"/>
        <w:bidi w:val="0"/>
        <w:rPr>
          <w:rFonts w:hint="eastAsia"/>
          <w:lang w:eastAsia="zh-CN"/>
        </w:rPr>
      </w:pPr>
      <w:bookmarkStart w:id="248" w:name="_Toc6822"/>
      <w:bookmarkStart w:id="249" w:name="_Toc217363522"/>
      <w:bookmarkStart w:id="250" w:name="_Toc181558028"/>
      <w:r>
        <w:rPr>
          <w:rFonts w:hint="eastAsia"/>
          <w:lang w:eastAsia="zh-CN"/>
        </w:rPr>
        <w:t>1.职责履行</w:t>
      </w:r>
      <w:r>
        <w:rPr>
          <w:lang w:eastAsia="zh-CN"/>
        </w:rPr>
        <w:t>（总分</w:t>
      </w:r>
      <w:r>
        <w:rPr>
          <w:rFonts w:hint="eastAsia"/>
          <w:lang w:eastAsia="zh-CN"/>
        </w:rPr>
        <w:t>6</w:t>
      </w:r>
      <w:r>
        <w:rPr>
          <w:lang w:eastAsia="zh-CN"/>
        </w:rPr>
        <w:t>分，得分</w:t>
      </w:r>
      <w:r>
        <w:rPr>
          <w:rFonts w:hint="eastAsia"/>
          <w:lang w:eastAsia="zh-CN"/>
        </w:rPr>
        <w:t>6</w:t>
      </w:r>
      <w:r>
        <w:rPr>
          <w:lang w:eastAsia="zh-CN"/>
        </w:rPr>
        <w:t>分）</w:t>
      </w:r>
      <w:bookmarkEnd w:id="248"/>
      <w:bookmarkEnd w:id="249"/>
    </w:p>
    <w:p w14:paraId="05FE0144">
      <w:pPr>
        <w:bidi w:val="0"/>
        <w:rPr>
          <w:rFonts w:hint="eastAsia"/>
          <w:lang w:eastAsia="zh-CN"/>
        </w:rPr>
      </w:pPr>
      <w:r>
        <w:rPr>
          <w:lang w:eastAsia="zh-CN"/>
        </w:rPr>
        <w:t>（1）</w:t>
      </w:r>
      <w:r>
        <w:rPr>
          <w:rFonts w:hint="eastAsia"/>
          <w:lang w:eastAsia="zh-CN"/>
        </w:rPr>
        <w:t>项目实际完成率（</w:t>
      </w:r>
      <w:r>
        <w:rPr>
          <w:lang w:eastAsia="zh-CN"/>
        </w:rPr>
        <w:t>3</w:t>
      </w:r>
      <w:r>
        <w:rPr>
          <w:rFonts w:hint="eastAsia"/>
          <w:lang w:eastAsia="zh-CN"/>
        </w:rPr>
        <w:t>分）</w:t>
      </w:r>
      <w:r>
        <w:rPr>
          <w:lang w:eastAsia="zh-CN"/>
        </w:rPr>
        <w:t>：得分</w:t>
      </w:r>
      <w:r>
        <w:rPr>
          <w:rFonts w:hint="eastAsia"/>
          <w:lang w:eastAsia="zh-CN"/>
        </w:rPr>
        <w:t>3</w:t>
      </w:r>
      <w:r>
        <w:rPr>
          <w:lang w:eastAsia="zh-CN"/>
        </w:rPr>
        <w:t>分</w:t>
      </w:r>
    </w:p>
    <w:p w14:paraId="7C8338A3">
      <w:pPr>
        <w:bidi w:val="0"/>
        <w:rPr>
          <w:rFonts w:hint="eastAsia"/>
          <w:lang w:eastAsia="zh-CN"/>
        </w:rPr>
      </w:pPr>
      <w:r>
        <w:rPr>
          <w:rFonts w:hint="eastAsia"/>
          <w:lang w:eastAsia="zh-CN"/>
        </w:rPr>
        <w:t>根据泉州市洛江区市场监督管理局提供的材料，</w:t>
      </w:r>
      <w:r>
        <w:rPr>
          <w:lang w:eastAsia="zh-CN"/>
        </w:rPr>
        <w:t>2024</w:t>
      </w:r>
      <w:r>
        <w:rPr>
          <w:rFonts w:hint="eastAsia"/>
          <w:lang w:eastAsia="zh-CN"/>
        </w:rPr>
        <w:t>年泉州市洛江区市场监督管理局专项资金等项目</w:t>
      </w:r>
      <w:r>
        <w:rPr>
          <w:lang w:eastAsia="zh-CN"/>
        </w:rPr>
        <w:t>371.8</w:t>
      </w:r>
      <w:r>
        <w:rPr>
          <w:rFonts w:hint="eastAsia"/>
          <w:lang w:eastAsia="zh-CN"/>
        </w:rPr>
        <w:t>万元，实际完成</w:t>
      </w:r>
      <w:r>
        <w:rPr>
          <w:lang w:eastAsia="zh-CN"/>
        </w:rPr>
        <w:t>371.17</w:t>
      </w:r>
      <w:r>
        <w:rPr>
          <w:rFonts w:hint="eastAsia"/>
          <w:lang w:eastAsia="zh-CN"/>
        </w:rPr>
        <w:t>万元，完成率</w:t>
      </w:r>
      <w:r>
        <w:rPr>
          <w:lang w:eastAsia="zh-CN"/>
        </w:rPr>
        <w:t>99.83%。根据评分标准，此项得</w:t>
      </w:r>
      <w:r>
        <w:rPr>
          <w:rFonts w:hint="eastAsia"/>
          <w:lang w:eastAsia="zh-CN"/>
        </w:rPr>
        <w:t>3</w:t>
      </w:r>
      <w:r>
        <w:rPr>
          <w:lang w:eastAsia="zh-CN"/>
        </w:rPr>
        <w:t>分。</w:t>
      </w:r>
    </w:p>
    <w:p w14:paraId="5120B91E">
      <w:pPr>
        <w:bidi w:val="0"/>
        <w:rPr>
          <w:rFonts w:hint="eastAsia"/>
          <w:lang w:eastAsia="zh-CN"/>
        </w:rPr>
      </w:pPr>
      <w:r>
        <w:rPr>
          <w:lang w:eastAsia="zh-CN"/>
        </w:rPr>
        <w:t>（2）</w:t>
      </w:r>
      <w:r>
        <w:rPr>
          <w:rFonts w:hint="eastAsia"/>
          <w:lang w:eastAsia="zh-CN"/>
        </w:rPr>
        <w:t>项目质量达标率（</w:t>
      </w:r>
      <w:r>
        <w:rPr>
          <w:lang w:eastAsia="zh-CN"/>
        </w:rPr>
        <w:t>3</w:t>
      </w:r>
      <w:r>
        <w:rPr>
          <w:rFonts w:hint="eastAsia"/>
          <w:lang w:eastAsia="zh-CN"/>
        </w:rPr>
        <w:t>分）</w:t>
      </w:r>
      <w:r>
        <w:rPr>
          <w:lang w:eastAsia="zh-CN"/>
        </w:rPr>
        <w:t>：得分</w:t>
      </w:r>
      <w:r>
        <w:rPr>
          <w:rFonts w:hint="eastAsia"/>
          <w:lang w:eastAsia="zh-CN"/>
        </w:rPr>
        <w:t>3</w:t>
      </w:r>
      <w:r>
        <w:rPr>
          <w:lang w:eastAsia="zh-CN"/>
        </w:rPr>
        <w:t>分</w:t>
      </w:r>
    </w:p>
    <w:p w14:paraId="6F6AA4D0">
      <w:pPr>
        <w:bidi w:val="0"/>
        <w:rPr>
          <w:rFonts w:hint="eastAsia"/>
          <w:lang w:eastAsia="zh-CN"/>
        </w:rPr>
      </w:pPr>
      <w:r>
        <w:rPr>
          <w:rFonts w:hint="eastAsia"/>
          <w:lang w:eastAsia="zh-CN"/>
        </w:rPr>
        <w:t>根据泉州市洛江区市场监督管理局提供的材料所示，</w:t>
      </w:r>
      <w:r>
        <w:rPr>
          <w:lang w:eastAsia="zh-CN"/>
        </w:rPr>
        <w:t>2024</w:t>
      </w:r>
      <w:r>
        <w:rPr>
          <w:rFonts w:hint="eastAsia"/>
          <w:lang w:eastAsia="zh-CN"/>
        </w:rPr>
        <w:t>年度泉州市洛江区市场监督管理局所开展的项目均能合格验收，项目质量符合验收标准</w:t>
      </w:r>
      <w:r>
        <w:rPr>
          <w:lang w:eastAsia="zh-CN"/>
        </w:rPr>
        <w:t>。根据评分标准，此项得</w:t>
      </w:r>
      <w:r>
        <w:rPr>
          <w:rFonts w:hint="eastAsia"/>
          <w:lang w:eastAsia="zh-CN"/>
        </w:rPr>
        <w:t>3</w:t>
      </w:r>
      <w:r>
        <w:rPr>
          <w:lang w:eastAsia="zh-CN"/>
        </w:rPr>
        <w:t>分。</w:t>
      </w:r>
    </w:p>
    <w:p w14:paraId="6941B57F">
      <w:pPr>
        <w:pStyle w:val="5"/>
        <w:bidi w:val="0"/>
        <w:rPr>
          <w:rFonts w:hint="eastAsia"/>
          <w:lang w:eastAsia="zh-CN"/>
        </w:rPr>
      </w:pPr>
      <w:bookmarkStart w:id="251" w:name="_Toc217363523"/>
      <w:bookmarkStart w:id="252" w:name="_Toc23497"/>
      <w:r>
        <w:rPr>
          <w:rFonts w:hint="eastAsia"/>
          <w:lang w:eastAsia="zh-CN"/>
        </w:rPr>
        <w:t>2.</w:t>
      </w:r>
      <w:r>
        <w:rPr>
          <w:lang w:eastAsia="zh-CN"/>
        </w:rPr>
        <w:t>产出数量（总分</w:t>
      </w:r>
      <w:r>
        <w:rPr>
          <w:rFonts w:hint="eastAsia"/>
          <w:lang w:eastAsia="zh-CN"/>
        </w:rPr>
        <w:t>18</w:t>
      </w:r>
      <w:r>
        <w:rPr>
          <w:lang w:eastAsia="zh-CN"/>
        </w:rPr>
        <w:t>分，得分</w:t>
      </w:r>
      <w:r>
        <w:rPr>
          <w:rFonts w:hint="eastAsia"/>
          <w:lang w:eastAsia="zh-CN"/>
        </w:rPr>
        <w:t>18</w:t>
      </w:r>
      <w:r>
        <w:rPr>
          <w:lang w:eastAsia="zh-CN"/>
        </w:rPr>
        <w:t>分）</w:t>
      </w:r>
      <w:bookmarkEnd w:id="250"/>
      <w:bookmarkEnd w:id="251"/>
      <w:bookmarkEnd w:id="252"/>
    </w:p>
    <w:p w14:paraId="18DCC5BF">
      <w:pPr>
        <w:bidi w:val="0"/>
        <w:rPr>
          <w:rFonts w:hint="eastAsia"/>
          <w:lang w:eastAsia="zh-CN"/>
        </w:rPr>
      </w:pPr>
      <w:r>
        <w:rPr>
          <w:lang w:eastAsia="zh-CN"/>
        </w:rPr>
        <w:t>（1）</w:t>
      </w:r>
      <w:r>
        <w:rPr>
          <w:rFonts w:hint="eastAsia"/>
          <w:lang w:eastAsia="zh-CN"/>
        </w:rPr>
        <w:t>列入经营异常名录（3分）</w:t>
      </w:r>
      <w:r>
        <w:rPr>
          <w:lang w:eastAsia="zh-CN"/>
        </w:rPr>
        <w:t>：得分</w:t>
      </w:r>
      <w:r>
        <w:rPr>
          <w:rFonts w:hint="eastAsia"/>
          <w:lang w:eastAsia="zh-CN"/>
        </w:rPr>
        <w:t>3</w:t>
      </w:r>
      <w:r>
        <w:rPr>
          <w:lang w:eastAsia="zh-CN"/>
        </w:rPr>
        <w:t>分</w:t>
      </w:r>
    </w:p>
    <w:p w14:paraId="689AE67C">
      <w:pPr>
        <w:bidi w:val="0"/>
        <w:rPr>
          <w:rFonts w:hint="eastAsia"/>
          <w:lang w:eastAsia="zh-CN"/>
        </w:rPr>
      </w:pPr>
      <w:r>
        <w:rPr>
          <w:rFonts w:hint="eastAsia"/>
          <w:lang w:eastAsia="zh-CN"/>
        </w:rPr>
        <w:t>泉州市洛江区市场监督管理局2024年度通过全面推行行政指导，不断完善包容审慎监管执法“四项清单”。在2024年度，列入经营异常名录的企业数量达到</w:t>
      </w:r>
      <w:r>
        <w:rPr>
          <w:lang w:eastAsia="zh-CN"/>
        </w:rPr>
        <w:t>1572</w:t>
      </w:r>
      <w:r>
        <w:rPr>
          <w:rFonts w:hint="eastAsia"/>
          <w:lang w:eastAsia="zh-CN"/>
        </w:rPr>
        <w:t>家，列入经营异常标注的企业数量达到</w:t>
      </w:r>
      <w:r>
        <w:rPr>
          <w:lang w:eastAsia="zh-CN"/>
        </w:rPr>
        <w:t>16390</w:t>
      </w:r>
      <w:r>
        <w:rPr>
          <w:rFonts w:hint="eastAsia"/>
          <w:lang w:eastAsia="zh-CN"/>
        </w:rPr>
        <w:t>家，移出经营异常名录的企业数量</w:t>
      </w:r>
      <w:r>
        <w:rPr>
          <w:lang w:eastAsia="zh-CN"/>
        </w:rPr>
        <w:t>510</w:t>
      </w:r>
      <w:r>
        <w:rPr>
          <w:rFonts w:hint="eastAsia"/>
          <w:lang w:eastAsia="zh-CN"/>
        </w:rPr>
        <w:t>家，移出经营异常标注的企业数量</w:t>
      </w:r>
      <w:r>
        <w:rPr>
          <w:lang w:eastAsia="zh-CN"/>
        </w:rPr>
        <w:t>7159</w:t>
      </w:r>
      <w:r>
        <w:rPr>
          <w:rFonts w:hint="eastAsia"/>
          <w:lang w:eastAsia="zh-CN"/>
        </w:rPr>
        <w:t>家</w:t>
      </w:r>
      <w:r>
        <w:rPr>
          <w:lang w:eastAsia="zh-CN"/>
        </w:rPr>
        <w:t>。根据评分标准，此项得</w:t>
      </w:r>
      <w:r>
        <w:rPr>
          <w:rFonts w:hint="eastAsia"/>
          <w:lang w:eastAsia="zh-CN"/>
        </w:rPr>
        <w:t>3</w:t>
      </w:r>
      <w:r>
        <w:rPr>
          <w:lang w:eastAsia="zh-CN"/>
        </w:rPr>
        <w:t>分。</w:t>
      </w:r>
    </w:p>
    <w:p w14:paraId="1989026F">
      <w:pPr>
        <w:bidi w:val="0"/>
        <w:rPr>
          <w:rFonts w:hint="eastAsia"/>
          <w:lang w:eastAsia="zh-CN"/>
        </w:rPr>
      </w:pPr>
      <w:r>
        <w:rPr>
          <w:lang w:eastAsia="zh-CN"/>
        </w:rPr>
        <w:t>（2）</w:t>
      </w:r>
      <w:r>
        <w:rPr>
          <w:rFonts w:hint="eastAsia"/>
          <w:lang w:eastAsia="zh-CN"/>
        </w:rPr>
        <w:t>新设市场主体登记数量（3分）</w:t>
      </w:r>
      <w:r>
        <w:rPr>
          <w:lang w:eastAsia="zh-CN"/>
        </w:rPr>
        <w:t>：得分</w:t>
      </w:r>
      <w:r>
        <w:rPr>
          <w:rFonts w:hint="eastAsia"/>
          <w:lang w:eastAsia="zh-CN"/>
        </w:rPr>
        <w:t>3</w:t>
      </w:r>
      <w:r>
        <w:rPr>
          <w:lang w:eastAsia="zh-CN"/>
        </w:rPr>
        <w:t>分</w:t>
      </w:r>
    </w:p>
    <w:p w14:paraId="382F1891">
      <w:pPr>
        <w:bidi w:val="0"/>
        <w:rPr>
          <w:rFonts w:hint="eastAsia"/>
          <w:lang w:eastAsia="zh-CN"/>
        </w:rPr>
      </w:pPr>
      <w:r>
        <w:rPr>
          <w:rFonts w:hint="eastAsia"/>
          <w:lang w:eastAsia="zh-CN"/>
        </w:rPr>
        <w:t>泉州市洛江区市场监督管理局2024年度在泉州市洛江区共计新设市场主体登记</w:t>
      </w:r>
      <w:r>
        <w:rPr>
          <w:lang w:eastAsia="zh-CN"/>
        </w:rPr>
        <w:t>5898</w:t>
      </w:r>
      <w:r>
        <w:rPr>
          <w:rFonts w:hint="eastAsia"/>
          <w:lang w:eastAsia="zh-CN"/>
        </w:rPr>
        <w:t>家，全区市场主体总量增至</w:t>
      </w:r>
      <w:r>
        <w:rPr>
          <w:lang w:eastAsia="zh-CN"/>
        </w:rPr>
        <w:t>81396</w:t>
      </w:r>
      <w:r>
        <w:rPr>
          <w:rFonts w:hint="eastAsia"/>
          <w:lang w:eastAsia="zh-CN"/>
        </w:rPr>
        <w:t>家，企业</w:t>
      </w:r>
      <w:r>
        <w:rPr>
          <w:lang w:eastAsia="zh-CN"/>
        </w:rPr>
        <w:t>15111</w:t>
      </w:r>
      <w:r>
        <w:rPr>
          <w:rFonts w:hint="eastAsia"/>
          <w:lang w:eastAsia="zh-CN"/>
        </w:rPr>
        <w:t>家，个体工商户</w:t>
      </w:r>
      <w:r>
        <w:rPr>
          <w:lang w:eastAsia="zh-CN"/>
        </w:rPr>
        <w:t>66285</w:t>
      </w:r>
      <w:r>
        <w:rPr>
          <w:rFonts w:hint="eastAsia"/>
          <w:lang w:eastAsia="zh-CN"/>
        </w:rPr>
        <w:t>户</w:t>
      </w:r>
      <w:r>
        <w:rPr>
          <w:lang w:eastAsia="zh-CN"/>
        </w:rPr>
        <w:t>。根据评分标准，此项得</w:t>
      </w:r>
      <w:r>
        <w:rPr>
          <w:rFonts w:hint="eastAsia"/>
          <w:lang w:eastAsia="zh-CN"/>
        </w:rPr>
        <w:t>3</w:t>
      </w:r>
      <w:r>
        <w:rPr>
          <w:lang w:eastAsia="zh-CN"/>
        </w:rPr>
        <w:t>分。</w:t>
      </w:r>
    </w:p>
    <w:p w14:paraId="01CE4E04">
      <w:pPr>
        <w:bidi w:val="0"/>
        <w:rPr>
          <w:rFonts w:hint="eastAsia"/>
          <w:lang w:eastAsia="zh-CN"/>
        </w:rPr>
      </w:pPr>
      <w:r>
        <w:rPr>
          <w:lang w:eastAsia="zh-CN"/>
        </w:rPr>
        <w:t>（3）</w:t>
      </w:r>
      <w:r>
        <w:rPr>
          <w:rFonts w:hint="eastAsia"/>
          <w:lang w:eastAsia="zh-CN"/>
        </w:rPr>
        <w:t>工业产品抽检批次（3分）</w:t>
      </w:r>
      <w:r>
        <w:rPr>
          <w:lang w:eastAsia="zh-CN"/>
        </w:rPr>
        <w:t>：得分</w:t>
      </w:r>
      <w:r>
        <w:rPr>
          <w:rFonts w:hint="eastAsia"/>
          <w:lang w:eastAsia="zh-CN"/>
        </w:rPr>
        <w:t>3</w:t>
      </w:r>
      <w:r>
        <w:rPr>
          <w:lang w:eastAsia="zh-CN"/>
        </w:rPr>
        <w:t>分</w:t>
      </w:r>
    </w:p>
    <w:p w14:paraId="6293B309">
      <w:pPr>
        <w:bidi w:val="0"/>
        <w:rPr>
          <w:rFonts w:hint="eastAsia"/>
          <w:lang w:eastAsia="zh-CN"/>
        </w:rPr>
      </w:pPr>
      <w:r>
        <w:rPr>
          <w:rFonts w:hint="eastAsia"/>
          <w:lang w:eastAsia="zh-CN"/>
        </w:rPr>
        <w:t>泉州市洛江区市场监督管理局2024年度通过开展深化质量提升行动。对全区流通、生产领域工业产品质量安全进行监督抽查</w:t>
      </w:r>
      <w:r>
        <w:rPr>
          <w:lang w:eastAsia="zh-CN"/>
        </w:rPr>
        <w:t>130</w:t>
      </w:r>
      <w:r>
        <w:rPr>
          <w:rFonts w:hint="eastAsia"/>
          <w:lang w:eastAsia="zh-CN"/>
        </w:rPr>
        <w:t>批次</w:t>
      </w:r>
      <w:r>
        <w:rPr>
          <w:lang w:eastAsia="zh-CN"/>
        </w:rPr>
        <w:t>。根据评分标准，此项得</w:t>
      </w:r>
      <w:r>
        <w:rPr>
          <w:rFonts w:hint="eastAsia"/>
          <w:lang w:eastAsia="zh-CN"/>
        </w:rPr>
        <w:t>3</w:t>
      </w:r>
      <w:r>
        <w:rPr>
          <w:lang w:eastAsia="zh-CN"/>
        </w:rPr>
        <w:t>分。</w:t>
      </w:r>
    </w:p>
    <w:p w14:paraId="57485A54">
      <w:pPr>
        <w:bidi w:val="0"/>
        <w:rPr>
          <w:rFonts w:hint="eastAsia"/>
          <w:lang w:eastAsia="zh-CN"/>
        </w:rPr>
      </w:pPr>
      <w:r>
        <w:rPr>
          <w:lang w:eastAsia="zh-CN"/>
        </w:rPr>
        <w:t>（4）</w:t>
      </w:r>
      <w:r>
        <w:rPr>
          <w:rFonts w:hint="eastAsia"/>
          <w:lang w:eastAsia="zh-CN"/>
        </w:rPr>
        <w:t>走访调研卫生用品企业数量（3分）</w:t>
      </w:r>
      <w:r>
        <w:rPr>
          <w:lang w:eastAsia="zh-CN"/>
        </w:rPr>
        <w:t>：得分</w:t>
      </w:r>
      <w:r>
        <w:rPr>
          <w:rFonts w:hint="eastAsia"/>
          <w:lang w:eastAsia="zh-CN"/>
        </w:rPr>
        <w:t>3</w:t>
      </w:r>
      <w:r>
        <w:rPr>
          <w:lang w:eastAsia="zh-CN"/>
        </w:rPr>
        <w:t>分</w:t>
      </w:r>
    </w:p>
    <w:p w14:paraId="0DBE353D">
      <w:pPr>
        <w:bidi w:val="0"/>
        <w:rPr>
          <w:rFonts w:hint="eastAsia"/>
          <w:lang w:eastAsia="zh-CN"/>
        </w:rPr>
      </w:pPr>
      <w:r>
        <w:rPr>
          <w:rFonts w:hint="eastAsia"/>
          <w:lang w:eastAsia="zh-CN"/>
        </w:rPr>
        <w:t>泉州市洛江区市场监督管理局2024年度通过开展纸类卫生用品行业质量赋能，实地走访调研辖区</w:t>
      </w:r>
      <w:r>
        <w:rPr>
          <w:lang w:eastAsia="zh-CN"/>
        </w:rPr>
        <w:t>28</w:t>
      </w:r>
      <w:r>
        <w:rPr>
          <w:rFonts w:hint="eastAsia"/>
          <w:lang w:eastAsia="zh-CN"/>
        </w:rPr>
        <w:t>家纸类卫生用品生产企业。组织赋能机构为链主企业提供原材料监测、终端产品检测等一系列质量把控服务，及时预警整改，保证出厂产品的质量安全</w:t>
      </w:r>
      <w:r>
        <w:rPr>
          <w:lang w:eastAsia="zh-CN"/>
        </w:rPr>
        <w:t>。根据评分标准，此项得</w:t>
      </w:r>
      <w:r>
        <w:rPr>
          <w:rFonts w:hint="eastAsia"/>
          <w:lang w:eastAsia="zh-CN"/>
        </w:rPr>
        <w:t>3</w:t>
      </w:r>
      <w:r>
        <w:rPr>
          <w:lang w:eastAsia="zh-CN"/>
        </w:rPr>
        <w:t>分。</w:t>
      </w:r>
    </w:p>
    <w:p w14:paraId="550D2E24">
      <w:pPr>
        <w:bidi w:val="0"/>
        <w:rPr>
          <w:rFonts w:hint="eastAsia"/>
          <w:lang w:eastAsia="zh-CN"/>
        </w:rPr>
      </w:pPr>
      <w:r>
        <w:rPr>
          <w:lang w:eastAsia="zh-CN"/>
        </w:rPr>
        <w:t>（5）</w:t>
      </w:r>
      <w:r>
        <w:rPr>
          <w:rFonts w:hint="eastAsia"/>
          <w:lang w:eastAsia="zh-CN"/>
        </w:rPr>
        <w:t>新增专利授权数量（3分）</w:t>
      </w:r>
      <w:r>
        <w:rPr>
          <w:lang w:eastAsia="zh-CN"/>
        </w:rPr>
        <w:t>：得</w:t>
      </w:r>
      <w:r>
        <w:rPr>
          <w:rFonts w:hint="eastAsia"/>
          <w:lang w:eastAsia="zh-CN"/>
        </w:rPr>
        <w:t>3</w:t>
      </w:r>
      <w:r>
        <w:rPr>
          <w:lang w:eastAsia="zh-CN"/>
        </w:rPr>
        <w:t>分</w:t>
      </w:r>
    </w:p>
    <w:p w14:paraId="75AFF1C4">
      <w:pPr>
        <w:bidi w:val="0"/>
        <w:rPr>
          <w:rFonts w:hint="eastAsia"/>
          <w:lang w:eastAsia="zh-CN"/>
        </w:rPr>
      </w:pPr>
      <w:r>
        <w:rPr>
          <w:rFonts w:hint="eastAsia"/>
          <w:lang w:eastAsia="zh-CN"/>
        </w:rPr>
        <w:t>泉州市洛江区市场监督管理局在</w:t>
      </w:r>
      <w:r>
        <w:rPr>
          <w:lang w:eastAsia="zh-CN"/>
        </w:rPr>
        <w:t>2024</w:t>
      </w:r>
      <w:r>
        <w:rPr>
          <w:rFonts w:hint="eastAsia"/>
          <w:lang w:eastAsia="zh-CN"/>
        </w:rPr>
        <w:t>年度全区共计新增专利授权</w:t>
      </w:r>
      <w:r>
        <w:rPr>
          <w:lang w:eastAsia="zh-CN"/>
        </w:rPr>
        <w:t>1084</w:t>
      </w:r>
      <w:r>
        <w:rPr>
          <w:rFonts w:hint="eastAsia"/>
          <w:lang w:eastAsia="zh-CN"/>
        </w:rPr>
        <w:t>件，其中发明专利</w:t>
      </w:r>
      <w:r>
        <w:rPr>
          <w:lang w:eastAsia="zh-CN"/>
        </w:rPr>
        <w:t>181</w:t>
      </w:r>
      <w:r>
        <w:rPr>
          <w:rFonts w:hint="eastAsia"/>
          <w:lang w:eastAsia="zh-CN"/>
        </w:rPr>
        <w:t>件，同比增长</w:t>
      </w:r>
      <w:r>
        <w:rPr>
          <w:lang w:eastAsia="zh-CN"/>
        </w:rPr>
        <w:t>94.62%</w:t>
      </w:r>
      <w:r>
        <w:rPr>
          <w:rFonts w:hint="eastAsia"/>
          <w:lang w:eastAsia="zh-CN"/>
        </w:rPr>
        <w:t>；实用新型专利</w:t>
      </w:r>
      <w:r>
        <w:rPr>
          <w:lang w:eastAsia="zh-CN"/>
        </w:rPr>
        <w:t>699</w:t>
      </w:r>
      <w:r>
        <w:rPr>
          <w:rFonts w:hint="eastAsia"/>
          <w:lang w:eastAsia="zh-CN"/>
        </w:rPr>
        <w:t>件；外观专利</w:t>
      </w:r>
      <w:r>
        <w:rPr>
          <w:lang w:eastAsia="zh-CN"/>
        </w:rPr>
        <w:t>204</w:t>
      </w:r>
      <w:r>
        <w:rPr>
          <w:rFonts w:hint="eastAsia"/>
          <w:lang w:eastAsia="zh-CN"/>
        </w:rPr>
        <w:t>件。</w:t>
      </w:r>
      <w:r>
        <w:rPr>
          <w:lang w:eastAsia="zh-CN"/>
        </w:rPr>
        <w:t>根据评分标准，此项得</w:t>
      </w:r>
      <w:r>
        <w:rPr>
          <w:rFonts w:hint="eastAsia"/>
          <w:lang w:eastAsia="zh-CN"/>
        </w:rPr>
        <w:t>3</w:t>
      </w:r>
      <w:r>
        <w:rPr>
          <w:lang w:eastAsia="zh-CN"/>
        </w:rPr>
        <w:t>分。</w:t>
      </w:r>
    </w:p>
    <w:p w14:paraId="79DAF279">
      <w:pPr>
        <w:bidi w:val="0"/>
        <w:rPr>
          <w:rFonts w:hint="eastAsia"/>
          <w:lang w:eastAsia="zh-CN"/>
        </w:rPr>
      </w:pPr>
      <w:r>
        <w:rPr>
          <w:lang w:eastAsia="zh-CN"/>
        </w:rPr>
        <w:t>（6）</w:t>
      </w:r>
      <w:r>
        <w:rPr>
          <w:rFonts w:hint="eastAsia"/>
          <w:lang w:eastAsia="zh-CN"/>
        </w:rPr>
        <w:t>新增注册商标数量（3分）</w:t>
      </w:r>
      <w:r>
        <w:rPr>
          <w:lang w:eastAsia="zh-CN"/>
        </w:rPr>
        <w:t>：得分</w:t>
      </w:r>
      <w:r>
        <w:rPr>
          <w:rFonts w:hint="eastAsia"/>
          <w:lang w:eastAsia="zh-CN"/>
        </w:rPr>
        <w:t>3</w:t>
      </w:r>
      <w:r>
        <w:rPr>
          <w:lang w:eastAsia="zh-CN"/>
        </w:rPr>
        <w:t>分</w:t>
      </w:r>
    </w:p>
    <w:p w14:paraId="5F94F8FA">
      <w:pPr>
        <w:bidi w:val="0"/>
        <w:rPr>
          <w:rFonts w:hint="eastAsia"/>
          <w:lang w:eastAsia="zh-CN"/>
        </w:rPr>
      </w:pPr>
      <w:r>
        <w:rPr>
          <w:rFonts w:hint="eastAsia"/>
          <w:lang w:eastAsia="zh-CN"/>
        </w:rPr>
        <w:t>泉州市洛江区市场监督管理局2024年度新增注册商标</w:t>
      </w:r>
      <w:r>
        <w:rPr>
          <w:lang w:eastAsia="zh-CN"/>
        </w:rPr>
        <w:t>1760</w:t>
      </w:r>
      <w:r>
        <w:rPr>
          <w:rFonts w:hint="eastAsia"/>
          <w:lang w:eastAsia="zh-CN"/>
        </w:rPr>
        <w:t>件；有效商标注册总数量</w:t>
      </w:r>
      <w:r>
        <w:rPr>
          <w:lang w:eastAsia="zh-CN"/>
        </w:rPr>
        <w:t>26751</w:t>
      </w:r>
      <w:r>
        <w:rPr>
          <w:rFonts w:hint="eastAsia"/>
          <w:lang w:eastAsia="zh-CN"/>
        </w:rPr>
        <w:t>件，较上年同期增长</w:t>
      </w:r>
      <w:r>
        <w:rPr>
          <w:lang w:eastAsia="zh-CN"/>
        </w:rPr>
        <w:t>7.87%</w:t>
      </w:r>
      <w:r>
        <w:rPr>
          <w:rFonts w:hint="eastAsia"/>
          <w:lang w:eastAsia="zh-CN"/>
        </w:rPr>
        <w:t>。拥有中国驰名商标</w:t>
      </w:r>
      <w:r>
        <w:rPr>
          <w:lang w:eastAsia="zh-CN"/>
        </w:rPr>
        <w:t>6</w:t>
      </w:r>
      <w:r>
        <w:rPr>
          <w:rFonts w:hint="eastAsia"/>
          <w:lang w:eastAsia="zh-CN"/>
        </w:rPr>
        <w:t>件</w:t>
      </w:r>
      <w:r>
        <w:rPr>
          <w:lang w:eastAsia="zh-CN"/>
        </w:rPr>
        <w:t>。根据评分标准，此项得</w:t>
      </w:r>
      <w:r>
        <w:rPr>
          <w:rFonts w:hint="eastAsia"/>
          <w:lang w:eastAsia="zh-CN"/>
        </w:rPr>
        <w:t>3</w:t>
      </w:r>
      <w:r>
        <w:rPr>
          <w:lang w:eastAsia="zh-CN"/>
        </w:rPr>
        <w:t>分。</w:t>
      </w:r>
    </w:p>
    <w:p w14:paraId="712073BF">
      <w:pPr>
        <w:pStyle w:val="5"/>
        <w:bidi w:val="0"/>
        <w:rPr>
          <w:rFonts w:hint="eastAsia"/>
          <w:lang w:eastAsia="zh-CN"/>
        </w:rPr>
      </w:pPr>
      <w:bookmarkStart w:id="253" w:name="_Toc181558029"/>
      <w:bookmarkStart w:id="254" w:name="_Toc15985"/>
      <w:bookmarkStart w:id="255" w:name="_Toc217363524"/>
      <w:r>
        <w:rPr>
          <w:rFonts w:hint="eastAsia"/>
          <w:lang w:eastAsia="zh-CN"/>
        </w:rPr>
        <w:t>3.</w:t>
      </w:r>
      <w:r>
        <w:rPr>
          <w:lang w:eastAsia="zh-CN"/>
        </w:rPr>
        <w:t>产出质量（总分</w:t>
      </w:r>
      <w:r>
        <w:rPr>
          <w:rFonts w:hint="eastAsia"/>
          <w:lang w:eastAsia="zh-CN"/>
        </w:rPr>
        <w:t>12</w:t>
      </w:r>
      <w:r>
        <w:rPr>
          <w:lang w:eastAsia="zh-CN"/>
        </w:rPr>
        <w:t>分，得分</w:t>
      </w:r>
      <w:r>
        <w:rPr>
          <w:rFonts w:hint="eastAsia"/>
          <w:lang w:eastAsia="zh-CN"/>
        </w:rPr>
        <w:t>6</w:t>
      </w:r>
      <w:r>
        <w:rPr>
          <w:lang w:eastAsia="zh-CN"/>
        </w:rPr>
        <w:t>分）</w:t>
      </w:r>
      <w:bookmarkEnd w:id="253"/>
      <w:bookmarkEnd w:id="254"/>
      <w:bookmarkEnd w:id="255"/>
    </w:p>
    <w:p w14:paraId="050559EE">
      <w:pPr>
        <w:bidi w:val="0"/>
        <w:rPr>
          <w:rFonts w:hint="eastAsia"/>
          <w:lang w:eastAsia="zh-CN"/>
        </w:rPr>
      </w:pPr>
      <w:r>
        <w:rPr>
          <w:lang w:eastAsia="zh-CN"/>
        </w:rPr>
        <w:t>（1）</w:t>
      </w:r>
      <w:r>
        <w:rPr>
          <w:rFonts w:hint="eastAsia"/>
          <w:lang w:eastAsia="zh-CN"/>
        </w:rPr>
        <w:t>食品安全监管情况（</w:t>
      </w:r>
      <w:r>
        <w:rPr>
          <w:lang w:eastAsia="zh-CN"/>
        </w:rPr>
        <w:t>3</w:t>
      </w:r>
      <w:r>
        <w:rPr>
          <w:rFonts w:hint="eastAsia"/>
          <w:lang w:eastAsia="zh-CN"/>
        </w:rPr>
        <w:t>分）</w:t>
      </w:r>
      <w:r>
        <w:rPr>
          <w:lang w:eastAsia="zh-CN"/>
        </w:rPr>
        <w:t>：得分</w:t>
      </w:r>
      <w:r>
        <w:rPr>
          <w:rFonts w:hint="eastAsia"/>
          <w:lang w:eastAsia="zh-CN"/>
        </w:rPr>
        <w:t>2</w:t>
      </w:r>
      <w:r>
        <w:rPr>
          <w:lang w:eastAsia="zh-CN"/>
        </w:rPr>
        <w:t>分</w:t>
      </w:r>
    </w:p>
    <w:p w14:paraId="3957B689">
      <w:pPr>
        <w:bidi w:val="0"/>
        <w:rPr>
          <w:rFonts w:hint="eastAsia"/>
          <w:lang w:eastAsia="zh-CN"/>
        </w:rPr>
      </w:pPr>
      <w:r>
        <w:rPr>
          <w:rFonts w:hint="eastAsia"/>
          <w:lang w:eastAsia="zh-CN"/>
        </w:rPr>
        <w:t>泉州市洛江区市场监督管理局2024年度在食品安全监管方面整体较好，但也存在部分不足。例如在食品添加剂违规使用、标签标识不规范等检查方面执法人员未能全面检查。对农村食品、小作坊产品抽检覆盖率有待提高。对食品安全违法行为处罚力度不够，部分商户整改成效不足</w:t>
      </w:r>
      <w:r>
        <w:rPr>
          <w:lang w:eastAsia="zh-CN"/>
        </w:rPr>
        <w:t>。根据评分标准，此项得</w:t>
      </w:r>
      <w:r>
        <w:rPr>
          <w:rFonts w:hint="eastAsia"/>
          <w:lang w:eastAsia="zh-CN"/>
        </w:rPr>
        <w:t>2</w:t>
      </w:r>
      <w:r>
        <w:rPr>
          <w:lang w:eastAsia="zh-CN"/>
        </w:rPr>
        <w:t>分</w:t>
      </w:r>
      <w:r>
        <w:rPr>
          <w:rFonts w:hint="eastAsia"/>
          <w:lang w:eastAsia="zh-CN"/>
        </w:rPr>
        <w:t>，扣1分</w:t>
      </w:r>
      <w:r>
        <w:rPr>
          <w:lang w:eastAsia="zh-CN"/>
        </w:rPr>
        <w:t>。</w:t>
      </w:r>
    </w:p>
    <w:p w14:paraId="75026CA6">
      <w:pPr>
        <w:bidi w:val="0"/>
        <w:rPr>
          <w:rFonts w:hint="eastAsia"/>
          <w:lang w:eastAsia="zh-CN"/>
        </w:rPr>
      </w:pPr>
      <w:r>
        <w:rPr>
          <w:lang w:eastAsia="zh-CN"/>
        </w:rPr>
        <w:t>（</w:t>
      </w:r>
      <w:r>
        <w:rPr>
          <w:rFonts w:hint="eastAsia"/>
          <w:lang w:eastAsia="zh-CN"/>
        </w:rPr>
        <w:t>2</w:t>
      </w:r>
      <w:r>
        <w:rPr>
          <w:lang w:eastAsia="zh-CN"/>
        </w:rPr>
        <w:t>）</w:t>
      </w:r>
      <w:r>
        <w:rPr>
          <w:rFonts w:hint="eastAsia"/>
          <w:lang w:eastAsia="zh-CN"/>
        </w:rPr>
        <w:t>执法人员专业素养（</w:t>
      </w:r>
      <w:r>
        <w:rPr>
          <w:lang w:eastAsia="zh-CN"/>
        </w:rPr>
        <w:t>3</w:t>
      </w:r>
      <w:r>
        <w:rPr>
          <w:rFonts w:hint="eastAsia"/>
          <w:lang w:eastAsia="zh-CN"/>
        </w:rPr>
        <w:t>分）</w:t>
      </w:r>
      <w:r>
        <w:rPr>
          <w:lang w:eastAsia="zh-CN"/>
        </w:rPr>
        <w:t>：得分</w:t>
      </w:r>
      <w:r>
        <w:rPr>
          <w:rFonts w:hint="eastAsia"/>
          <w:lang w:eastAsia="zh-CN"/>
        </w:rPr>
        <w:t>2</w:t>
      </w:r>
      <w:r>
        <w:rPr>
          <w:lang w:eastAsia="zh-CN"/>
        </w:rPr>
        <w:t>分</w:t>
      </w:r>
    </w:p>
    <w:p w14:paraId="790F160F">
      <w:pPr>
        <w:bidi w:val="0"/>
        <w:rPr>
          <w:rFonts w:hint="eastAsia"/>
          <w:lang w:eastAsia="zh-CN"/>
        </w:rPr>
      </w:pPr>
      <w:r>
        <w:rPr>
          <w:rFonts w:hint="eastAsia"/>
          <w:lang w:eastAsia="zh-CN"/>
        </w:rPr>
        <w:t>泉州市洛江区市场监督管理局在执法人员的专业素养方面整体较好，但也存在一点不足。例如在进行食品安全执法过程中，执法人员在对食品小作坊排查时存在无法排查出食品安全风险的问题。在工业产品检查方面存在工业产品行业质量标准更新快，相应的法规更新快，导致执法人员知识更新跟不上节奏的情况。需要对执法人员的专业能力加大培训力度</w:t>
      </w:r>
      <w:r>
        <w:rPr>
          <w:lang w:eastAsia="zh-CN"/>
        </w:rPr>
        <w:t>。根据评分标准</w:t>
      </w:r>
      <w:r>
        <w:rPr>
          <w:rFonts w:hint="eastAsia"/>
          <w:lang w:eastAsia="zh-CN"/>
        </w:rPr>
        <w:t>，此项</w:t>
      </w:r>
      <w:r>
        <w:rPr>
          <w:lang w:eastAsia="zh-CN"/>
        </w:rPr>
        <w:t>得</w:t>
      </w:r>
      <w:r>
        <w:rPr>
          <w:rFonts w:hint="eastAsia"/>
          <w:lang w:eastAsia="zh-CN"/>
        </w:rPr>
        <w:t>2</w:t>
      </w:r>
      <w:r>
        <w:rPr>
          <w:lang w:eastAsia="zh-CN"/>
        </w:rPr>
        <w:t>分</w:t>
      </w:r>
      <w:r>
        <w:rPr>
          <w:rFonts w:hint="eastAsia"/>
          <w:lang w:eastAsia="zh-CN"/>
        </w:rPr>
        <w:t>，扣1分</w:t>
      </w:r>
      <w:r>
        <w:rPr>
          <w:lang w:eastAsia="zh-CN"/>
        </w:rPr>
        <w:t>。</w:t>
      </w:r>
    </w:p>
    <w:p w14:paraId="52CE4418">
      <w:pPr>
        <w:bidi w:val="0"/>
        <w:rPr>
          <w:rFonts w:hint="eastAsia"/>
          <w:lang w:eastAsia="zh-CN"/>
        </w:rPr>
      </w:pPr>
      <w:r>
        <w:rPr>
          <w:lang w:eastAsia="zh-CN"/>
        </w:rPr>
        <w:t>（</w:t>
      </w:r>
      <w:r>
        <w:rPr>
          <w:rFonts w:hint="eastAsia"/>
          <w:lang w:eastAsia="zh-CN"/>
        </w:rPr>
        <w:t>3</w:t>
      </w:r>
      <w:r>
        <w:rPr>
          <w:lang w:eastAsia="zh-CN"/>
        </w:rPr>
        <w:t>）</w:t>
      </w:r>
      <w:r>
        <w:rPr>
          <w:rFonts w:hint="eastAsia"/>
          <w:lang w:eastAsia="zh-CN"/>
        </w:rPr>
        <w:t>打击广告市场力度（3分）</w:t>
      </w:r>
      <w:r>
        <w:rPr>
          <w:lang w:eastAsia="zh-CN"/>
        </w:rPr>
        <w:t>：得分</w:t>
      </w:r>
      <w:r>
        <w:rPr>
          <w:rFonts w:hint="eastAsia"/>
          <w:lang w:eastAsia="zh-CN"/>
        </w:rPr>
        <w:t>1</w:t>
      </w:r>
      <w:r>
        <w:rPr>
          <w:lang w:eastAsia="zh-CN"/>
        </w:rPr>
        <w:t>分</w:t>
      </w:r>
    </w:p>
    <w:p w14:paraId="4E17364B">
      <w:pPr>
        <w:bidi w:val="0"/>
        <w:rPr>
          <w:rFonts w:hint="eastAsia"/>
          <w:lang w:eastAsia="zh-CN"/>
        </w:rPr>
      </w:pPr>
      <w:r>
        <w:rPr>
          <w:rFonts w:hint="eastAsia"/>
          <w:lang w:eastAsia="zh-CN"/>
        </w:rPr>
        <w:t>泉州市洛江区市场监督管理局在2024年度在打击广告市场力度方面有待加强。在</w:t>
      </w:r>
      <w:r>
        <w:rPr>
          <w:lang w:eastAsia="zh-CN"/>
        </w:rPr>
        <w:t>2024</w:t>
      </w:r>
      <w:r>
        <w:rPr>
          <w:rFonts w:hint="eastAsia"/>
          <w:lang w:eastAsia="zh-CN"/>
        </w:rPr>
        <w:t>年度广告案件立案</w:t>
      </w:r>
      <w:r>
        <w:rPr>
          <w:lang w:eastAsia="zh-CN"/>
        </w:rPr>
        <w:t>72</w:t>
      </w:r>
      <w:r>
        <w:rPr>
          <w:rFonts w:hint="eastAsia"/>
          <w:lang w:eastAsia="zh-CN"/>
        </w:rPr>
        <w:t>件，结案</w:t>
      </w:r>
      <w:r>
        <w:rPr>
          <w:lang w:eastAsia="zh-CN"/>
        </w:rPr>
        <w:t>69</w:t>
      </w:r>
      <w:r>
        <w:rPr>
          <w:rFonts w:hint="eastAsia"/>
          <w:lang w:eastAsia="zh-CN"/>
        </w:rPr>
        <w:t>件，罚没款仅</w:t>
      </w:r>
      <w:r>
        <w:rPr>
          <w:lang w:eastAsia="zh-CN"/>
        </w:rPr>
        <w:t>5.97</w:t>
      </w:r>
      <w:r>
        <w:rPr>
          <w:rFonts w:hint="eastAsia"/>
          <w:lang w:eastAsia="zh-CN"/>
        </w:rPr>
        <w:t>万元，平均每案罚款约</w:t>
      </w:r>
      <w:r>
        <w:rPr>
          <w:lang w:eastAsia="zh-CN"/>
        </w:rPr>
        <w:t>865</w:t>
      </w:r>
      <w:r>
        <w:rPr>
          <w:rFonts w:hint="eastAsia"/>
          <w:lang w:eastAsia="zh-CN"/>
        </w:rPr>
        <w:t>元，处罚力度相对偏低</w:t>
      </w:r>
      <w:r>
        <w:rPr>
          <w:lang w:eastAsia="zh-CN"/>
        </w:rPr>
        <w:t>。根据评分标准</w:t>
      </w:r>
      <w:r>
        <w:rPr>
          <w:rFonts w:hint="eastAsia"/>
          <w:lang w:eastAsia="zh-CN"/>
        </w:rPr>
        <w:t>，</w:t>
      </w:r>
      <w:r>
        <w:rPr>
          <w:lang w:eastAsia="zh-CN"/>
        </w:rPr>
        <w:t>此项得</w:t>
      </w:r>
      <w:r>
        <w:rPr>
          <w:rFonts w:hint="eastAsia"/>
          <w:lang w:eastAsia="zh-CN"/>
        </w:rPr>
        <w:t>1</w:t>
      </w:r>
      <w:r>
        <w:rPr>
          <w:lang w:eastAsia="zh-CN"/>
        </w:rPr>
        <w:t>分</w:t>
      </w:r>
      <w:r>
        <w:rPr>
          <w:rFonts w:hint="eastAsia"/>
          <w:lang w:eastAsia="zh-CN"/>
        </w:rPr>
        <w:t>，扣2分</w:t>
      </w:r>
      <w:r>
        <w:rPr>
          <w:lang w:eastAsia="zh-CN"/>
        </w:rPr>
        <w:t>。</w:t>
      </w:r>
    </w:p>
    <w:p w14:paraId="6B8AB276">
      <w:pPr>
        <w:bidi w:val="0"/>
        <w:rPr>
          <w:rFonts w:hint="eastAsia"/>
          <w:lang w:eastAsia="zh-CN"/>
        </w:rPr>
      </w:pPr>
      <w:r>
        <w:rPr>
          <w:lang w:eastAsia="zh-CN"/>
        </w:rPr>
        <w:t>（</w:t>
      </w:r>
      <w:r>
        <w:rPr>
          <w:rFonts w:hint="eastAsia"/>
          <w:lang w:eastAsia="zh-CN"/>
        </w:rPr>
        <w:t>4</w:t>
      </w:r>
      <w:r>
        <w:rPr>
          <w:lang w:eastAsia="zh-CN"/>
        </w:rPr>
        <w:t>）2024</w:t>
      </w:r>
      <w:r>
        <w:rPr>
          <w:rFonts w:hint="eastAsia"/>
          <w:lang w:eastAsia="zh-CN"/>
        </w:rPr>
        <w:t>年度单位绩效考评结果（</w:t>
      </w:r>
      <w:r>
        <w:rPr>
          <w:lang w:eastAsia="zh-CN"/>
        </w:rPr>
        <w:t>3</w:t>
      </w:r>
      <w:r>
        <w:rPr>
          <w:rFonts w:hint="eastAsia"/>
          <w:lang w:eastAsia="zh-CN"/>
        </w:rPr>
        <w:t>分）</w:t>
      </w:r>
      <w:r>
        <w:rPr>
          <w:lang w:eastAsia="zh-CN"/>
        </w:rPr>
        <w:t>：得分</w:t>
      </w:r>
      <w:r>
        <w:rPr>
          <w:rFonts w:hint="eastAsia"/>
          <w:lang w:eastAsia="zh-CN"/>
        </w:rPr>
        <w:t>1</w:t>
      </w:r>
      <w:r>
        <w:rPr>
          <w:lang w:eastAsia="zh-CN"/>
        </w:rPr>
        <w:t>分</w:t>
      </w:r>
    </w:p>
    <w:p w14:paraId="42ED4331">
      <w:pPr>
        <w:bidi w:val="0"/>
        <w:rPr>
          <w:rFonts w:hint="eastAsia"/>
          <w:lang w:eastAsia="zh-CN"/>
        </w:rPr>
      </w:pPr>
      <w:r>
        <w:rPr>
          <w:rFonts w:hint="eastAsia"/>
          <w:lang w:eastAsia="zh-CN"/>
        </w:rPr>
        <w:t>洛江区机关效能建设领导工作组关于</w:t>
      </w:r>
      <w:r>
        <w:rPr>
          <w:lang w:eastAsia="zh-CN"/>
        </w:rPr>
        <w:t>2024</w:t>
      </w:r>
      <w:r>
        <w:rPr>
          <w:rFonts w:hint="eastAsia"/>
          <w:lang w:eastAsia="zh-CN"/>
        </w:rPr>
        <w:t>年度市直单位绩效考评情况的通报，泉州市洛江区市场监督管理局在2024年度绩效考评成绩为“一般”。</w:t>
      </w:r>
      <w:r>
        <w:rPr>
          <w:lang w:eastAsia="zh-CN"/>
        </w:rPr>
        <w:t>根据评分标准</w:t>
      </w:r>
      <w:r>
        <w:rPr>
          <w:rFonts w:hint="eastAsia"/>
          <w:lang w:eastAsia="zh-CN"/>
        </w:rPr>
        <w:t>，</w:t>
      </w:r>
      <w:r>
        <w:rPr>
          <w:lang w:eastAsia="zh-CN"/>
        </w:rPr>
        <w:t>此项得</w:t>
      </w:r>
      <w:r>
        <w:rPr>
          <w:rFonts w:hint="eastAsia"/>
          <w:lang w:eastAsia="zh-CN"/>
        </w:rPr>
        <w:t>1</w:t>
      </w:r>
      <w:r>
        <w:rPr>
          <w:lang w:eastAsia="zh-CN"/>
        </w:rPr>
        <w:t>分</w:t>
      </w:r>
      <w:r>
        <w:rPr>
          <w:rFonts w:hint="eastAsia"/>
          <w:lang w:eastAsia="zh-CN"/>
        </w:rPr>
        <w:t>，扣2分</w:t>
      </w:r>
      <w:r>
        <w:rPr>
          <w:lang w:eastAsia="zh-CN"/>
        </w:rPr>
        <w:t>。</w:t>
      </w:r>
    </w:p>
    <w:p w14:paraId="23377F0D">
      <w:pPr>
        <w:pStyle w:val="4"/>
        <w:bidi w:val="0"/>
        <w:rPr>
          <w:rFonts w:hint="eastAsia"/>
          <w:lang w:eastAsia="zh-CN"/>
        </w:rPr>
      </w:pPr>
      <w:bookmarkStart w:id="256" w:name="_Toc5790"/>
      <w:bookmarkStart w:id="257" w:name="_Toc30387"/>
      <w:bookmarkStart w:id="258" w:name="_Toc181558031"/>
      <w:bookmarkStart w:id="259" w:name="_Toc217363525"/>
      <w:r>
        <w:rPr>
          <w:lang w:eastAsia="zh-CN"/>
        </w:rPr>
        <w:t>（四）效益（</w:t>
      </w:r>
      <w:r>
        <w:rPr>
          <w:rFonts w:hint="eastAsia"/>
          <w:lang w:eastAsia="zh-CN"/>
        </w:rPr>
        <w:t>总分28</w:t>
      </w:r>
      <w:r>
        <w:rPr>
          <w:lang w:eastAsia="zh-CN"/>
        </w:rPr>
        <w:t>分，得分</w:t>
      </w:r>
      <w:r>
        <w:rPr>
          <w:rFonts w:hint="eastAsia"/>
          <w:lang w:eastAsia="zh-CN"/>
        </w:rPr>
        <w:t>28</w:t>
      </w:r>
      <w:r>
        <w:rPr>
          <w:lang w:eastAsia="zh-CN"/>
        </w:rPr>
        <w:t>分）</w:t>
      </w:r>
      <w:bookmarkEnd w:id="256"/>
      <w:bookmarkEnd w:id="257"/>
      <w:bookmarkEnd w:id="258"/>
      <w:bookmarkEnd w:id="259"/>
    </w:p>
    <w:p w14:paraId="2311DDCE">
      <w:pPr>
        <w:pStyle w:val="5"/>
        <w:bidi w:val="0"/>
        <w:rPr>
          <w:rFonts w:hint="eastAsia"/>
          <w:lang w:eastAsia="zh-CN"/>
        </w:rPr>
      </w:pPr>
      <w:bookmarkStart w:id="260" w:name="_Toc217363526"/>
      <w:bookmarkStart w:id="261" w:name="_Toc181558032"/>
      <w:bookmarkStart w:id="262" w:name="_Toc30189"/>
      <w:r>
        <w:rPr>
          <w:rFonts w:hint="eastAsia"/>
          <w:lang w:eastAsia="zh-CN"/>
        </w:rPr>
        <w:t>1.</w:t>
      </w:r>
      <w:r>
        <w:rPr>
          <w:lang w:eastAsia="zh-CN"/>
        </w:rPr>
        <w:t>社会效益（总分</w:t>
      </w:r>
      <w:r>
        <w:rPr>
          <w:rFonts w:hint="eastAsia"/>
          <w:lang w:eastAsia="zh-CN"/>
        </w:rPr>
        <w:t>18</w:t>
      </w:r>
      <w:r>
        <w:rPr>
          <w:lang w:eastAsia="zh-CN"/>
        </w:rPr>
        <w:t>分，得分</w:t>
      </w:r>
      <w:r>
        <w:rPr>
          <w:rFonts w:hint="eastAsia"/>
          <w:lang w:eastAsia="zh-CN"/>
        </w:rPr>
        <w:t>18</w:t>
      </w:r>
      <w:r>
        <w:rPr>
          <w:lang w:eastAsia="zh-CN"/>
        </w:rPr>
        <w:t>分）</w:t>
      </w:r>
      <w:bookmarkEnd w:id="260"/>
      <w:bookmarkEnd w:id="261"/>
      <w:bookmarkEnd w:id="262"/>
    </w:p>
    <w:p w14:paraId="7F76F7A2">
      <w:pPr>
        <w:bidi w:val="0"/>
        <w:rPr>
          <w:rFonts w:hint="eastAsia"/>
          <w:lang w:eastAsia="zh-CN"/>
        </w:rPr>
      </w:pPr>
      <w:r>
        <w:rPr>
          <w:lang w:eastAsia="zh-CN"/>
        </w:rPr>
        <w:t>（1）12315</w:t>
      </w:r>
      <w:r>
        <w:rPr>
          <w:rFonts w:hint="eastAsia"/>
          <w:lang w:eastAsia="zh-CN"/>
        </w:rPr>
        <w:t>维权服务点数量（</w:t>
      </w:r>
      <w:r>
        <w:rPr>
          <w:lang w:eastAsia="zh-CN"/>
        </w:rPr>
        <w:t>3</w:t>
      </w:r>
      <w:r>
        <w:rPr>
          <w:rFonts w:hint="eastAsia"/>
          <w:lang w:eastAsia="zh-CN"/>
        </w:rPr>
        <w:t>分）</w:t>
      </w:r>
      <w:r>
        <w:rPr>
          <w:lang w:eastAsia="zh-CN"/>
        </w:rPr>
        <w:t>：得分</w:t>
      </w:r>
      <w:r>
        <w:rPr>
          <w:rFonts w:hint="eastAsia"/>
          <w:lang w:eastAsia="zh-CN"/>
        </w:rPr>
        <w:t>3</w:t>
      </w:r>
      <w:r>
        <w:rPr>
          <w:lang w:eastAsia="zh-CN"/>
        </w:rPr>
        <w:t>分</w:t>
      </w:r>
    </w:p>
    <w:p w14:paraId="1206ECDA">
      <w:pPr>
        <w:bidi w:val="0"/>
        <w:rPr>
          <w:rFonts w:hint="eastAsia"/>
          <w:lang w:eastAsia="zh-CN"/>
        </w:rPr>
      </w:pPr>
      <w:r>
        <w:rPr>
          <w:rFonts w:hint="eastAsia"/>
          <w:lang w:eastAsia="zh-CN"/>
        </w:rPr>
        <w:t>泉州市洛江区市场监督管理局在2024年度对消费者维权方面开展全面行动，健全消费纠纷多元化解机制，全区现有</w:t>
      </w:r>
      <w:r>
        <w:rPr>
          <w:lang w:eastAsia="zh-CN"/>
        </w:rPr>
        <w:t>12315</w:t>
      </w:r>
      <w:r>
        <w:rPr>
          <w:rFonts w:hint="eastAsia"/>
          <w:lang w:eastAsia="zh-CN"/>
        </w:rPr>
        <w:t>消费维权服务点</w:t>
      </w:r>
      <w:r>
        <w:rPr>
          <w:lang w:eastAsia="zh-CN"/>
        </w:rPr>
        <w:t>102</w:t>
      </w:r>
      <w:r>
        <w:rPr>
          <w:rFonts w:hint="eastAsia"/>
          <w:lang w:eastAsia="zh-CN"/>
        </w:rPr>
        <w:t>个</w:t>
      </w:r>
      <w:r>
        <w:rPr>
          <w:lang w:eastAsia="zh-CN"/>
        </w:rPr>
        <w:t>。根据评分标准，此项得分</w:t>
      </w:r>
      <w:r>
        <w:rPr>
          <w:rFonts w:hint="eastAsia"/>
          <w:lang w:eastAsia="zh-CN"/>
        </w:rPr>
        <w:t>3</w:t>
      </w:r>
      <w:r>
        <w:rPr>
          <w:lang w:eastAsia="zh-CN"/>
        </w:rPr>
        <w:t>分。</w:t>
      </w:r>
    </w:p>
    <w:p w14:paraId="2EB9295C">
      <w:pPr>
        <w:bidi w:val="0"/>
        <w:rPr>
          <w:rFonts w:hint="eastAsia"/>
          <w:lang w:eastAsia="zh-CN"/>
        </w:rPr>
      </w:pPr>
      <w:r>
        <w:rPr>
          <w:lang w:eastAsia="zh-CN"/>
        </w:rPr>
        <w:t>（2）</w:t>
      </w:r>
      <w:r>
        <w:rPr>
          <w:rFonts w:hint="eastAsia"/>
          <w:lang w:eastAsia="zh-CN"/>
        </w:rPr>
        <w:t>受理消费者投诉案件数量（</w:t>
      </w:r>
      <w:r>
        <w:rPr>
          <w:lang w:eastAsia="zh-CN"/>
        </w:rPr>
        <w:t>3</w:t>
      </w:r>
      <w:r>
        <w:rPr>
          <w:rFonts w:hint="eastAsia"/>
          <w:lang w:eastAsia="zh-CN"/>
        </w:rPr>
        <w:t>分）</w:t>
      </w:r>
      <w:r>
        <w:rPr>
          <w:lang w:eastAsia="zh-CN"/>
        </w:rPr>
        <w:t>：得分</w:t>
      </w:r>
      <w:r>
        <w:rPr>
          <w:rFonts w:hint="eastAsia"/>
          <w:lang w:eastAsia="zh-CN"/>
        </w:rPr>
        <w:t>3</w:t>
      </w:r>
      <w:r>
        <w:rPr>
          <w:lang w:eastAsia="zh-CN"/>
        </w:rPr>
        <w:t>分</w:t>
      </w:r>
    </w:p>
    <w:p w14:paraId="107470D0">
      <w:pPr>
        <w:bidi w:val="0"/>
        <w:rPr>
          <w:rFonts w:hint="eastAsia"/>
          <w:lang w:eastAsia="zh-CN"/>
        </w:rPr>
      </w:pPr>
      <w:r>
        <w:rPr>
          <w:rFonts w:hint="eastAsia"/>
          <w:lang w:eastAsia="zh-CN"/>
        </w:rPr>
        <w:t>泉州市洛江区市场监督管理局在2024年度共受理消费者申诉、举报</w:t>
      </w:r>
      <w:r>
        <w:rPr>
          <w:lang w:eastAsia="zh-CN"/>
        </w:rPr>
        <w:t>4586</w:t>
      </w:r>
      <w:r>
        <w:rPr>
          <w:rFonts w:hint="eastAsia"/>
          <w:lang w:eastAsia="zh-CN"/>
        </w:rPr>
        <w:t>件，为消费者挽回经济损失</w:t>
      </w:r>
      <w:r>
        <w:rPr>
          <w:lang w:eastAsia="zh-CN"/>
        </w:rPr>
        <w:t>17.4369</w:t>
      </w:r>
      <w:r>
        <w:rPr>
          <w:rFonts w:hint="eastAsia"/>
          <w:lang w:eastAsia="zh-CN"/>
        </w:rPr>
        <w:t>万元</w:t>
      </w:r>
      <w:r>
        <w:rPr>
          <w:lang w:eastAsia="zh-CN"/>
        </w:rPr>
        <w:t>。根据评分标准，此项得分</w:t>
      </w:r>
      <w:r>
        <w:rPr>
          <w:rFonts w:hint="eastAsia"/>
          <w:lang w:eastAsia="zh-CN"/>
        </w:rPr>
        <w:t>3</w:t>
      </w:r>
      <w:r>
        <w:rPr>
          <w:lang w:eastAsia="zh-CN"/>
        </w:rPr>
        <w:t>分。</w:t>
      </w:r>
    </w:p>
    <w:p w14:paraId="5E188C7D">
      <w:pPr>
        <w:bidi w:val="0"/>
        <w:rPr>
          <w:rFonts w:hint="eastAsia"/>
          <w:lang w:eastAsia="zh-CN"/>
        </w:rPr>
      </w:pPr>
      <w:r>
        <w:rPr>
          <w:lang w:eastAsia="zh-CN"/>
        </w:rPr>
        <w:t>（3）</w:t>
      </w:r>
      <w:r>
        <w:rPr>
          <w:rFonts w:hint="eastAsia"/>
          <w:lang w:eastAsia="zh-CN"/>
        </w:rPr>
        <w:t>药品监督抽检批次（</w:t>
      </w:r>
      <w:r>
        <w:rPr>
          <w:lang w:eastAsia="zh-CN"/>
        </w:rPr>
        <w:t>3</w:t>
      </w:r>
      <w:r>
        <w:rPr>
          <w:rFonts w:hint="eastAsia"/>
          <w:lang w:eastAsia="zh-CN"/>
        </w:rPr>
        <w:t>分）</w:t>
      </w:r>
      <w:r>
        <w:rPr>
          <w:lang w:eastAsia="zh-CN"/>
        </w:rPr>
        <w:t>：得分</w:t>
      </w:r>
      <w:r>
        <w:rPr>
          <w:rFonts w:hint="eastAsia"/>
          <w:lang w:eastAsia="zh-CN"/>
        </w:rPr>
        <w:t>3</w:t>
      </w:r>
      <w:r>
        <w:rPr>
          <w:lang w:eastAsia="zh-CN"/>
        </w:rPr>
        <w:t>分</w:t>
      </w:r>
    </w:p>
    <w:p w14:paraId="6ED288B3">
      <w:pPr>
        <w:bidi w:val="0"/>
        <w:rPr>
          <w:rFonts w:hint="eastAsia"/>
          <w:lang w:eastAsia="zh-CN"/>
        </w:rPr>
      </w:pPr>
      <w:r>
        <w:rPr>
          <w:rFonts w:hint="eastAsia"/>
          <w:lang w:eastAsia="zh-CN"/>
        </w:rPr>
        <w:t>泉州市洛江区市场监督管理局在2024年度开展药品监督抽检任务</w:t>
      </w:r>
      <w:r>
        <w:rPr>
          <w:lang w:eastAsia="zh-CN"/>
        </w:rPr>
        <w:t>30</w:t>
      </w:r>
      <w:r>
        <w:rPr>
          <w:rFonts w:hint="eastAsia"/>
          <w:lang w:eastAsia="zh-CN"/>
        </w:rPr>
        <w:t>批次、快检</w:t>
      </w:r>
      <w:r>
        <w:rPr>
          <w:lang w:eastAsia="zh-CN"/>
        </w:rPr>
        <w:t>100</w:t>
      </w:r>
      <w:r>
        <w:rPr>
          <w:rFonts w:hint="eastAsia"/>
          <w:lang w:eastAsia="zh-CN"/>
        </w:rPr>
        <w:t>批次，化妆品监督抽检</w:t>
      </w:r>
      <w:r>
        <w:rPr>
          <w:lang w:eastAsia="zh-CN"/>
        </w:rPr>
        <w:t>4</w:t>
      </w:r>
      <w:r>
        <w:rPr>
          <w:rFonts w:hint="eastAsia"/>
          <w:lang w:eastAsia="zh-CN"/>
        </w:rPr>
        <w:t>批次、快检</w:t>
      </w:r>
      <w:r>
        <w:rPr>
          <w:lang w:eastAsia="zh-CN"/>
        </w:rPr>
        <w:t>10</w:t>
      </w:r>
      <w:r>
        <w:rPr>
          <w:rFonts w:hint="eastAsia"/>
          <w:lang w:eastAsia="zh-CN"/>
        </w:rPr>
        <w:t>批次，医疗器械监督抽检</w:t>
      </w:r>
      <w:r>
        <w:rPr>
          <w:lang w:eastAsia="zh-CN"/>
        </w:rPr>
        <w:t>5</w:t>
      </w:r>
      <w:r>
        <w:rPr>
          <w:rFonts w:hint="eastAsia"/>
          <w:lang w:eastAsia="zh-CN"/>
        </w:rPr>
        <w:t>批次。</w:t>
      </w:r>
      <w:r>
        <w:rPr>
          <w:lang w:eastAsia="zh-CN"/>
        </w:rPr>
        <w:t>根据评分标准，此项得分</w:t>
      </w:r>
      <w:r>
        <w:rPr>
          <w:rFonts w:hint="eastAsia"/>
          <w:lang w:eastAsia="zh-CN"/>
        </w:rPr>
        <w:t>3</w:t>
      </w:r>
      <w:r>
        <w:rPr>
          <w:lang w:eastAsia="zh-CN"/>
        </w:rPr>
        <w:t>分。</w:t>
      </w:r>
    </w:p>
    <w:p w14:paraId="1DD32D72">
      <w:pPr>
        <w:bidi w:val="0"/>
        <w:rPr>
          <w:rFonts w:hint="eastAsia"/>
          <w:lang w:eastAsia="zh-CN"/>
        </w:rPr>
      </w:pPr>
      <w:r>
        <w:rPr>
          <w:lang w:eastAsia="zh-CN"/>
        </w:rPr>
        <w:t>（</w:t>
      </w:r>
      <w:r>
        <w:rPr>
          <w:rFonts w:hint="eastAsia"/>
          <w:lang w:eastAsia="zh-CN"/>
        </w:rPr>
        <w:t>4</w:t>
      </w:r>
      <w:r>
        <w:rPr>
          <w:lang w:eastAsia="zh-CN"/>
        </w:rPr>
        <w:t>）</w:t>
      </w:r>
      <w:r>
        <w:rPr>
          <w:rFonts w:hint="eastAsia"/>
          <w:lang w:eastAsia="zh-CN"/>
        </w:rPr>
        <w:t>规范旅游市场检查力度（</w:t>
      </w:r>
      <w:r>
        <w:rPr>
          <w:lang w:eastAsia="zh-CN"/>
        </w:rPr>
        <w:t>3</w:t>
      </w:r>
      <w:r>
        <w:rPr>
          <w:rFonts w:hint="eastAsia"/>
          <w:lang w:eastAsia="zh-CN"/>
        </w:rPr>
        <w:t>分）</w:t>
      </w:r>
      <w:r>
        <w:rPr>
          <w:lang w:eastAsia="zh-CN"/>
        </w:rPr>
        <w:t>：得分</w:t>
      </w:r>
      <w:r>
        <w:rPr>
          <w:rFonts w:hint="eastAsia"/>
          <w:lang w:eastAsia="zh-CN"/>
        </w:rPr>
        <w:t>3</w:t>
      </w:r>
      <w:r>
        <w:rPr>
          <w:lang w:eastAsia="zh-CN"/>
        </w:rPr>
        <w:t>分</w:t>
      </w:r>
    </w:p>
    <w:p w14:paraId="49832FFA">
      <w:pPr>
        <w:bidi w:val="0"/>
        <w:rPr>
          <w:rFonts w:hint="eastAsia"/>
          <w:lang w:eastAsia="zh-CN"/>
        </w:rPr>
      </w:pPr>
      <w:r>
        <w:rPr>
          <w:rFonts w:hint="eastAsia"/>
          <w:lang w:eastAsia="zh-CN"/>
        </w:rPr>
        <w:t>泉州市洛江区市场监督管理局在2024年度开展组织各乡镇排查辖区内酒店、旅馆、</w:t>
      </w:r>
      <w:r>
        <w:rPr>
          <w:lang w:eastAsia="zh-CN"/>
        </w:rPr>
        <w:t xml:space="preserve"> </w:t>
      </w:r>
      <w:r>
        <w:rPr>
          <w:rFonts w:hint="eastAsia"/>
          <w:lang w:eastAsia="zh-CN"/>
        </w:rPr>
        <w:t>民宿，并引导辖区</w:t>
      </w:r>
      <w:r>
        <w:rPr>
          <w:lang w:eastAsia="zh-CN"/>
        </w:rPr>
        <w:t>32</w:t>
      </w:r>
      <w:r>
        <w:rPr>
          <w:rFonts w:hint="eastAsia"/>
          <w:lang w:eastAsia="zh-CN"/>
        </w:rPr>
        <w:t>家住宿业经营单位签订价格合规承诺书。</w:t>
      </w:r>
      <w:r>
        <w:rPr>
          <w:lang w:eastAsia="zh-CN"/>
        </w:rPr>
        <w:t>2024</w:t>
      </w:r>
      <w:r>
        <w:rPr>
          <w:rFonts w:hint="eastAsia"/>
          <w:lang w:eastAsia="zh-CN"/>
        </w:rPr>
        <w:t>年度共检查各类生产经营单位</w:t>
      </w:r>
      <w:r>
        <w:rPr>
          <w:lang w:eastAsia="zh-CN"/>
        </w:rPr>
        <w:t>852</w:t>
      </w:r>
      <w:r>
        <w:rPr>
          <w:rFonts w:hint="eastAsia"/>
          <w:lang w:eastAsia="zh-CN"/>
        </w:rPr>
        <w:t>家次，督促</w:t>
      </w:r>
      <w:r>
        <w:rPr>
          <w:lang w:eastAsia="zh-CN"/>
        </w:rPr>
        <w:t>23</w:t>
      </w:r>
      <w:r>
        <w:rPr>
          <w:rFonts w:hint="eastAsia"/>
          <w:lang w:eastAsia="zh-CN"/>
        </w:rPr>
        <w:t>家未履行进货查验义务的经营者及时改正违法行为。</w:t>
      </w:r>
      <w:r>
        <w:rPr>
          <w:lang w:eastAsia="zh-CN"/>
        </w:rPr>
        <w:t>根据评分标准，此项得分</w:t>
      </w:r>
      <w:r>
        <w:rPr>
          <w:rFonts w:hint="eastAsia"/>
          <w:lang w:eastAsia="zh-CN"/>
        </w:rPr>
        <w:t>3</w:t>
      </w:r>
      <w:r>
        <w:rPr>
          <w:lang w:eastAsia="zh-CN"/>
        </w:rPr>
        <w:t>分。</w:t>
      </w:r>
    </w:p>
    <w:p w14:paraId="48D46130">
      <w:pPr>
        <w:bidi w:val="0"/>
        <w:rPr>
          <w:rFonts w:hint="eastAsia"/>
          <w:lang w:eastAsia="zh-CN"/>
        </w:rPr>
      </w:pPr>
      <w:r>
        <w:rPr>
          <w:lang w:eastAsia="zh-CN"/>
        </w:rPr>
        <w:t>（</w:t>
      </w:r>
      <w:r>
        <w:rPr>
          <w:rFonts w:hint="eastAsia"/>
          <w:lang w:eastAsia="zh-CN"/>
        </w:rPr>
        <w:t>5</w:t>
      </w:r>
      <w:r>
        <w:rPr>
          <w:lang w:eastAsia="zh-CN"/>
        </w:rPr>
        <w:t>）</w:t>
      </w:r>
      <w:r>
        <w:rPr>
          <w:rFonts w:hint="eastAsia"/>
          <w:lang w:eastAsia="zh-CN"/>
        </w:rPr>
        <w:t>政策知晓率（</w:t>
      </w:r>
      <w:r>
        <w:rPr>
          <w:lang w:eastAsia="zh-CN"/>
        </w:rPr>
        <w:t>3</w:t>
      </w:r>
      <w:r>
        <w:rPr>
          <w:rFonts w:hint="eastAsia"/>
          <w:lang w:eastAsia="zh-CN"/>
        </w:rPr>
        <w:t>分）</w:t>
      </w:r>
      <w:r>
        <w:rPr>
          <w:lang w:eastAsia="zh-CN"/>
        </w:rPr>
        <w:t>：得分</w:t>
      </w:r>
      <w:r>
        <w:rPr>
          <w:rFonts w:hint="eastAsia"/>
          <w:lang w:eastAsia="zh-CN"/>
        </w:rPr>
        <w:t>3</w:t>
      </w:r>
      <w:r>
        <w:rPr>
          <w:lang w:eastAsia="zh-CN"/>
        </w:rPr>
        <w:t>分</w:t>
      </w:r>
    </w:p>
    <w:p w14:paraId="16A14056">
      <w:pPr>
        <w:bidi w:val="0"/>
        <w:rPr>
          <w:rFonts w:hint="eastAsia"/>
          <w:lang w:eastAsia="zh-CN"/>
        </w:rPr>
      </w:pPr>
      <w:r>
        <w:rPr>
          <w:rFonts w:hint="eastAsia"/>
          <w:lang w:eastAsia="zh-CN"/>
        </w:rPr>
        <w:t>评价小组发放</w:t>
      </w:r>
      <w:r>
        <w:rPr>
          <w:lang w:eastAsia="zh-CN"/>
        </w:rPr>
        <w:t>236</w:t>
      </w:r>
      <w:r>
        <w:rPr>
          <w:rFonts w:hint="eastAsia"/>
          <w:lang w:eastAsia="zh-CN"/>
        </w:rPr>
        <w:t>份问卷，有207份表示对泉州市洛江区市场监督管理局的监管政策知晓度很高。</w:t>
      </w:r>
      <w:r>
        <w:rPr>
          <w:lang w:eastAsia="zh-CN"/>
        </w:rPr>
        <w:t>根据评分标准，此项得分</w:t>
      </w:r>
      <w:r>
        <w:rPr>
          <w:rFonts w:hint="eastAsia"/>
          <w:lang w:eastAsia="zh-CN"/>
        </w:rPr>
        <w:t>3</w:t>
      </w:r>
      <w:r>
        <w:rPr>
          <w:lang w:eastAsia="zh-CN"/>
        </w:rPr>
        <w:t>分。</w:t>
      </w:r>
    </w:p>
    <w:p w14:paraId="432DEB2C">
      <w:pPr>
        <w:bidi w:val="0"/>
        <w:rPr>
          <w:rFonts w:hint="eastAsia"/>
          <w:lang w:eastAsia="zh-CN"/>
        </w:rPr>
      </w:pPr>
      <w:r>
        <w:rPr>
          <w:lang w:eastAsia="zh-CN"/>
        </w:rPr>
        <w:t>（</w:t>
      </w:r>
      <w:r>
        <w:rPr>
          <w:rFonts w:hint="eastAsia"/>
          <w:lang w:eastAsia="zh-CN"/>
        </w:rPr>
        <w:t>6</w:t>
      </w:r>
      <w:r>
        <w:rPr>
          <w:lang w:eastAsia="zh-CN"/>
        </w:rPr>
        <w:t>）</w:t>
      </w:r>
      <w:r>
        <w:rPr>
          <w:rFonts w:hint="eastAsia"/>
          <w:lang w:eastAsia="zh-CN"/>
        </w:rPr>
        <w:t>查处电动车违法案件数量（3分）</w:t>
      </w:r>
      <w:r>
        <w:rPr>
          <w:lang w:eastAsia="zh-CN"/>
        </w:rPr>
        <w:t>：得分</w:t>
      </w:r>
      <w:r>
        <w:rPr>
          <w:rFonts w:hint="eastAsia"/>
          <w:lang w:eastAsia="zh-CN"/>
        </w:rPr>
        <w:t>3</w:t>
      </w:r>
      <w:r>
        <w:rPr>
          <w:lang w:eastAsia="zh-CN"/>
        </w:rPr>
        <w:t>分</w:t>
      </w:r>
    </w:p>
    <w:p w14:paraId="53A3DF35">
      <w:pPr>
        <w:bidi w:val="0"/>
        <w:rPr>
          <w:rFonts w:hint="eastAsia"/>
          <w:lang w:eastAsia="zh-CN"/>
        </w:rPr>
      </w:pPr>
      <w:r>
        <w:rPr>
          <w:rFonts w:hint="eastAsia"/>
          <w:lang w:eastAsia="zh-CN"/>
        </w:rPr>
        <w:t>泉州市洛江区市场监督管理局在2024年度通过加强电动自行车全链条安全监管，累计立案查处电动自行车违法案件</w:t>
      </w:r>
      <w:r>
        <w:rPr>
          <w:lang w:eastAsia="zh-CN"/>
        </w:rPr>
        <w:t>18</w:t>
      </w:r>
      <w:r>
        <w:rPr>
          <w:rFonts w:hint="eastAsia"/>
          <w:lang w:eastAsia="zh-CN"/>
        </w:rPr>
        <w:t>件，罚没款</w:t>
      </w:r>
      <w:r>
        <w:rPr>
          <w:lang w:eastAsia="zh-CN"/>
        </w:rPr>
        <w:t>0.7</w:t>
      </w:r>
      <w:r>
        <w:rPr>
          <w:rFonts w:hint="eastAsia"/>
          <w:lang w:eastAsia="zh-CN"/>
        </w:rPr>
        <w:t>万元，扣押涉案电动自行车</w:t>
      </w:r>
      <w:r>
        <w:rPr>
          <w:lang w:eastAsia="zh-CN"/>
        </w:rPr>
        <w:t>12</w:t>
      </w:r>
      <w:r>
        <w:rPr>
          <w:rFonts w:hint="eastAsia"/>
          <w:lang w:eastAsia="zh-CN"/>
        </w:rPr>
        <w:t>辆。</w:t>
      </w:r>
      <w:r>
        <w:rPr>
          <w:lang w:eastAsia="zh-CN"/>
        </w:rPr>
        <w:t>根据评分标准，此项得分</w:t>
      </w:r>
      <w:r>
        <w:rPr>
          <w:rFonts w:hint="eastAsia"/>
          <w:lang w:eastAsia="zh-CN"/>
        </w:rPr>
        <w:t>3</w:t>
      </w:r>
      <w:r>
        <w:rPr>
          <w:lang w:eastAsia="zh-CN"/>
        </w:rPr>
        <w:t>分。</w:t>
      </w:r>
    </w:p>
    <w:p w14:paraId="50B6E77E">
      <w:pPr>
        <w:pStyle w:val="5"/>
        <w:bidi w:val="0"/>
        <w:rPr>
          <w:rFonts w:hint="eastAsia"/>
          <w:lang w:eastAsia="zh-CN"/>
        </w:rPr>
      </w:pPr>
      <w:bookmarkStart w:id="263" w:name="_Toc217363527"/>
      <w:bookmarkStart w:id="264" w:name="_Toc26157"/>
      <w:bookmarkStart w:id="265" w:name="_Toc181558033"/>
      <w:r>
        <w:rPr>
          <w:rFonts w:hint="eastAsia"/>
          <w:lang w:eastAsia="zh-CN"/>
        </w:rPr>
        <w:t>2.经济效益</w:t>
      </w:r>
      <w:r>
        <w:rPr>
          <w:lang w:eastAsia="zh-CN"/>
        </w:rPr>
        <w:t>（</w:t>
      </w:r>
      <w:r>
        <w:rPr>
          <w:rFonts w:hint="eastAsia"/>
          <w:lang w:eastAsia="zh-CN"/>
        </w:rPr>
        <w:t>总分6</w:t>
      </w:r>
      <w:r>
        <w:rPr>
          <w:lang w:eastAsia="zh-CN"/>
        </w:rPr>
        <w:t>分</w:t>
      </w:r>
      <w:r>
        <w:rPr>
          <w:rFonts w:hint="eastAsia"/>
          <w:lang w:eastAsia="zh-CN"/>
        </w:rPr>
        <w:t>，得分6分</w:t>
      </w:r>
      <w:r>
        <w:rPr>
          <w:lang w:eastAsia="zh-CN"/>
        </w:rPr>
        <w:t>）</w:t>
      </w:r>
      <w:bookmarkEnd w:id="263"/>
      <w:bookmarkEnd w:id="264"/>
    </w:p>
    <w:p w14:paraId="13DBB48D">
      <w:pPr>
        <w:bidi w:val="0"/>
        <w:rPr>
          <w:rFonts w:hint="eastAsia"/>
          <w:lang w:eastAsia="zh-CN"/>
        </w:rPr>
      </w:pPr>
      <w:r>
        <w:rPr>
          <w:rFonts w:hint="eastAsia"/>
          <w:lang w:eastAsia="zh-CN"/>
        </w:rPr>
        <w:t>（1）查处知识产权案件涉案金额（</w:t>
      </w:r>
      <w:r>
        <w:rPr>
          <w:lang w:eastAsia="zh-CN"/>
        </w:rPr>
        <w:t>3</w:t>
      </w:r>
      <w:r>
        <w:rPr>
          <w:rFonts w:hint="eastAsia"/>
          <w:lang w:eastAsia="zh-CN"/>
        </w:rPr>
        <w:t>分）</w:t>
      </w:r>
      <w:r>
        <w:rPr>
          <w:lang w:eastAsia="zh-CN"/>
        </w:rPr>
        <w:t>：得分</w:t>
      </w:r>
      <w:r>
        <w:rPr>
          <w:rFonts w:hint="eastAsia"/>
          <w:lang w:eastAsia="zh-CN"/>
        </w:rPr>
        <w:t>3</w:t>
      </w:r>
      <w:r>
        <w:rPr>
          <w:lang w:eastAsia="zh-CN"/>
        </w:rPr>
        <w:t>分</w:t>
      </w:r>
    </w:p>
    <w:p w14:paraId="6EAA4EA6">
      <w:pPr>
        <w:bidi w:val="0"/>
        <w:rPr>
          <w:rFonts w:hint="eastAsia"/>
          <w:lang w:eastAsia="zh-CN"/>
        </w:rPr>
      </w:pPr>
      <w:r>
        <w:rPr>
          <w:rFonts w:hint="eastAsia"/>
          <w:lang w:eastAsia="zh-CN"/>
        </w:rPr>
        <w:t>经评价小组走访调查，泉州市洛江区市场监督管理局在2024年度通过加大知识产权执法力度，共检查市场主体</w:t>
      </w:r>
      <w:r>
        <w:rPr>
          <w:lang w:eastAsia="zh-CN"/>
        </w:rPr>
        <w:t>100</w:t>
      </w:r>
      <w:r>
        <w:rPr>
          <w:rFonts w:hint="eastAsia"/>
          <w:lang w:eastAsia="zh-CN"/>
        </w:rPr>
        <w:t>余家，累计查处侵犯知识产权案件</w:t>
      </w:r>
      <w:r>
        <w:rPr>
          <w:lang w:eastAsia="zh-CN"/>
        </w:rPr>
        <w:t>11</w:t>
      </w:r>
      <w:r>
        <w:rPr>
          <w:rFonts w:hint="eastAsia"/>
          <w:lang w:eastAsia="zh-CN"/>
        </w:rPr>
        <w:t>件，涉及案值</w:t>
      </w:r>
      <w:r>
        <w:rPr>
          <w:lang w:eastAsia="zh-CN"/>
        </w:rPr>
        <w:t>14.75</w:t>
      </w:r>
      <w:r>
        <w:rPr>
          <w:rFonts w:hint="eastAsia"/>
          <w:lang w:eastAsia="zh-CN"/>
        </w:rPr>
        <w:t>万元，罚没金额</w:t>
      </w:r>
      <w:r>
        <w:rPr>
          <w:lang w:eastAsia="zh-CN"/>
        </w:rPr>
        <w:t>24</w:t>
      </w:r>
      <w:r>
        <w:rPr>
          <w:rFonts w:hint="eastAsia"/>
          <w:lang w:eastAsia="zh-CN"/>
        </w:rPr>
        <w:t>万元。</w:t>
      </w:r>
      <w:r>
        <w:rPr>
          <w:lang w:eastAsia="zh-CN"/>
        </w:rPr>
        <w:t>根据评分标准</w:t>
      </w:r>
      <w:r>
        <w:rPr>
          <w:rFonts w:hint="eastAsia"/>
          <w:lang w:eastAsia="zh-CN"/>
        </w:rPr>
        <w:t>，此项</w:t>
      </w:r>
      <w:r>
        <w:rPr>
          <w:lang w:eastAsia="zh-CN"/>
        </w:rPr>
        <w:t>得分</w:t>
      </w:r>
      <w:r>
        <w:rPr>
          <w:rFonts w:hint="eastAsia"/>
          <w:lang w:eastAsia="zh-CN"/>
        </w:rPr>
        <w:t>3</w:t>
      </w:r>
      <w:r>
        <w:rPr>
          <w:lang w:eastAsia="zh-CN"/>
        </w:rPr>
        <w:t>分。</w:t>
      </w:r>
    </w:p>
    <w:p w14:paraId="169836CF">
      <w:pPr>
        <w:bidi w:val="0"/>
        <w:rPr>
          <w:rFonts w:hint="eastAsia"/>
          <w:lang w:eastAsia="zh-CN"/>
        </w:rPr>
      </w:pPr>
      <w:r>
        <w:rPr>
          <w:rFonts w:hint="eastAsia"/>
          <w:lang w:eastAsia="zh-CN"/>
        </w:rPr>
        <w:t>（2）下达知识产权补贴金额（3分）：</w:t>
      </w:r>
      <w:r>
        <w:rPr>
          <w:lang w:eastAsia="zh-CN"/>
        </w:rPr>
        <w:t>得分</w:t>
      </w:r>
      <w:r>
        <w:rPr>
          <w:rFonts w:hint="eastAsia"/>
          <w:lang w:eastAsia="zh-CN"/>
        </w:rPr>
        <w:t>3分</w:t>
      </w:r>
    </w:p>
    <w:p w14:paraId="687B6A74">
      <w:pPr>
        <w:bidi w:val="0"/>
        <w:rPr>
          <w:rFonts w:hint="eastAsia"/>
          <w:lang w:eastAsia="zh-CN"/>
        </w:rPr>
      </w:pPr>
      <w:r>
        <w:rPr>
          <w:rFonts w:hint="eastAsia"/>
          <w:lang w:eastAsia="zh-CN"/>
        </w:rPr>
        <w:t>经评价小组走访调查，泉州市洛江区市场监督管理局在2024年度组织</w:t>
      </w:r>
      <w:r>
        <w:rPr>
          <w:lang w:eastAsia="zh-CN"/>
        </w:rPr>
        <w:t>10</w:t>
      </w:r>
      <w:r>
        <w:rPr>
          <w:rFonts w:hint="eastAsia"/>
          <w:lang w:eastAsia="zh-CN"/>
        </w:rPr>
        <w:t>家企业申报专利申请精准管理名单，全年累计下达知识产权资金</w:t>
      </w:r>
      <w:r>
        <w:rPr>
          <w:lang w:eastAsia="zh-CN"/>
        </w:rPr>
        <w:t>48.9</w:t>
      </w:r>
      <w:r>
        <w:rPr>
          <w:rFonts w:hint="eastAsia"/>
          <w:lang w:eastAsia="zh-CN"/>
        </w:rPr>
        <w:t>万元。</w:t>
      </w:r>
      <w:r>
        <w:rPr>
          <w:lang w:eastAsia="zh-CN"/>
        </w:rPr>
        <w:t>根据评分标准</w:t>
      </w:r>
      <w:r>
        <w:rPr>
          <w:rFonts w:hint="eastAsia"/>
          <w:lang w:eastAsia="zh-CN"/>
        </w:rPr>
        <w:t>，此项</w:t>
      </w:r>
      <w:r>
        <w:rPr>
          <w:lang w:eastAsia="zh-CN"/>
        </w:rPr>
        <w:t>得分</w:t>
      </w:r>
      <w:r>
        <w:rPr>
          <w:rFonts w:hint="eastAsia"/>
          <w:lang w:eastAsia="zh-CN"/>
        </w:rPr>
        <w:t>4</w:t>
      </w:r>
      <w:r>
        <w:rPr>
          <w:lang w:eastAsia="zh-CN"/>
        </w:rPr>
        <w:t>分。</w:t>
      </w:r>
    </w:p>
    <w:p w14:paraId="61AFDA60">
      <w:pPr>
        <w:pStyle w:val="5"/>
        <w:bidi w:val="0"/>
        <w:rPr>
          <w:rFonts w:hint="eastAsia"/>
          <w:lang w:eastAsia="zh-CN"/>
        </w:rPr>
      </w:pPr>
      <w:bookmarkStart w:id="266" w:name="_Toc217363528"/>
      <w:bookmarkStart w:id="267" w:name="_Toc22997"/>
      <w:r>
        <w:rPr>
          <w:rFonts w:hint="eastAsia"/>
          <w:lang w:eastAsia="zh-CN"/>
        </w:rPr>
        <w:t>3.</w:t>
      </w:r>
      <w:r>
        <w:rPr>
          <w:lang w:eastAsia="zh-CN"/>
        </w:rPr>
        <w:t>满意度（</w:t>
      </w:r>
      <w:r>
        <w:rPr>
          <w:rFonts w:hint="eastAsia"/>
          <w:lang w:eastAsia="zh-CN"/>
        </w:rPr>
        <w:t>总分4</w:t>
      </w:r>
      <w:r>
        <w:rPr>
          <w:lang w:eastAsia="zh-CN"/>
        </w:rPr>
        <w:t>分</w:t>
      </w:r>
      <w:r>
        <w:rPr>
          <w:rFonts w:hint="eastAsia"/>
          <w:lang w:eastAsia="zh-CN"/>
        </w:rPr>
        <w:t>，得分4分</w:t>
      </w:r>
      <w:r>
        <w:rPr>
          <w:lang w:eastAsia="zh-CN"/>
        </w:rPr>
        <w:t>）</w:t>
      </w:r>
      <w:bookmarkEnd w:id="265"/>
      <w:bookmarkEnd w:id="266"/>
      <w:bookmarkEnd w:id="267"/>
    </w:p>
    <w:p w14:paraId="325986D8">
      <w:pPr>
        <w:bidi w:val="0"/>
        <w:rPr>
          <w:rFonts w:hint="eastAsia"/>
          <w:lang w:eastAsia="zh-CN"/>
        </w:rPr>
      </w:pPr>
      <w:r>
        <w:rPr>
          <w:rFonts w:hint="eastAsia"/>
          <w:lang w:eastAsia="zh-CN"/>
        </w:rPr>
        <w:t>（1）群众的满意度情况（</w:t>
      </w:r>
      <w:r>
        <w:rPr>
          <w:lang w:eastAsia="zh-CN"/>
        </w:rPr>
        <w:t>4</w:t>
      </w:r>
      <w:r>
        <w:rPr>
          <w:rFonts w:hint="eastAsia"/>
          <w:lang w:eastAsia="zh-CN"/>
        </w:rPr>
        <w:t>分）</w:t>
      </w:r>
      <w:r>
        <w:rPr>
          <w:lang w:eastAsia="zh-CN"/>
        </w:rPr>
        <w:t>：得分</w:t>
      </w:r>
      <w:r>
        <w:rPr>
          <w:rFonts w:hint="eastAsia"/>
          <w:lang w:eastAsia="zh-CN"/>
        </w:rPr>
        <w:t>4</w:t>
      </w:r>
      <w:r>
        <w:rPr>
          <w:lang w:eastAsia="zh-CN"/>
        </w:rPr>
        <w:t>分</w:t>
      </w:r>
    </w:p>
    <w:p w14:paraId="2F96CA83">
      <w:pPr>
        <w:bidi w:val="0"/>
        <w:rPr>
          <w:rFonts w:hint="eastAsia"/>
          <w:lang w:eastAsia="zh-CN"/>
        </w:rPr>
      </w:pPr>
      <w:r>
        <w:rPr>
          <w:rFonts w:hint="eastAsia"/>
          <w:lang w:eastAsia="zh-CN"/>
        </w:rPr>
        <w:t>评价小组发放236份问卷，有188份表示对泉州市洛江区市场监督管理局满意度达到非常满意</w:t>
      </w:r>
      <w:r>
        <w:rPr>
          <w:lang w:eastAsia="zh-CN"/>
        </w:rPr>
        <w:t>。根据评分标准，此项得分</w:t>
      </w:r>
      <w:r>
        <w:rPr>
          <w:rFonts w:hint="eastAsia"/>
          <w:lang w:eastAsia="zh-CN"/>
        </w:rPr>
        <w:t>4</w:t>
      </w:r>
      <w:r>
        <w:rPr>
          <w:lang w:eastAsia="zh-CN"/>
        </w:rPr>
        <w:t>分。</w:t>
      </w:r>
    </w:p>
    <w:p w14:paraId="46E3C65A">
      <w:pPr>
        <w:pStyle w:val="3"/>
        <w:bidi w:val="0"/>
        <w:rPr>
          <w:rFonts w:hint="eastAsia"/>
          <w:lang w:eastAsia="zh-CN"/>
        </w:rPr>
      </w:pPr>
      <w:bookmarkStart w:id="268" w:name="bookmark35"/>
      <w:bookmarkEnd w:id="268"/>
      <w:bookmarkStart w:id="269" w:name="_Toc217363529"/>
      <w:bookmarkStart w:id="270" w:name="_Toc11487"/>
      <w:bookmarkStart w:id="271" w:name="_Toc181558034"/>
      <w:bookmarkStart w:id="272" w:name="_Toc18199"/>
      <w:bookmarkStart w:id="273" w:name="_Toc27324"/>
      <w:r>
        <w:rPr>
          <w:rFonts w:hint="eastAsia"/>
          <w:lang w:eastAsia="zh-CN"/>
        </w:rPr>
        <w:t>七、评价结论及绩效分析</w:t>
      </w:r>
      <w:bookmarkEnd w:id="269"/>
      <w:bookmarkEnd w:id="270"/>
      <w:bookmarkEnd w:id="271"/>
      <w:bookmarkEnd w:id="272"/>
      <w:bookmarkEnd w:id="273"/>
    </w:p>
    <w:p w14:paraId="2B3D3E77">
      <w:pPr>
        <w:pStyle w:val="4"/>
        <w:bidi w:val="0"/>
        <w:rPr>
          <w:rFonts w:hint="eastAsia"/>
          <w:lang w:eastAsia="zh-CN"/>
        </w:rPr>
      </w:pPr>
      <w:bookmarkStart w:id="274" w:name="bookmark36"/>
      <w:bookmarkEnd w:id="274"/>
      <w:bookmarkStart w:id="275" w:name="_Toc217363530"/>
      <w:bookmarkStart w:id="276" w:name="_Toc15601"/>
      <w:bookmarkStart w:id="277" w:name="_Toc19472"/>
      <w:bookmarkStart w:id="278" w:name="_Toc9804"/>
      <w:bookmarkStart w:id="279" w:name="_Toc181558035"/>
      <w:r>
        <w:rPr>
          <w:rFonts w:hint="eastAsia"/>
          <w:lang w:eastAsia="zh-CN"/>
        </w:rPr>
        <w:t>（一）绩效评价结论</w:t>
      </w:r>
      <w:bookmarkEnd w:id="275"/>
      <w:bookmarkEnd w:id="276"/>
      <w:bookmarkEnd w:id="277"/>
      <w:bookmarkEnd w:id="278"/>
      <w:bookmarkEnd w:id="279"/>
    </w:p>
    <w:p w14:paraId="679237EA">
      <w:pPr>
        <w:bidi w:val="0"/>
        <w:rPr>
          <w:rFonts w:hint="eastAsia"/>
          <w:lang w:eastAsia="zh-CN"/>
        </w:rPr>
      </w:pPr>
      <w:r>
        <w:rPr>
          <w:rFonts w:hint="eastAsia"/>
          <w:spacing w:val="6"/>
          <w:sz w:val="28"/>
          <w:lang w:eastAsia="zh-CN"/>
        </w:rPr>
        <w:t>评价小组通过评价指标体系及评分标准，从决策、管理、履职产出、履职效益以及满意度五个方面着手，对2024年度泉州市洛江区市场监督管理局部门进行客观评价，最终评分结果：总得分为</w:t>
      </w:r>
      <w:r>
        <w:rPr>
          <w:spacing w:val="6"/>
          <w:sz w:val="28"/>
          <w:lang w:eastAsia="zh-CN"/>
        </w:rPr>
        <w:t>85.28</w:t>
      </w:r>
      <w:r>
        <w:rPr>
          <w:rFonts w:hint="eastAsia"/>
          <w:spacing w:val="6"/>
          <w:sz w:val="28"/>
          <w:lang w:eastAsia="zh-CN"/>
        </w:rPr>
        <w:t>分，评价等级为“良好”</w:t>
      </w:r>
      <w:r>
        <w:rPr>
          <w:rFonts w:hint="eastAsia"/>
          <w:lang w:eastAsia="zh-CN"/>
        </w:rPr>
        <w:t>。</w:t>
      </w:r>
    </w:p>
    <w:p w14:paraId="6F78004B">
      <w:pPr>
        <w:pStyle w:val="4"/>
        <w:bidi w:val="0"/>
        <w:rPr>
          <w:rFonts w:hint="eastAsia"/>
          <w:lang w:eastAsia="zh-CN"/>
        </w:rPr>
      </w:pPr>
      <w:bookmarkStart w:id="280" w:name="_Toc181558036"/>
      <w:bookmarkStart w:id="281" w:name="_Toc7504"/>
      <w:bookmarkStart w:id="282" w:name="_Toc217363531"/>
      <w:bookmarkStart w:id="283" w:name="_Toc21675"/>
      <w:bookmarkStart w:id="284" w:name="_Toc11279"/>
      <w:r>
        <w:rPr>
          <w:rFonts w:hint="eastAsia"/>
          <w:lang w:eastAsia="zh-CN"/>
        </w:rPr>
        <w:t>（二）扣分项目</w:t>
      </w:r>
      <w:bookmarkEnd w:id="280"/>
      <w:bookmarkEnd w:id="281"/>
      <w:bookmarkEnd w:id="282"/>
      <w:bookmarkEnd w:id="283"/>
      <w:bookmarkEnd w:id="284"/>
    </w:p>
    <w:p w14:paraId="69B039DA">
      <w:pPr>
        <w:bidi w:val="0"/>
        <w:rPr>
          <w:rFonts w:hint="eastAsia"/>
          <w:lang w:eastAsia="zh-CN"/>
        </w:rPr>
      </w:pPr>
      <w:r>
        <w:rPr>
          <w:rFonts w:hint="eastAsia"/>
          <w:lang w:eastAsia="zh-CN"/>
        </w:rPr>
        <w:t>2024年度泉州市洛江区市场监督管理局部门绩效评价扣分项目有绩效目标合理性扣</w:t>
      </w:r>
      <w:r>
        <w:rPr>
          <w:lang w:eastAsia="zh-CN"/>
        </w:rPr>
        <w:t>1</w:t>
      </w:r>
      <w:r>
        <w:rPr>
          <w:rFonts w:hint="eastAsia"/>
          <w:lang w:eastAsia="zh-CN"/>
        </w:rPr>
        <w:t>分，绩效目标明确性扣</w:t>
      </w:r>
      <w:r>
        <w:rPr>
          <w:lang w:eastAsia="zh-CN"/>
        </w:rPr>
        <w:t>1</w:t>
      </w:r>
      <w:r>
        <w:rPr>
          <w:rFonts w:hint="eastAsia"/>
          <w:lang w:eastAsia="zh-CN"/>
        </w:rPr>
        <w:t>分，结转结余率扣</w:t>
      </w:r>
      <w:r>
        <w:rPr>
          <w:lang w:eastAsia="zh-CN"/>
        </w:rPr>
        <w:t>0.72</w:t>
      </w:r>
      <w:r>
        <w:rPr>
          <w:rFonts w:hint="eastAsia"/>
          <w:lang w:eastAsia="zh-CN"/>
        </w:rPr>
        <w:t>分，管理制度健全性扣</w:t>
      </w:r>
      <w:r>
        <w:rPr>
          <w:lang w:eastAsia="zh-CN"/>
        </w:rPr>
        <w:t>1</w:t>
      </w:r>
      <w:r>
        <w:rPr>
          <w:rFonts w:hint="eastAsia"/>
          <w:lang w:eastAsia="zh-CN"/>
        </w:rPr>
        <w:t>分，工程项目管理合规性扣</w:t>
      </w:r>
      <w:r>
        <w:rPr>
          <w:lang w:eastAsia="zh-CN"/>
        </w:rPr>
        <w:t>2</w:t>
      </w:r>
      <w:r>
        <w:rPr>
          <w:rFonts w:hint="eastAsia"/>
          <w:lang w:eastAsia="zh-CN"/>
        </w:rPr>
        <w:t>分，合同管理规范性扣</w:t>
      </w:r>
      <w:r>
        <w:rPr>
          <w:lang w:eastAsia="zh-CN"/>
        </w:rPr>
        <w:t>2</w:t>
      </w:r>
      <w:r>
        <w:rPr>
          <w:rFonts w:hint="eastAsia"/>
          <w:lang w:eastAsia="zh-CN"/>
        </w:rPr>
        <w:t>分，绩效自评合规性扣</w:t>
      </w:r>
      <w:r>
        <w:rPr>
          <w:lang w:eastAsia="zh-CN"/>
        </w:rPr>
        <w:t>1</w:t>
      </w:r>
      <w:r>
        <w:rPr>
          <w:rFonts w:hint="eastAsia"/>
          <w:lang w:eastAsia="zh-CN"/>
        </w:rPr>
        <w:t>分，食品安全监管情况扣</w:t>
      </w:r>
      <w:r>
        <w:rPr>
          <w:lang w:eastAsia="zh-CN"/>
        </w:rPr>
        <w:t>1</w:t>
      </w:r>
      <w:r>
        <w:rPr>
          <w:rFonts w:hint="eastAsia"/>
          <w:lang w:eastAsia="zh-CN"/>
        </w:rPr>
        <w:t>分，执法人员专业素养扣</w:t>
      </w:r>
      <w:r>
        <w:rPr>
          <w:lang w:eastAsia="zh-CN"/>
        </w:rPr>
        <w:t>1</w:t>
      </w:r>
      <w:r>
        <w:rPr>
          <w:rFonts w:hint="eastAsia"/>
          <w:lang w:eastAsia="zh-CN"/>
        </w:rPr>
        <w:t>分，打击广告市场力度扣</w:t>
      </w:r>
      <w:r>
        <w:rPr>
          <w:lang w:eastAsia="zh-CN"/>
        </w:rPr>
        <w:t>2</w:t>
      </w:r>
      <w:r>
        <w:rPr>
          <w:rFonts w:hint="eastAsia"/>
          <w:lang w:eastAsia="zh-CN"/>
        </w:rPr>
        <w:t>分，</w:t>
      </w:r>
      <w:r>
        <w:rPr>
          <w:lang w:eastAsia="zh-CN"/>
        </w:rPr>
        <w:t>2024</w:t>
      </w:r>
      <w:r>
        <w:rPr>
          <w:rFonts w:hint="eastAsia"/>
          <w:lang w:eastAsia="zh-CN"/>
        </w:rPr>
        <w:t>年度单位绩效考评结果扣</w:t>
      </w:r>
      <w:r>
        <w:rPr>
          <w:lang w:eastAsia="zh-CN"/>
        </w:rPr>
        <w:t>2</w:t>
      </w:r>
      <w:r>
        <w:rPr>
          <w:rFonts w:hint="eastAsia"/>
          <w:lang w:eastAsia="zh-CN"/>
        </w:rPr>
        <w:t>分，共计扣</w:t>
      </w:r>
      <w:r>
        <w:rPr>
          <w:lang w:eastAsia="zh-CN"/>
        </w:rPr>
        <w:t>14.72</w:t>
      </w:r>
      <w:r>
        <w:rPr>
          <w:rFonts w:hint="eastAsia"/>
          <w:lang w:eastAsia="zh-CN"/>
        </w:rPr>
        <w:t>分</w:t>
      </w:r>
      <w:bookmarkStart w:id="285" w:name="_Toc6291"/>
      <w:bookmarkStart w:id="286" w:name="_Toc181558037"/>
      <w:r>
        <w:rPr>
          <w:rFonts w:hint="eastAsia"/>
          <w:lang w:eastAsia="zh-CN"/>
        </w:rPr>
        <w:t>。</w:t>
      </w:r>
    </w:p>
    <w:p w14:paraId="28A83CBC">
      <w:pPr>
        <w:pStyle w:val="3"/>
        <w:bidi w:val="0"/>
        <w:rPr>
          <w:rFonts w:hint="eastAsia"/>
          <w:lang w:eastAsia="zh-CN"/>
        </w:rPr>
      </w:pPr>
      <w:bookmarkStart w:id="287" w:name="_Toc28460"/>
      <w:bookmarkStart w:id="288" w:name="_Toc217363532"/>
      <w:bookmarkStart w:id="289" w:name="_Toc25286"/>
      <w:r>
        <w:rPr>
          <w:rFonts w:hint="eastAsia"/>
          <w:lang w:eastAsia="zh-CN"/>
        </w:rPr>
        <w:t>八、主要成效</w:t>
      </w:r>
      <w:bookmarkEnd w:id="285"/>
      <w:bookmarkEnd w:id="286"/>
      <w:bookmarkEnd w:id="287"/>
      <w:bookmarkEnd w:id="288"/>
      <w:bookmarkEnd w:id="289"/>
    </w:p>
    <w:p w14:paraId="592EB849">
      <w:pPr>
        <w:bidi w:val="0"/>
        <w:rPr>
          <w:rFonts w:hint="eastAsia"/>
          <w:lang w:eastAsia="zh-CN"/>
        </w:rPr>
      </w:pPr>
      <w:r>
        <w:rPr>
          <w:rFonts w:hint="eastAsia"/>
          <w:lang w:eastAsia="zh-CN"/>
        </w:rPr>
        <w:t>泉州市洛江区市场监督管理局取得的主要成效表现在：（一）持续优化营商环境。全面推动登记审批服务质效，2024年度</w:t>
      </w:r>
      <w:r>
        <w:rPr>
          <w:lang w:eastAsia="zh-CN"/>
        </w:rPr>
        <w:t>共新设市场主体登记5898家，全区市场主体总量增至81396家，企业15111家，个体工商户66285户</w:t>
      </w:r>
      <w:r>
        <w:rPr>
          <w:rFonts w:hint="eastAsia"/>
          <w:lang w:eastAsia="zh-CN"/>
        </w:rPr>
        <w:t>。同时全面推行行政指导，不断完善包容审慎监管执法“四项清单”。截至2024年底，列入经营异常名录</w:t>
      </w:r>
      <w:r>
        <w:rPr>
          <w:lang w:eastAsia="zh-CN"/>
        </w:rPr>
        <w:t>1572</w:t>
      </w:r>
      <w:r>
        <w:rPr>
          <w:rFonts w:hint="eastAsia"/>
          <w:lang w:eastAsia="zh-CN"/>
        </w:rPr>
        <w:t>家，列入经营异常标注</w:t>
      </w:r>
      <w:r>
        <w:rPr>
          <w:lang w:eastAsia="zh-CN"/>
        </w:rPr>
        <w:t>16390</w:t>
      </w:r>
      <w:r>
        <w:rPr>
          <w:rFonts w:hint="eastAsia"/>
          <w:lang w:eastAsia="zh-CN"/>
        </w:rPr>
        <w:t>家，移出经营异常名录</w:t>
      </w:r>
      <w:r>
        <w:rPr>
          <w:lang w:eastAsia="zh-CN"/>
        </w:rPr>
        <w:t>510</w:t>
      </w:r>
      <w:r>
        <w:rPr>
          <w:rFonts w:hint="eastAsia"/>
          <w:lang w:eastAsia="zh-CN"/>
        </w:rPr>
        <w:t>家，移出经营异常标注</w:t>
      </w:r>
      <w:r>
        <w:rPr>
          <w:lang w:eastAsia="zh-CN"/>
        </w:rPr>
        <w:t>7159</w:t>
      </w:r>
      <w:r>
        <w:rPr>
          <w:rFonts w:hint="eastAsia"/>
          <w:lang w:eastAsia="zh-CN"/>
        </w:rPr>
        <w:t>家。开展行政指导</w:t>
      </w:r>
      <w:r>
        <w:rPr>
          <w:lang w:eastAsia="zh-CN"/>
        </w:rPr>
        <w:t>58</w:t>
      </w:r>
      <w:r>
        <w:rPr>
          <w:rFonts w:hint="eastAsia"/>
          <w:lang w:eastAsia="zh-CN"/>
        </w:rPr>
        <w:t>次，召开行政指导会</w:t>
      </w:r>
      <w:r>
        <w:rPr>
          <w:lang w:eastAsia="zh-CN"/>
        </w:rPr>
        <w:t>5</w:t>
      </w:r>
      <w:r>
        <w:rPr>
          <w:rFonts w:hint="eastAsia"/>
          <w:lang w:eastAsia="zh-CN"/>
        </w:rPr>
        <w:t>场次，行政指导案例得到获评全市系统行政指导典型案例。针对企业开展精准帮扶，2024年度开展首批“名优特新”个体工商户的申报认定工作，共</w:t>
      </w:r>
      <w:r>
        <w:rPr>
          <w:lang w:eastAsia="zh-CN"/>
        </w:rPr>
        <w:t>4</w:t>
      </w:r>
      <w:r>
        <w:rPr>
          <w:rFonts w:hint="eastAsia"/>
          <w:lang w:eastAsia="zh-CN"/>
        </w:rPr>
        <w:t>家入库省局名单。实施质量帮扶行动，为纸类卫生用品企业提供计量、检验检测等多方面技术支撑，现已组织落实风险监测</w:t>
      </w:r>
      <w:r>
        <w:rPr>
          <w:lang w:eastAsia="zh-CN"/>
        </w:rPr>
        <w:t>30</w:t>
      </w:r>
      <w:r>
        <w:rPr>
          <w:rFonts w:hint="eastAsia"/>
          <w:lang w:eastAsia="zh-CN"/>
        </w:rPr>
        <w:t>批次，排查风险隐患</w:t>
      </w:r>
      <w:r>
        <w:rPr>
          <w:lang w:eastAsia="zh-CN"/>
        </w:rPr>
        <w:t>1</w:t>
      </w:r>
      <w:r>
        <w:rPr>
          <w:rFonts w:hint="eastAsia"/>
          <w:lang w:eastAsia="zh-CN"/>
        </w:rPr>
        <w:t>处。（二）聚焦产业转型升级重点。2024年度开展深化质量提升行动。对全区流通、生产领域工业产品质量安全进行监督抽查</w:t>
      </w:r>
      <w:r>
        <w:rPr>
          <w:lang w:eastAsia="zh-CN"/>
        </w:rPr>
        <w:t>130</w:t>
      </w:r>
      <w:r>
        <w:rPr>
          <w:rFonts w:hint="eastAsia"/>
          <w:lang w:eastAsia="zh-CN"/>
        </w:rPr>
        <w:t>批次。在全区范围内开展纸类卫生用品行业质量赋能，实地走访调研辖区</w:t>
      </w:r>
      <w:r>
        <w:rPr>
          <w:lang w:eastAsia="zh-CN"/>
        </w:rPr>
        <w:t>28</w:t>
      </w:r>
      <w:r>
        <w:rPr>
          <w:rFonts w:hint="eastAsia"/>
          <w:lang w:eastAsia="zh-CN"/>
        </w:rPr>
        <w:t>家纸类卫生用品生产企业，引导企业与赋能机构签订《产业链质量服务协议》，组织赋能机构为链主企业提供原材料监测，产品检测等一系列质量把控服务，及时预警整改，保证出厂产品的质量安全。（三）加强推动知识产权建设。2024年度开展“一企一策”入企走访宣传活动，提升知识产权创造质效。2024年度洛江区新增专利授权</w:t>
      </w:r>
      <w:r>
        <w:rPr>
          <w:lang w:eastAsia="zh-CN"/>
        </w:rPr>
        <w:t>1084</w:t>
      </w:r>
      <w:r>
        <w:rPr>
          <w:rFonts w:hint="eastAsia"/>
          <w:lang w:eastAsia="zh-CN"/>
        </w:rPr>
        <w:t>件，其中发明专利</w:t>
      </w:r>
      <w:r>
        <w:rPr>
          <w:lang w:eastAsia="zh-CN"/>
        </w:rPr>
        <w:t>181</w:t>
      </w:r>
      <w:r>
        <w:rPr>
          <w:rFonts w:hint="eastAsia"/>
          <w:lang w:eastAsia="zh-CN"/>
        </w:rPr>
        <w:t>件，同比增长</w:t>
      </w:r>
      <w:r>
        <w:rPr>
          <w:lang w:eastAsia="zh-CN"/>
        </w:rPr>
        <w:t>94.62%</w:t>
      </w:r>
      <w:r>
        <w:rPr>
          <w:rFonts w:hint="eastAsia"/>
          <w:lang w:eastAsia="zh-CN"/>
        </w:rPr>
        <w:t>；实用新型专利</w:t>
      </w:r>
      <w:r>
        <w:rPr>
          <w:lang w:eastAsia="zh-CN"/>
        </w:rPr>
        <w:t>699</w:t>
      </w:r>
      <w:r>
        <w:rPr>
          <w:rFonts w:hint="eastAsia"/>
          <w:lang w:eastAsia="zh-CN"/>
        </w:rPr>
        <w:t>件；外观专利</w:t>
      </w:r>
      <w:r>
        <w:rPr>
          <w:lang w:eastAsia="zh-CN"/>
        </w:rPr>
        <w:t>204</w:t>
      </w:r>
      <w:r>
        <w:rPr>
          <w:rFonts w:hint="eastAsia"/>
          <w:lang w:eastAsia="zh-CN"/>
        </w:rPr>
        <w:t>件。每万人高价值发明专利拥有量</w:t>
      </w:r>
      <w:r>
        <w:rPr>
          <w:lang w:eastAsia="zh-CN"/>
        </w:rPr>
        <w:t>5.7</w:t>
      </w:r>
      <w:r>
        <w:rPr>
          <w:rFonts w:hint="eastAsia"/>
          <w:lang w:eastAsia="zh-CN"/>
        </w:rPr>
        <w:t>件，同比增长</w:t>
      </w:r>
      <w:r>
        <w:rPr>
          <w:lang w:eastAsia="zh-CN"/>
        </w:rPr>
        <w:t>37.08%</w:t>
      </w:r>
      <w:r>
        <w:rPr>
          <w:rFonts w:hint="eastAsia"/>
          <w:lang w:eastAsia="zh-CN"/>
        </w:rPr>
        <w:t>。每万人高价值发明专利拥有量</w:t>
      </w:r>
      <w:r>
        <w:rPr>
          <w:lang w:eastAsia="zh-CN"/>
        </w:rPr>
        <w:t>5.7</w:t>
      </w:r>
      <w:r>
        <w:rPr>
          <w:rFonts w:hint="eastAsia"/>
          <w:lang w:eastAsia="zh-CN"/>
        </w:rPr>
        <w:t>件，较上年同期增长</w:t>
      </w:r>
      <w:r>
        <w:rPr>
          <w:lang w:eastAsia="zh-CN"/>
        </w:rPr>
        <w:t>40.39%</w:t>
      </w:r>
      <w:r>
        <w:rPr>
          <w:rFonts w:hint="eastAsia"/>
          <w:lang w:eastAsia="zh-CN"/>
        </w:rPr>
        <w:t>。新增注册商标</w:t>
      </w:r>
      <w:r>
        <w:rPr>
          <w:lang w:eastAsia="zh-CN"/>
        </w:rPr>
        <w:t>1760</w:t>
      </w:r>
      <w:r>
        <w:rPr>
          <w:rFonts w:hint="eastAsia"/>
          <w:lang w:eastAsia="zh-CN"/>
        </w:rPr>
        <w:t>件；有效商标注册总数量</w:t>
      </w:r>
      <w:r>
        <w:rPr>
          <w:lang w:eastAsia="zh-CN"/>
        </w:rPr>
        <w:t>26751</w:t>
      </w:r>
      <w:r>
        <w:rPr>
          <w:rFonts w:hint="eastAsia"/>
          <w:lang w:eastAsia="zh-CN"/>
        </w:rPr>
        <w:t>件，较上年同期增长</w:t>
      </w:r>
      <w:r>
        <w:rPr>
          <w:lang w:eastAsia="zh-CN"/>
        </w:rPr>
        <w:t>7.87%</w:t>
      </w:r>
      <w:r>
        <w:rPr>
          <w:rFonts w:hint="eastAsia"/>
          <w:lang w:eastAsia="zh-CN"/>
        </w:rPr>
        <w:t>。拥有中国驰名商标</w:t>
      </w:r>
      <w:r>
        <w:rPr>
          <w:lang w:eastAsia="zh-CN"/>
        </w:rPr>
        <w:t>6</w:t>
      </w:r>
      <w:r>
        <w:rPr>
          <w:rFonts w:hint="eastAsia"/>
          <w:lang w:eastAsia="zh-CN"/>
        </w:rPr>
        <w:t>件。（四）强化专项整治行动。2024年度开展民生领域广告监管专项整治，排查经营主体</w:t>
      </w:r>
      <w:r>
        <w:rPr>
          <w:lang w:eastAsia="zh-CN"/>
        </w:rPr>
        <w:t>124</w:t>
      </w:r>
      <w:r>
        <w:rPr>
          <w:rFonts w:hint="eastAsia"/>
          <w:lang w:eastAsia="zh-CN"/>
        </w:rPr>
        <w:t>家，普法宣传</w:t>
      </w:r>
      <w:r>
        <w:rPr>
          <w:lang w:eastAsia="zh-CN"/>
        </w:rPr>
        <w:t>1</w:t>
      </w:r>
      <w:r>
        <w:rPr>
          <w:rFonts w:hint="eastAsia"/>
          <w:lang w:eastAsia="zh-CN"/>
        </w:rPr>
        <w:t>次，行政指导</w:t>
      </w:r>
      <w:r>
        <w:rPr>
          <w:lang w:eastAsia="zh-CN"/>
        </w:rPr>
        <w:t>1</w:t>
      </w:r>
      <w:r>
        <w:rPr>
          <w:rFonts w:hint="eastAsia"/>
          <w:lang w:eastAsia="zh-CN"/>
        </w:rPr>
        <w:t>次。共立案</w:t>
      </w:r>
      <w:r>
        <w:rPr>
          <w:lang w:eastAsia="zh-CN"/>
        </w:rPr>
        <w:t>9</w:t>
      </w:r>
      <w:r>
        <w:rPr>
          <w:rFonts w:hint="eastAsia"/>
          <w:lang w:eastAsia="zh-CN"/>
        </w:rPr>
        <w:t>件，结案</w:t>
      </w:r>
      <w:r>
        <w:rPr>
          <w:lang w:eastAsia="zh-CN"/>
        </w:rPr>
        <w:t>8</w:t>
      </w:r>
      <w:r>
        <w:rPr>
          <w:rFonts w:hint="eastAsia"/>
          <w:lang w:eastAsia="zh-CN"/>
        </w:rPr>
        <w:t>起，罚没款</w:t>
      </w:r>
      <w:r>
        <w:rPr>
          <w:lang w:eastAsia="zh-CN"/>
        </w:rPr>
        <w:t>6360</w:t>
      </w:r>
      <w:r>
        <w:rPr>
          <w:rFonts w:hint="eastAsia"/>
          <w:lang w:eastAsia="zh-CN"/>
        </w:rPr>
        <w:t>元。加强电动自行车全链条安全监管，累计立案查处电动自行车违法案件</w:t>
      </w:r>
      <w:r>
        <w:rPr>
          <w:lang w:eastAsia="zh-CN"/>
        </w:rPr>
        <w:t>18</w:t>
      </w:r>
      <w:r>
        <w:rPr>
          <w:rFonts w:hint="eastAsia"/>
          <w:lang w:eastAsia="zh-CN"/>
        </w:rPr>
        <w:t>件，罚没款</w:t>
      </w:r>
      <w:r>
        <w:rPr>
          <w:lang w:eastAsia="zh-CN"/>
        </w:rPr>
        <w:t>0.7</w:t>
      </w:r>
      <w:r>
        <w:rPr>
          <w:rFonts w:hint="eastAsia"/>
          <w:lang w:eastAsia="zh-CN"/>
        </w:rPr>
        <w:t>万元，扣押涉案电动自行车</w:t>
      </w:r>
      <w:r>
        <w:rPr>
          <w:lang w:eastAsia="zh-CN"/>
        </w:rPr>
        <w:t>12</w:t>
      </w:r>
      <w:r>
        <w:rPr>
          <w:rFonts w:hint="eastAsia"/>
          <w:lang w:eastAsia="zh-CN"/>
        </w:rPr>
        <w:t>辆。持续开展知识产权专项执法行动，严厉打击侵权违法行为，加大知识产权执法力度，累计共检查市场主体</w:t>
      </w:r>
      <w:r>
        <w:rPr>
          <w:lang w:eastAsia="zh-CN"/>
        </w:rPr>
        <w:t>100</w:t>
      </w:r>
      <w:r>
        <w:rPr>
          <w:rFonts w:hint="eastAsia"/>
          <w:lang w:eastAsia="zh-CN"/>
        </w:rPr>
        <w:t>余家，累计查处侵犯知识产权案件</w:t>
      </w:r>
      <w:r>
        <w:rPr>
          <w:lang w:eastAsia="zh-CN"/>
        </w:rPr>
        <w:t>11</w:t>
      </w:r>
      <w:r>
        <w:rPr>
          <w:rFonts w:hint="eastAsia"/>
          <w:lang w:eastAsia="zh-CN"/>
        </w:rPr>
        <w:t>件，涉及案值</w:t>
      </w:r>
      <w:r>
        <w:rPr>
          <w:lang w:eastAsia="zh-CN"/>
        </w:rPr>
        <w:t>14.75</w:t>
      </w:r>
      <w:r>
        <w:rPr>
          <w:rFonts w:hint="eastAsia"/>
          <w:lang w:eastAsia="zh-CN"/>
        </w:rPr>
        <w:t>万元，罚没金额</w:t>
      </w:r>
      <w:r>
        <w:rPr>
          <w:lang w:eastAsia="zh-CN"/>
        </w:rPr>
        <w:t>24</w:t>
      </w:r>
      <w:r>
        <w:rPr>
          <w:rFonts w:hint="eastAsia"/>
          <w:lang w:eastAsia="zh-CN"/>
        </w:rPr>
        <w:t>万元，涉及“安踏”“始祖鸟”等多个驰名商标。（五）加强食品药品安全检查。在食品安全方面，2024年度持续开展食品生产、经营企业一品一码追溯系统的宣传创建。全区</w:t>
      </w:r>
      <w:r>
        <w:rPr>
          <w:lang w:eastAsia="zh-CN"/>
        </w:rPr>
        <w:t>966</w:t>
      </w:r>
      <w:r>
        <w:rPr>
          <w:rFonts w:hint="eastAsia"/>
          <w:lang w:eastAsia="zh-CN"/>
        </w:rPr>
        <w:t>家食品生产经营企业、学校食堂注册省级追溯系统，累计上传追溯数据</w:t>
      </w:r>
      <w:r>
        <w:rPr>
          <w:lang w:eastAsia="zh-CN"/>
        </w:rPr>
        <w:t>1300</w:t>
      </w:r>
      <w:r>
        <w:rPr>
          <w:rFonts w:hint="eastAsia"/>
          <w:lang w:eastAsia="zh-CN"/>
        </w:rPr>
        <w:t>万余条，其中，食品生产企业、批发和批零兼营企业、大型餐饮单位、学校食堂注册省级追溯系统率达</w:t>
      </w:r>
      <w:r>
        <w:rPr>
          <w:lang w:eastAsia="zh-CN"/>
        </w:rPr>
        <w:t>100%</w:t>
      </w:r>
      <w:r>
        <w:rPr>
          <w:rFonts w:hint="eastAsia"/>
          <w:lang w:eastAsia="zh-CN"/>
        </w:rPr>
        <w:t>，初步实现食品安全全链条可追溯。在药品安全方面，2024年度</w:t>
      </w:r>
      <w:r>
        <w:rPr>
          <w:lang w:eastAsia="zh-CN"/>
        </w:rPr>
        <w:t>共完成省、市局下达的药品监督抽检任务30批次、快检100批次，化妆品监督抽检4批次、快检10批次</w:t>
      </w:r>
      <w:r>
        <w:rPr>
          <w:rFonts w:hint="eastAsia"/>
          <w:lang w:eastAsia="zh-CN"/>
        </w:rPr>
        <w:t>，</w:t>
      </w:r>
      <w:r>
        <w:rPr>
          <w:lang w:eastAsia="zh-CN"/>
        </w:rPr>
        <w:t>医疗器械监督抽检5批次。审核上报药械化不良反应</w:t>
      </w:r>
      <w:r>
        <w:rPr>
          <w:rFonts w:hint="eastAsia"/>
          <w:lang w:eastAsia="zh-CN"/>
        </w:rPr>
        <w:t>事件</w:t>
      </w:r>
      <w:r>
        <w:rPr>
          <w:lang w:eastAsia="zh-CN"/>
        </w:rPr>
        <w:t>报告，药品243例，医疗器械121例，化妆品33例。</w:t>
      </w:r>
      <w:r>
        <w:rPr>
          <w:rFonts w:hint="eastAsia"/>
          <w:lang w:eastAsia="zh-CN"/>
        </w:rPr>
        <w:t>2024年度</w:t>
      </w:r>
      <w:r>
        <w:rPr>
          <w:lang w:eastAsia="zh-CN"/>
        </w:rPr>
        <w:t>共检查零售药店160家次、医疗机构153家次，移交执法四大队案件线索5起，联合公安办理药品案件2起</w:t>
      </w:r>
      <w:r>
        <w:rPr>
          <w:rFonts w:hint="eastAsia"/>
          <w:lang w:eastAsia="zh-CN"/>
        </w:rPr>
        <w:t>。</w:t>
      </w:r>
    </w:p>
    <w:p w14:paraId="7060A700">
      <w:pPr>
        <w:pStyle w:val="3"/>
        <w:bidi w:val="0"/>
        <w:rPr>
          <w:rFonts w:hint="eastAsia"/>
          <w:lang w:eastAsia="zh-CN"/>
        </w:rPr>
      </w:pPr>
      <w:bookmarkStart w:id="290" w:name="bookmark47"/>
      <w:bookmarkEnd w:id="290"/>
      <w:bookmarkStart w:id="291" w:name="bookmark48"/>
      <w:bookmarkEnd w:id="291"/>
      <w:bookmarkStart w:id="292" w:name="_Toc181558038"/>
      <w:bookmarkStart w:id="293" w:name="_Toc30944"/>
      <w:bookmarkStart w:id="294" w:name="_Toc7666"/>
      <w:bookmarkStart w:id="295" w:name="_Toc217363533"/>
      <w:bookmarkStart w:id="296" w:name="_Toc13631"/>
      <w:r>
        <w:rPr>
          <w:rFonts w:hint="eastAsia"/>
          <w:lang w:eastAsia="zh-CN"/>
        </w:rPr>
        <w:t>九、存在问题</w:t>
      </w:r>
      <w:bookmarkEnd w:id="292"/>
      <w:bookmarkEnd w:id="293"/>
      <w:bookmarkEnd w:id="294"/>
      <w:bookmarkEnd w:id="295"/>
      <w:bookmarkEnd w:id="296"/>
    </w:p>
    <w:p w14:paraId="46F3AD13">
      <w:pPr>
        <w:pStyle w:val="4"/>
        <w:bidi w:val="0"/>
        <w:rPr>
          <w:rFonts w:hint="eastAsia"/>
          <w:lang w:eastAsia="zh-CN"/>
        </w:rPr>
      </w:pPr>
      <w:bookmarkStart w:id="297" w:name="_Toc214050239"/>
      <w:bookmarkStart w:id="298" w:name="_Toc181558039"/>
      <w:bookmarkStart w:id="299" w:name="_Toc11814"/>
      <w:bookmarkStart w:id="300" w:name="_Toc5469"/>
      <w:bookmarkStart w:id="301" w:name="_Toc217363534"/>
      <w:r>
        <w:rPr>
          <w:rFonts w:hint="eastAsia"/>
          <w:lang w:eastAsia="zh-CN"/>
        </w:rPr>
        <w:t>（一）</w:t>
      </w:r>
      <w:bookmarkEnd w:id="297"/>
      <w:bookmarkEnd w:id="298"/>
      <w:r>
        <w:rPr>
          <w:rFonts w:hint="eastAsia"/>
          <w:lang w:eastAsia="zh-CN"/>
        </w:rPr>
        <w:t>资金支付未严格遵循合同约定</w:t>
      </w:r>
      <w:bookmarkEnd w:id="299"/>
      <w:bookmarkEnd w:id="300"/>
      <w:bookmarkEnd w:id="301"/>
    </w:p>
    <w:p w14:paraId="0D439855">
      <w:pPr>
        <w:bidi w:val="0"/>
        <w:rPr>
          <w:rFonts w:hint="eastAsia"/>
          <w:lang w:eastAsia="zh-CN"/>
        </w:rPr>
      </w:pPr>
      <w:r>
        <w:rPr>
          <w:rFonts w:hint="eastAsia"/>
          <w:lang w:eastAsia="zh-CN"/>
        </w:rPr>
        <w:t>泉州市洛江区市场监督管理局在资金支付方面存在未严格按照合同约定付款的情况。例如在</w:t>
      </w:r>
      <w:r>
        <w:rPr>
          <w:lang w:eastAsia="zh-CN"/>
        </w:rPr>
        <w:t>2024</w:t>
      </w:r>
      <w:r>
        <w:rPr>
          <w:rFonts w:hint="eastAsia"/>
          <w:lang w:eastAsia="zh-CN"/>
        </w:rPr>
        <w:t>年</w:t>
      </w:r>
      <w:r>
        <w:rPr>
          <w:lang w:eastAsia="zh-CN"/>
        </w:rPr>
        <w:t>11</w:t>
      </w:r>
      <w:r>
        <w:rPr>
          <w:rFonts w:hint="eastAsia"/>
          <w:lang w:eastAsia="zh-CN"/>
        </w:rPr>
        <w:t>月</w:t>
      </w:r>
      <w:r>
        <w:rPr>
          <w:lang w:eastAsia="zh-CN"/>
        </w:rPr>
        <w:t>-5#</w:t>
      </w:r>
      <w:r>
        <w:rPr>
          <w:rFonts w:hint="eastAsia"/>
          <w:lang w:eastAsia="zh-CN"/>
        </w:rPr>
        <w:t>凭证中，合同约定的付款方式为签订合同后一次性支付，实际开票时间20</w:t>
      </w:r>
      <w:r>
        <w:rPr>
          <w:lang w:eastAsia="zh-CN"/>
        </w:rPr>
        <w:t>24</w:t>
      </w:r>
      <w:r>
        <w:rPr>
          <w:rFonts w:hint="eastAsia"/>
          <w:lang w:eastAsia="zh-CN"/>
        </w:rPr>
        <w:t>年</w:t>
      </w:r>
      <w:r>
        <w:rPr>
          <w:lang w:eastAsia="zh-CN"/>
        </w:rPr>
        <w:t>8</w:t>
      </w:r>
      <w:r>
        <w:rPr>
          <w:rFonts w:hint="eastAsia"/>
          <w:lang w:eastAsia="zh-CN"/>
        </w:rPr>
        <w:t>月，实际付款时间为20</w:t>
      </w:r>
      <w:r>
        <w:rPr>
          <w:lang w:eastAsia="zh-CN"/>
        </w:rPr>
        <w:t>24</w:t>
      </w:r>
      <w:r>
        <w:rPr>
          <w:rFonts w:hint="eastAsia"/>
          <w:lang w:eastAsia="zh-CN"/>
        </w:rPr>
        <w:t>年</w:t>
      </w:r>
      <w:r>
        <w:rPr>
          <w:lang w:eastAsia="zh-CN"/>
        </w:rPr>
        <w:t>11</w:t>
      </w:r>
      <w:r>
        <w:rPr>
          <w:rFonts w:hint="eastAsia"/>
          <w:lang w:eastAsia="zh-CN"/>
        </w:rPr>
        <w:t>月</w:t>
      </w:r>
      <w:r>
        <w:rPr>
          <w:lang w:eastAsia="zh-CN"/>
        </w:rPr>
        <w:t>5</w:t>
      </w:r>
      <w:r>
        <w:rPr>
          <w:rFonts w:hint="eastAsia"/>
          <w:lang w:eastAsia="zh-CN"/>
        </w:rPr>
        <w:t>日，实际付款时间不符合合同的约定；另外，</w:t>
      </w:r>
      <w:r>
        <w:rPr>
          <w:lang w:eastAsia="zh-CN"/>
        </w:rPr>
        <w:t>2024</w:t>
      </w:r>
      <w:r>
        <w:rPr>
          <w:rFonts w:hint="eastAsia"/>
          <w:lang w:eastAsia="zh-CN"/>
        </w:rPr>
        <w:t>年</w:t>
      </w:r>
      <w:r>
        <w:rPr>
          <w:lang w:eastAsia="zh-CN"/>
        </w:rPr>
        <w:t>6</w:t>
      </w:r>
      <w:r>
        <w:rPr>
          <w:rFonts w:hint="eastAsia"/>
          <w:lang w:eastAsia="zh-CN"/>
        </w:rPr>
        <w:t>月</w:t>
      </w:r>
      <w:r>
        <w:rPr>
          <w:lang w:eastAsia="zh-CN"/>
        </w:rPr>
        <w:t>-28#</w:t>
      </w:r>
      <w:r>
        <w:rPr>
          <w:rFonts w:hint="eastAsia"/>
          <w:lang w:eastAsia="zh-CN"/>
        </w:rPr>
        <w:t>凭证，合同约定开票后</w:t>
      </w:r>
      <w:r>
        <w:rPr>
          <w:lang w:eastAsia="zh-CN"/>
        </w:rPr>
        <w:t>5</w:t>
      </w:r>
      <w:r>
        <w:rPr>
          <w:rFonts w:hint="eastAsia"/>
          <w:lang w:eastAsia="zh-CN"/>
        </w:rPr>
        <w:t>个工作日内一次性支付款项，20</w:t>
      </w:r>
      <w:r>
        <w:rPr>
          <w:lang w:eastAsia="zh-CN"/>
        </w:rPr>
        <w:t>24</w:t>
      </w:r>
      <w:r>
        <w:rPr>
          <w:rFonts w:hint="eastAsia"/>
          <w:lang w:eastAsia="zh-CN"/>
        </w:rPr>
        <w:t>年度开票日期为</w:t>
      </w:r>
      <w:r>
        <w:rPr>
          <w:lang w:eastAsia="zh-CN"/>
        </w:rPr>
        <w:t>2024</w:t>
      </w:r>
      <w:r>
        <w:rPr>
          <w:rFonts w:hint="eastAsia"/>
          <w:lang w:eastAsia="zh-CN"/>
        </w:rPr>
        <w:t>年</w:t>
      </w:r>
      <w:r>
        <w:rPr>
          <w:lang w:eastAsia="zh-CN"/>
        </w:rPr>
        <w:t>5</w:t>
      </w:r>
      <w:r>
        <w:rPr>
          <w:rFonts w:hint="eastAsia"/>
          <w:lang w:eastAsia="zh-CN"/>
        </w:rPr>
        <w:t>月</w:t>
      </w:r>
      <w:r>
        <w:rPr>
          <w:lang w:eastAsia="zh-CN"/>
        </w:rPr>
        <w:t>21</w:t>
      </w:r>
      <w:r>
        <w:rPr>
          <w:rFonts w:hint="eastAsia"/>
          <w:lang w:eastAsia="zh-CN"/>
        </w:rPr>
        <w:t>日，实际付款日期为</w:t>
      </w:r>
      <w:r>
        <w:rPr>
          <w:lang w:eastAsia="zh-CN"/>
        </w:rPr>
        <w:t>2024</w:t>
      </w:r>
      <w:r>
        <w:rPr>
          <w:rFonts w:hint="eastAsia"/>
          <w:lang w:eastAsia="zh-CN"/>
        </w:rPr>
        <w:t>年</w:t>
      </w:r>
      <w:r>
        <w:rPr>
          <w:lang w:eastAsia="zh-CN"/>
        </w:rPr>
        <w:t>6</w:t>
      </w:r>
      <w:r>
        <w:rPr>
          <w:rFonts w:hint="eastAsia"/>
          <w:lang w:eastAsia="zh-CN"/>
        </w:rPr>
        <w:t>月</w:t>
      </w:r>
      <w:r>
        <w:rPr>
          <w:lang w:eastAsia="zh-CN"/>
        </w:rPr>
        <w:t>14</w:t>
      </w:r>
      <w:r>
        <w:rPr>
          <w:rFonts w:hint="eastAsia"/>
          <w:lang w:eastAsia="zh-CN"/>
        </w:rPr>
        <w:t>日，实际付款时间也不符合合同的约定。</w:t>
      </w:r>
    </w:p>
    <w:p w14:paraId="7537B3F7">
      <w:pPr>
        <w:pStyle w:val="4"/>
        <w:bidi w:val="0"/>
        <w:rPr>
          <w:rFonts w:hint="eastAsia"/>
          <w:lang w:eastAsia="zh-CN"/>
        </w:rPr>
      </w:pPr>
      <w:bookmarkStart w:id="302" w:name="_Toc217363535"/>
      <w:bookmarkStart w:id="303" w:name="_Toc32363"/>
      <w:bookmarkStart w:id="304" w:name="_Toc11461"/>
      <w:r>
        <w:rPr>
          <w:rFonts w:hint="eastAsia"/>
          <w:lang w:eastAsia="zh-CN"/>
        </w:rPr>
        <w:t>（二）部分合同及验收资料关键信息缺失</w:t>
      </w:r>
      <w:bookmarkEnd w:id="302"/>
      <w:bookmarkEnd w:id="303"/>
      <w:bookmarkEnd w:id="304"/>
    </w:p>
    <w:p w14:paraId="750008AF">
      <w:pPr>
        <w:bidi w:val="0"/>
        <w:rPr>
          <w:rFonts w:hint="eastAsia"/>
          <w:lang w:eastAsia="zh-CN"/>
        </w:rPr>
      </w:pPr>
      <w:r>
        <w:rPr>
          <w:rFonts w:hint="eastAsia"/>
          <w:lang w:eastAsia="zh-CN"/>
        </w:rPr>
        <w:t>部分合同签订方面存在未明确合同签订日期，在验收报告中未明确验收日期。例如，</w:t>
      </w:r>
      <w:r>
        <w:rPr>
          <w:lang w:eastAsia="zh-CN"/>
        </w:rPr>
        <w:t>2024</w:t>
      </w:r>
      <w:r>
        <w:rPr>
          <w:rFonts w:hint="eastAsia"/>
          <w:lang w:eastAsia="zh-CN"/>
        </w:rPr>
        <w:t>年</w:t>
      </w:r>
      <w:r>
        <w:rPr>
          <w:lang w:eastAsia="zh-CN"/>
        </w:rPr>
        <w:t>11</w:t>
      </w:r>
      <w:r>
        <w:rPr>
          <w:rFonts w:hint="eastAsia"/>
          <w:lang w:eastAsia="zh-CN"/>
        </w:rPr>
        <w:t>月</w:t>
      </w:r>
      <w:r>
        <w:rPr>
          <w:lang w:eastAsia="zh-CN"/>
        </w:rPr>
        <w:t>5</w:t>
      </w:r>
      <w:r>
        <w:rPr>
          <w:rFonts w:hint="eastAsia"/>
          <w:lang w:eastAsia="zh-CN"/>
        </w:rPr>
        <w:t>号凭证中的技术服务合同中未填写合同签订日期，</w:t>
      </w:r>
      <w:r>
        <w:rPr>
          <w:lang w:eastAsia="zh-CN"/>
        </w:rPr>
        <w:t>2024</w:t>
      </w:r>
      <w:r>
        <w:rPr>
          <w:rFonts w:hint="eastAsia"/>
          <w:lang w:eastAsia="zh-CN"/>
        </w:rPr>
        <w:t>年</w:t>
      </w:r>
      <w:r>
        <w:rPr>
          <w:lang w:eastAsia="zh-CN"/>
        </w:rPr>
        <w:t>6</w:t>
      </w:r>
      <w:r>
        <w:rPr>
          <w:rFonts w:hint="eastAsia"/>
          <w:lang w:eastAsia="zh-CN"/>
        </w:rPr>
        <w:t>月</w:t>
      </w:r>
      <w:r>
        <w:rPr>
          <w:lang w:eastAsia="zh-CN"/>
        </w:rPr>
        <w:t>28</w:t>
      </w:r>
      <w:r>
        <w:rPr>
          <w:rFonts w:hint="eastAsia"/>
          <w:lang w:eastAsia="zh-CN"/>
        </w:rPr>
        <w:t>号凭证中的广告宣传合同中未填写合同签订日期，</w:t>
      </w:r>
      <w:r>
        <w:rPr>
          <w:lang w:eastAsia="zh-CN"/>
        </w:rPr>
        <w:t>2024</w:t>
      </w:r>
      <w:r>
        <w:rPr>
          <w:rFonts w:hint="eastAsia"/>
          <w:lang w:eastAsia="zh-CN"/>
        </w:rPr>
        <w:t>年</w:t>
      </w:r>
      <w:r>
        <w:rPr>
          <w:lang w:eastAsia="zh-CN"/>
        </w:rPr>
        <w:t>10</w:t>
      </w:r>
      <w:r>
        <w:rPr>
          <w:rFonts w:hint="eastAsia"/>
          <w:lang w:eastAsia="zh-CN"/>
        </w:rPr>
        <w:t>月</w:t>
      </w:r>
      <w:r>
        <w:rPr>
          <w:lang w:eastAsia="zh-CN"/>
        </w:rPr>
        <w:t>45</w:t>
      </w:r>
      <w:r>
        <w:rPr>
          <w:rFonts w:hint="eastAsia"/>
          <w:lang w:eastAsia="zh-CN"/>
        </w:rPr>
        <w:t>号凭证中满意度调查验收报告中未填写验收日期。</w:t>
      </w:r>
    </w:p>
    <w:p w14:paraId="1D5A0874">
      <w:pPr>
        <w:pStyle w:val="4"/>
        <w:bidi w:val="0"/>
        <w:rPr>
          <w:rFonts w:hint="eastAsia"/>
          <w:lang w:eastAsia="zh-CN"/>
        </w:rPr>
      </w:pPr>
      <w:bookmarkStart w:id="305" w:name="_Toc217363536"/>
      <w:bookmarkStart w:id="306" w:name="_Toc4830"/>
      <w:bookmarkStart w:id="307" w:name="_Toc30945"/>
      <w:r>
        <w:rPr>
          <w:rFonts w:hint="eastAsia"/>
          <w:lang w:eastAsia="zh-CN"/>
        </w:rPr>
        <w:t>（三）工程项目交付出现延期</w:t>
      </w:r>
      <w:bookmarkEnd w:id="305"/>
      <w:bookmarkEnd w:id="306"/>
      <w:bookmarkEnd w:id="307"/>
    </w:p>
    <w:p w14:paraId="22030CC1">
      <w:pPr>
        <w:bidi w:val="0"/>
        <w:rPr>
          <w:rFonts w:hint="eastAsia"/>
          <w:lang w:eastAsia="zh-CN"/>
        </w:rPr>
      </w:pPr>
      <w:r>
        <w:rPr>
          <w:rFonts w:hint="eastAsia"/>
          <w:lang w:eastAsia="zh-CN"/>
        </w:rPr>
        <w:t>在工程类项目执行中，存在未按合同约定时间完成交付的情况。例如，安置房小区电瓶车电梯管控系统和公共安全信息平台建设采购项目，合同签订日期为2024年7月18日，合同约定设备交付期限为合同签订之日起60日内完成硬件安装并验收，但根据验收报告所示，实际验收日期为2024年12月16日，硬件安装交付方面未严格按照合同约定执行，存在交付延期。</w:t>
      </w:r>
    </w:p>
    <w:p w14:paraId="6A0D0DF2">
      <w:pPr>
        <w:pStyle w:val="4"/>
        <w:bidi w:val="0"/>
        <w:rPr>
          <w:rFonts w:hint="eastAsia"/>
          <w:lang w:eastAsia="zh-CN"/>
        </w:rPr>
      </w:pPr>
      <w:bookmarkStart w:id="308" w:name="_Toc13088"/>
      <w:bookmarkStart w:id="309" w:name="_Toc217363537"/>
      <w:bookmarkStart w:id="310" w:name="_Toc17108"/>
      <w:bookmarkStart w:id="311" w:name="_Toc28134"/>
      <w:r>
        <w:rPr>
          <w:rFonts w:hint="eastAsia"/>
          <w:lang w:eastAsia="zh-CN"/>
        </w:rPr>
        <w:t>（四）执法人员专业能力有待提高</w:t>
      </w:r>
      <w:bookmarkEnd w:id="308"/>
      <w:bookmarkEnd w:id="309"/>
      <w:bookmarkEnd w:id="310"/>
    </w:p>
    <w:p w14:paraId="11DCE1D8">
      <w:pPr>
        <w:bidi w:val="0"/>
        <w:rPr>
          <w:rFonts w:hint="eastAsia"/>
          <w:lang w:eastAsia="zh-CN"/>
        </w:rPr>
      </w:pPr>
      <w:r>
        <w:rPr>
          <w:rFonts w:hint="eastAsia"/>
          <w:lang w:eastAsia="zh-CN"/>
        </w:rPr>
        <w:t>部分执法人员专业能力与当前监管要求存在差距，例如，在进行食品安全执法过程中，执法人员在对食品小作坊排查时存在无法排查出食品安全风险的问题；在工业产品质量监管中未能及时跟进标准与法规更新；在食品安全检验或工业产品检验方面对第三方检测依赖较大。</w:t>
      </w:r>
    </w:p>
    <w:p w14:paraId="61D0E8A5">
      <w:pPr>
        <w:pStyle w:val="4"/>
        <w:bidi w:val="0"/>
        <w:rPr>
          <w:rFonts w:hint="eastAsia"/>
          <w:lang w:eastAsia="zh-CN"/>
        </w:rPr>
      </w:pPr>
      <w:bookmarkStart w:id="312" w:name="_Toc5793"/>
      <w:bookmarkStart w:id="313" w:name="_Toc217363538"/>
      <w:bookmarkStart w:id="314" w:name="_Toc1320"/>
      <w:r>
        <w:rPr>
          <w:rFonts w:hint="eastAsia"/>
          <w:lang w:eastAsia="zh-CN"/>
        </w:rPr>
        <w:t>（五）食品安全监管覆盖不全面</w:t>
      </w:r>
      <w:bookmarkEnd w:id="312"/>
      <w:bookmarkEnd w:id="313"/>
      <w:bookmarkEnd w:id="314"/>
    </w:p>
    <w:p w14:paraId="2679DF3B">
      <w:pPr>
        <w:bidi w:val="0"/>
        <w:rPr>
          <w:rFonts w:hint="eastAsia"/>
          <w:lang w:eastAsia="zh-CN"/>
        </w:rPr>
      </w:pPr>
      <w:bookmarkStart w:id="315" w:name="_Toc181558044"/>
      <w:r>
        <w:rPr>
          <w:rFonts w:hint="eastAsia"/>
          <w:lang w:eastAsia="zh-CN"/>
        </w:rPr>
        <w:t>在食品安全监管工作中，对食品添加剂滥用、标签标识不规范等问题的排查不够系统，对网络餐饮、校园周边食品经营以及农村地区、小作坊等重点领域的监管覆盖不足。抽检覆盖率有待提升，部分区域的整改落实成效不明显，对学校食堂等重点单位的执法处罚力度偏弱，部分商户的整改效果不佳。</w:t>
      </w:r>
    </w:p>
    <w:p w14:paraId="2C759361">
      <w:pPr>
        <w:pStyle w:val="3"/>
        <w:bidi w:val="0"/>
        <w:rPr>
          <w:rFonts w:hint="eastAsia"/>
          <w:lang w:eastAsia="zh-CN"/>
        </w:rPr>
      </w:pPr>
      <w:bookmarkStart w:id="316" w:name="_Toc21426"/>
      <w:bookmarkStart w:id="317" w:name="_Toc217363539"/>
      <w:bookmarkStart w:id="318" w:name="_Toc4313"/>
      <w:r>
        <w:rPr>
          <w:rFonts w:hint="eastAsia"/>
          <w:lang w:eastAsia="zh-CN"/>
        </w:rPr>
        <w:t>十、提出建议</w:t>
      </w:r>
      <w:bookmarkEnd w:id="311"/>
      <w:bookmarkEnd w:id="315"/>
      <w:bookmarkEnd w:id="316"/>
      <w:bookmarkEnd w:id="317"/>
      <w:bookmarkEnd w:id="318"/>
    </w:p>
    <w:p w14:paraId="35A3CBE0">
      <w:pPr>
        <w:pStyle w:val="4"/>
        <w:bidi w:val="0"/>
        <w:rPr>
          <w:rFonts w:hint="eastAsia"/>
          <w:lang w:eastAsia="zh-CN"/>
        </w:rPr>
      </w:pPr>
      <w:bookmarkStart w:id="319" w:name="_Toc181558045"/>
      <w:bookmarkStart w:id="320" w:name="_Toc217363540"/>
      <w:bookmarkStart w:id="321" w:name="_Toc1377"/>
      <w:bookmarkStart w:id="322" w:name="_Toc8006"/>
      <w:r>
        <w:rPr>
          <w:rFonts w:hint="eastAsia"/>
          <w:lang w:eastAsia="zh-CN"/>
        </w:rPr>
        <w:t>（一）</w:t>
      </w:r>
      <w:bookmarkEnd w:id="319"/>
      <w:r>
        <w:rPr>
          <w:rFonts w:hint="eastAsia"/>
          <w:lang w:eastAsia="zh-CN"/>
        </w:rPr>
        <w:t>加强资金支付管理，规范预算执行</w:t>
      </w:r>
      <w:bookmarkEnd w:id="320"/>
      <w:bookmarkEnd w:id="321"/>
      <w:bookmarkEnd w:id="322"/>
    </w:p>
    <w:p w14:paraId="67D12FD5">
      <w:pPr>
        <w:bidi w:val="0"/>
        <w:rPr>
          <w:rFonts w:hint="eastAsia"/>
          <w:lang w:eastAsia="zh-CN"/>
        </w:rPr>
      </w:pPr>
      <w:r>
        <w:rPr>
          <w:rFonts w:hint="eastAsia"/>
          <w:lang w:eastAsia="zh-CN"/>
        </w:rPr>
        <w:t>建议建立健全合同履行与资金支付联动管理机制，明确支付审批各环节责任与时限要求，将合同约定的付款条件作为支付审核的核心依据。推行支付节点预警提示制度，对临近约定支付期限的项目实行提前提醒，对超期支付情况纳入部门绩效考核，切实增强预算执行的规范性与时效性。</w:t>
      </w:r>
    </w:p>
    <w:p w14:paraId="5F24E7F4">
      <w:pPr>
        <w:pStyle w:val="4"/>
        <w:bidi w:val="0"/>
        <w:rPr>
          <w:rFonts w:hint="eastAsia"/>
          <w:lang w:eastAsia="zh-CN"/>
        </w:rPr>
      </w:pPr>
      <w:bookmarkStart w:id="323" w:name="_Toc217363541"/>
      <w:bookmarkStart w:id="324" w:name="_Toc8948"/>
      <w:bookmarkStart w:id="325" w:name="_Toc5853"/>
      <w:r>
        <w:rPr>
          <w:rFonts w:hint="eastAsia"/>
          <w:lang w:eastAsia="zh-CN"/>
        </w:rPr>
        <w:t>（二）完善合同与验收资料管理流程</w:t>
      </w:r>
      <w:bookmarkEnd w:id="323"/>
      <w:bookmarkEnd w:id="324"/>
      <w:bookmarkEnd w:id="325"/>
    </w:p>
    <w:p w14:paraId="25E352DC">
      <w:pPr>
        <w:bidi w:val="0"/>
        <w:rPr>
          <w:rFonts w:hint="eastAsia"/>
          <w:lang w:eastAsia="zh-CN"/>
        </w:rPr>
      </w:pPr>
      <w:r>
        <w:rPr>
          <w:rFonts w:hint="eastAsia"/>
          <w:lang w:eastAsia="zh-CN"/>
        </w:rPr>
        <w:t>建议制定统一的合同文本与验收报告规范模板，明确关键信息填写要求，将签订日期、验收日期等要素列为必填内容。建立合同与验收资料归档前的合规性审查机制，实施“谁经办、谁负责，谁审核、谁监督”的责任制，确保项目全过程留痕、可追溯。</w:t>
      </w:r>
    </w:p>
    <w:p w14:paraId="1CEE85E2">
      <w:pPr>
        <w:pStyle w:val="4"/>
        <w:bidi w:val="0"/>
        <w:rPr>
          <w:rFonts w:hint="eastAsia"/>
          <w:lang w:eastAsia="zh-CN"/>
        </w:rPr>
      </w:pPr>
      <w:bookmarkStart w:id="326" w:name="_Toc22650"/>
      <w:bookmarkStart w:id="327" w:name="_Toc13182"/>
      <w:bookmarkStart w:id="328" w:name="_Toc217363542"/>
      <w:r>
        <w:rPr>
          <w:rFonts w:hint="eastAsia"/>
          <w:lang w:eastAsia="zh-CN"/>
        </w:rPr>
        <w:t>（三）强化项目验收管理，确保项目按时交付</w:t>
      </w:r>
      <w:bookmarkEnd w:id="326"/>
      <w:bookmarkEnd w:id="327"/>
      <w:bookmarkEnd w:id="328"/>
    </w:p>
    <w:p w14:paraId="0592FF47">
      <w:pPr>
        <w:bidi w:val="0"/>
        <w:rPr>
          <w:rFonts w:hint="eastAsia"/>
          <w:lang w:eastAsia="zh-CN"/>
        </w:rPr>
      </w:pPr>
      <w:r>
        <w:rPr>
          <w:rFonts w:hint="eastAsia"/>
          <w:lang w:eastAsia="zh-CN"/>
        </w:rPr>
        <w:t>建议在签订采购合同时明确设备交付、安装、验收的具体节点及延期违约责任条款，避免约定模糊；建立项目进度专项跟踪机制，指定专人对接供应商，定期核实推进情况，及时协调解决供货、施工中的堵点问题；验收阶段严格核对合同约定时限与实际交付情况，对无正当理由的延期行为按合同追究违约责任；同时复盘延期项目根源，优化供应商筛选标准与项目管控流程，提升履约管理效能，确保后续项目按约定完成交付。</w:t>
      </w:r>
    </w:p>
    <w:p w14:paraId="735807E7">
      <w:pPr>
        <w:pStyle w:val="4"/>
        <w:bidi w:val="0"/>
        <w:rPr>
          <w:rFonts w:hint="eastAsia"/>
          <w:lang w:eastAsia="zh-CN"/>
        </w:rPr>
      </w:pPr>
      <w:bookmarkStart w:id="329" w:name="_Toc181558048"/>
      <w:bookmarkStart w:id="330" w:name="_Toc23630"/>
      <w:bookmarkStart w:id="331" w:name="_Toc19938"/>
      <w:bookmarkStart w:id="332" w:name="_Toc217363543"/>
      <w:bookmarkStart w:id="333" w:name="OLE_LINK2"/>
      <w:r>
        <w:rPr>
          <w:rFonts w:hint="eastAsia"/>
          <w:lang w:eastAsia="zh-CN"/>
        </w:rPr>
        <w:t>（四）</w:t>
      </w:r>
      <w:bookmarkEnd w:id="329"/>
      <w:r>
        <w:rPr>
          <w:rFonts w:hint="eastAsia"/>
          <w:lang w:eastAsia="zh-CN"/>
        </w:rPr>
        <w:t>构建系统化培训体系，提升执法人员专业素养</w:t>
      </w:r>
      <w:bookmarkEnd w:id="330"/>
      <w:bookmarkEnd w:id="331"/>
      <w:bookmarkEnd w:id="332"/>
    </w:p>
    <w:bookmarkEnd w:id="333"/>
    <w:p w14:paraId="13342334">
      <w:pPr>
        <w:bidi w:val="0"/>
        <w:rPr>
          <w:rFonts w:hint="eastAsia"/>
          <w:lang w:eastAsia="zh-CN"/>
        </w:rPr>
      </w:pPr>
      <w:r>
        <w:rPr>
          <w:rFonts w:hint="eastAsia"/>
          <w:lang w:eastAsia="zh-CN"/>
        </w:rPr>
        <w:t>建议制定执法人员年度能力提升计划，围绕食品安全、工业产品质量、专利保护等重点领域开展专题培训。建立法规标准更新快速响应机制，确保培训内容与时俱进。同时，推行“传帮带”实训模式，组建专业领域执法骨干团队，减少对外部检测的过度依赖，全面提升自主监管能力。</w:t>
      </w:r>
    </w:p>
    <w:p w14:paraId="52374626">
      <w:pPr>
        <w:pStyle w:val="4"/>
        <w:bidi w:val="0"/>
        <w:rPr>
          <w:rFonts w:hint="eastAsia"/>
          <w:lang w:eastAsia="zh-CN"/>
        </w:rPr>
      </w:pPr>
      <w:bookmarkStart w:id="334" w:name="_Toc217363544"/>
      <w:bookmarkStart w:id="335" w:name="_Toc25774"/>
      <w:bookmarkStart w:id="336" w:name="_Toc20465"/>
      <w:r>
        <w:rPr>
          <w:rFonts w:hint="eastAsia"/>
          <w:lang w:eastAsia="zh-CN"/>
        </w:rPr>
        <w:t>（五）完善食品安全全链条监管，筑牢风险防控体系</w:t>
      </w:r>
      <w:bookmarkEnd w:id="334"/>
      <w:bookmarkEnd w:id="335"/>
      <w:bookmarkEnd w:id="336"/>
    </w:p>
    <w:p w14:paraId="2D8B0BDA">
      <w:pPr>
        <w:bidi w:val="0"/>
        <w:rPr>
          <w:rFonts w:hint="eastAsia"/>
          <w:lang w:eastAsia="zh-CN"/>
        </w:rPr>
      </w:pPr>
      <w:r>
        <w:rPr>
          <w:rFonts w:hint="eastAsia"/>
          <w:lang w:eastAsia="zh-CN"/>
        </w:rPr>
        <w:t>建议建立重点领域风险清单管理制度，针对食品添加剂、标签标识等突出问题开展专项治理。强化网络餐饮、校园周边、农村地区等重点区域的监管资源配置，提高抽检覆盖率和针对性。同时，完善“检查－整改－处罚－回头看”的闭环管理机制，对学校食堂等重点单位实施更严格的监管标准，全面提升食品安全保障水平。</w:t>
      </w:r>
    </w:p>
    <w:p w14:paraId="4A528130">
      <w:pPr>
        <w:pStyle w:val="3"/>
        <w:bidi w:val="0"/>
        <w:rPr>
          <w:rFonts w:hint="eastAsia"/>
          <w:lang w:eastAsia="zh-CN"/>
        </w:rPr>
      </w:pPr>
      <w:bookmarkStart w:id="337" w:name="bookmark63"/>
      <w:bookmarkEnd w:id="337"/>
      <w:bookmarkStart w:id="338" w:name="_Toc11333"/>
      <w:bookmarkStart w:id="339" w:name="_Toc181558050"/>
      <w:bookmarkStart w:id="340" w:name="_Toc20592"/>
      <w:bookmarkStart w:id="341" w:name="_Toc217363545"/>
      <w:bookmarkStart w:id="342" w:name="_Toc28973"/>
      <w:r>
        <w:rPr>
          <w:rFonts w:hint="eastAsia"/>
          <w:lang w:eastAsia="zh-CN"/>
        </w:rPr>
        <w:t>十一、其他需说明事项</w:t>
      </w:r>
      <w:bookmarkEnd w:id="338"/>
      <w:bookmarkEnd w:id="339"/>
      <w:bookmarkEnd w:id="340"/>
      <w:bookmarkEnd w:id="341"/>
      <w:bookmarkEnd w:id="342"/>
    </w:p>
    <w:p w14:paraId="5A32E3DB">
      <w:pPr>
        <w:bidi w:val="0"/>
        <w:rPr>
          <w:rFonts w:hint="eastAsia"/>
          <w:lang w:eastAsia="zh-CN"/>
        </w:rPr>
      </w:pPr>
      <w:r>
        <w:rPr>
          <w:rFonts w:hint="eastAsia"/>
          <w:lang w:eastAsia="zh-CN"/>
        </w:rPr>
        <w:t>本绩效评价报告是在泉州市洛江区市场监督管理局所提供资料及回收的问卷统计数据基础上形成的，泉州市洛江区市场监督管理局须对所提供资料的真实性、准确性和完整性负责。</w:t>
      </w:r>
    </w:p>
    <w:p w14:paraId="6D5C2518">
      <w:pPr>
        <w:widowControl w:val="0"/>
        <w:overflowPunct w:val="0"/>
        <w:snapToGrid/>
        <w:spacing w:line="408" w:lineRule="auto"/>
        <w:ind w:firstLine="556" w:firstLineChars="200"/>
        <w:jc w:val="both"/>
        <w:rPr>
          <w:rFonts w:hint="eastAsia" w:ascii="仿宋" w:hAnsi="仿宋" w:eastAsia="仿宋" w:cs="仿宋"/>
          <w:color w:val="auto"/>
          <w:spacing w:val="-1"/>
          <w:sz w:val="28"/>
          <w:szCs w:val="28"/>
          <w:lang w:eastAsia="zh-CN"/>
        </w:rPr>
      </w:pPr>
    </w:p>
    <w:p w14:paraId="0307F013">
      <w:pPr>
        <w:widowControl w:val="0"/>
        <w:overflowPunct w:val="0"/>
        <w:snapToGrid/>
        <w:spacing w:line="408" w:lineRule="auto"/>
        <w:ind w:firstLine="560" w:firstLineChars="200"/>
        <w:jc w:val="both"/>
        <w:rPr>
          <w:rFonts w:hint="eastAsia" w:ascii="仿宋" w:hAnsi="仿宋" w:eastAsia="仿宋" w:cs="仿宋"/>
          <w:color w:val="auto"/>
          <w:spacing w:val="-2"/>
          <w:sz w:val="28"/>
          <w:szCs w:val="28"/>
          <w:lang w:eastAsia="zh-CN"/>
        </w:rPr>
      </w:pPr>
      <w:bookmarkStart w:id="343" w:name="bookmark64"/>
      <w:bookmarkEnd w:id="343"/>
      <w:bookmarkStart w:id="344" w:name="bookmark65"/>
      <w:bookmarkEnd w:id="344"/>
      <w:r>
        <w:rPr>
          <w:rFonts w:hint="eastAsia" w:ascii="仿宋" w:hAnsi="仿宋" w:eastAsia="仿宋"/>
          <w:sz w:val="28"/>
          <w:lang w:eastAsia="zh-CN"/>
        </w:rPr>
        <w:t xml:space="preserve">                                    </w:t>
      </w:r>
      <w:r>
        <w:rPr>
          <w:rFonts w:hint="eastAsia" w:ascii="仿宋" w:hAnsi="仿宋" w:eastAsia="仿宋" w:cs="仿宋"/>
          <w:color w:val="auto"/>
          <w:spacing w:val="-2"/>
          <w:sz w:val="28"/>
          <w:szCs w:val="28"/>
          <w:lang w:eastAsia="zh-CN"/>
        </w:rPr>
        <w:t>泉州市启程财务咨询有限公司</w:t>
      </w:r>
    </w:p>
    <w:p w14:paraId="6291C12C">
      <w:pPr>
        <w:widowControl w:val="0"/>
        <w:overflowPunct w:val="0"/>
        <w:snapToGrid/>
        <w:spacing w:line="408" w:lineRule="auto"/>
        <w:ind w:firstLine="552" w:firstLineChars="200"/>
        <w:jc w:val="both"/>
        <w:rPr>
          <w:rFonts w:hint="eastAsia" w:ascii="Times New Roman" w:hAnsi="仿宋_GB2312" w:eastAsia="宋体" w:cs="仿宋_GB2312"/>
          <w:color w:val="auto"/>
          <w:spacing w:val="4"/>
          <w:sz w:val="28"/>
          <w:szCs w:val="32"/>
          <w:lang w:eastAsia="zh-CN"/>
        </w:rPr>
      </w:pPr>
      <w:r>
        <w:rPr>
          <w:rFonts w:hint="eastAsia" w:ascii="仿宋" w:hAnsi="仿宋" w:eastAsia="仿宋" w:cs="仿宋"/>
          <w:color w:val="auto"/>
          <w:spacing w:val="-2"/>
          <w:sz w:val="28"/>
          <w:szCs w:val="28"/>
          <w:lang w:eastAsia="zh-CN"/>
        </w:rPr>
        <w:t xml:space="preserve">                                           2025年11月20日</w:t>
      </w:r>
    </w:p>
    <w:p w14:paraId="0CAC9EA4">
      <w:pPr>
        <w:widowControl w:val="0"/>
        <w:overflowPunct w:val="0"/>
        <w:snapToGrid/>
        <w:spacing w:line="360" w:lineRule="auto"/>
        <w:ind w:firstLine="552" w:firstLineChars="200"/>
        <w:rPr>
          <w:rFonts w:hint="eastAsia" w:ascii="仿宋" w:hAnsi="仿宋" w:eastAsia="仿宋" w:cs="仿宋"/>
          <w:color w:val="auto"/>
          <w:spacing w:val="-2"/>
          <w:sz w:val="28"/>
          <w:szCs w:val="28"/>
          <w:lang w:eastAsia="zh-CN"/>
          <w14:textOutline w14:w="5105" w14:cap="sq" w14:cmpd="sng" w14:algn="ctr">
            <w14:solidFill>
              <w14:srgbClr w14:val="000000"/>
            </w14:solidFill>
            <w14:prstDash w14:val="solid"/>
            <w14:bevel/>
          </w14:textOutline>
        </w:rPr>
        <w:sectPr>
          <w:footerReference r:id="rId8" w:type="default"/>
          <w:pgSz w:w="11906" w:h="16839"/>
          <w:pgMar w:top="1440" w:right="1800" w:bottom="1440" w:left="1800" w:header="0" w:footer="987" w:gutter="0"/>
          <w:pgNumType w:fmt="decimal" w:start="1"/>
          <w:cols w:space="720" w:num="1"/>
        </w:sectPr>
      </w:pPr>
    </w:p>
    <w:p w14:paraId="554EA20A">
      <w:pPr>
        <w:pStyle w:val="3"/>
        <w:bidi w:val="0"/>
        <w:rPr>
          <w:rFonts w:hint="eastAsia"/>
          <w:lang w:eastAsia="zh-CN"/>
        </w:rPr>
      </w:pPr>
      <w:bookmarkStart w:id="345" w:name="bookmark69"/>
      <w:bookmarkEnd w:id="345"/>
      <w:bookmarkStart w:id="346" w:name="_Toc179818221"/>
      <w:bookmarkStart w:id="347" w:name="_Toc32041"/>
      <w:bookmarkStart w:id="348" w:name="_Toc11591"/>
      <w:bookmarkStart w:id="349" w:name="_Toc181558051"/>
      <w:bookmarkStart w:id="350" w:name="_Toc217363546"/>
      <w:r>
        <w:rPr>
          <w:rFonts w:hint="eastAsia"/>
          <w:lang w:eastAsia="zh-CN"/>
        </w:rPr>
        <w:t>附件一：调查问卷</w:t>
      </w:r>
      <w:bookmarkEnd w:id="346"/>
      <w:bookmarkEnd w:id="347"/>
      <w:bookmarkEnd w:id="348"/>
      <w:bookmarkEnd w:id="349"/>
      <w:bookmarkEnd w:id="350"/>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31"/>
        <w:gridCol w:w="591"/>
      </w:tblGrid>
      <w:tr w14:paraId="5DA17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trPr>
        <w:tc>
          <w:tcPr>
            <w:tcW w:w="4653" w:type="pct"/>
            <w:shd w:val="clear" w:color="auto" w:fill="D8D8D8" w:themeFill="background1" w:themeFillShade="D9"/>
            <w:vAlign w:val="center"/>
          </w:tcPr>
          <w:p w14:paraId="44AB36C5">
            <w:pPr>
              <w:pStyle w:val="18"/>
              <w:bidi w:val="0"/>
              <w:jc w:val="center"/>
              <w:rPr>
                <w:rFonts w:hint="eastAsia"/>
                <w:b/>
                <w:bCs/>
              </w:rPr>
            </w:pPr>
            <w:r>
              <w:rPr>
                <w:rFonts w:hint="eastAsia"/>
                <w:b/>
                <w:bCs/>
              </w:rPr>
              <w:t>调查项目</w:t>
            </w:r>
          </w:p>
        </w:tc>
        <w:tc>
          <w:tcPr>
            <w:tcW w:w="347" w:type="pct"/>
            <w:shd w:val="clear" w:color="auto" w:fill="D8D8D8" w:themeFill="background1" w:themeFillShade="D9"/>
            <w:vAlign w:val="center"/>
          </w:tcPr>
          <w:p w14:paraId="7760F4EF">
            <w:pPr>
              <w:pStyle w:val="18"/>
              <w:bidi w:val="0"/>
              <w:jc w:val="center"/>
              <w:rPr>
                <w:rFonts w:hint="eastAsia"/>
                <w:b/>
                <w:bCs/>
              </w:rPr>
            </w:pPr>
            <w:r>
              <w:rPr>
                <w:rFonts w:hint="eastAsia"/>
                <w:b/>
                <w:bCs/>
              </w:rPr>
              <w:t>选择</w:t>
            </w:r>
          </w:p>
        </w:tc>
      </w:tr>
      <w:tr w14:paraId="1592F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17948DF6">
            <w:pPr>
              <w:pStyle w:val="18"/>
              <w:bidi w:val="0"/>
              <w:rPr>
                <w:rFonts w:hint="eastAsia"/>
                <w:lang w:eastAsia="zh-CN"/>
              </w:rPr>
            </w:pPr>
            <w:r>
              <w:rPr>
                <w:rFonts w:hint="eastAsia"/>
                <w:lang w:eastAsia="zh-CN"/>
              </w:rPr>
              <w:t>（1）</w:t>
            </w:r>
            <w:r>
              <w:rPr>
                <w:lang w:eastAsia="zh-CN"/>
              </w:rPr>
              <w:t>您的身份是</w:t>
            </w:r>
            <w:r>
              <w:rPr>
                <w:rFonts w:hint="eastAsia"/>
                <w:lang w:eastAsia="zh-CN"/>
              </w:rPr>
              <w:t>？</w:t>
            </w:r>
            <w:r>
              <w:rPr>
                <w:rFonts w:hint="eastAsia"/>
                <w:lang w:eastAsia="zh-CN"/>
              </w:rPr>
              <w:br w:type="textWrapping"/>
            </w:r>
            <w:r>
              <w:rPr>
                <w:lang w:eastAsia="zh-CN"/>
              </w:rPr>
              <w:t>A：企业经营者</w:t>
            </w:r>
          </w:p>
          <w:p w14:paraId="3916E797">
            <w:pPr>
              <w:pStyle w:val="18"/>
              <w:bidi w:val="0"/>
              <w:rPr>
                <w:rFonts w:hint="eastAsia"/>
                <w:lang w:eastAsia="zh-CN"/>
              </w:rPr>
            </w:pPr>
            <w:r>
              <w:rPr>
                <w:lang w:eastAsia="zh-CN"/>
              </w:rPr>
              <w:t>B：个体工商户</w:t>
            </w:r>
          </w:p>
          <w:p w14:paraId="3EBF61CC">
            <w:pPr>
              <w:pStyle w:val="18"/>
              <w:bidi w:val="0"/>
              <w:rPr>
                <w:rFonts w:hint="eastAsia"/>
                <w:lang w:eastAsia="zh-CN"/>
              </w:rPr>
            </w:pPr>
            <w:r>
              <w:rPr>
                <w:lang w:eastAsia="zh-CN"/>
              </w:rPr>
              <w:t>C：普通消费者</w:t>
            </w:r>
          </w:p>
          <w:p w14:paraId="4F17B60F">
            <w:pPr>
              <w:pStyle w:val="18"/>
              <w:bidi w:val="0"/>
              <w:rPr>
                <w:rFonts w:hint="eastAsia"/>
                <w:lang w:eastAsia="zh-CN"/>
              </w:rPr>
            </w:pPr>
            <w:r>
              <w:rPr>
                <w:lang w:eastAsia="zh-CN"/>
              </w:rPr>
              <w:t>D：</w:t>
            </w:r>
            <w:r>
              <w:rPr>
                <w:rFonts w:hint="eastAsia"/>
                <w:lang w:eastAsia="zh-CN"/>
              </w:rPr>
              <w:t>学生</w:t>
            </w:r>
          </w:p>
        </w:tc>
        <w:tc>
          <w:tcPr>
            <w:tcW w:w="347" w:type="pct"/>
            <w:vAlign w:val="center"/>
          </w:tcPr>
          <w:p w14:paraId="5BB04D51">
            <w:pPr>
              <w:pStyle w:val="18"/>
              <w:bidi w:val="0"/>
              <w:rPr>
                <w:rFonts w:hint="eastAsia"/>
                <w:lang w:eastAsia="zh-CN"/>
              </w:rPr>
            </w:pPr>
          </w:p>
        </w:tc>
      </w:tr>
      <w:tr w14:paraId="2BD653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431533D5">
            <w:pPr>
              <w:pStyle w:val="18"/>
              <w:bidi w:val="0"/>
              <w:rPr>
                <w:rFonts w:hint="eastAsia"/>
                <w:lang w:eastAsia="zh-CN"/>
              </w:rPr>
            </w:pPr>
            <w:r>
              <w:rPr>
                <w:rFonts w:hint="eastAsia"/>
                <w:lang w:eastAsia="zh-CN"/>
              </w:rPr>
              <w:t>（2）</w:t>
            </w:r>
            <w:r>
              <w:rPr>
                <w:lang w:eastAsia="zh-CN"/>
              </w:rPr>
              <w:t>您是否知晓泉州市洛江区市场监督管理局的工作职责</w:t>
            </w:r>
            <w:r>
              <w:rPr>
                <w:rFonts w:hint="eastAsia"/>
                <w:lang w:eastAsia="zh-CN"/>
              </w:rPr>
              <w:t>？</w:t>
            </w:r>
            <w:r>
              <w:rPr>
                <w:rFonts w:hint="eastAsia"/>
                <w:lang w:eastAsia="zh-CN"/>
              </w:rPr>
              <w:br w:type="textWrapping"/>
            </w:r>
            <w:r>
              <w:rPr>
                <w:rFonts w:hint="eastAsia"/>
                <w:lang w:eastAsia="zh-CN"/>
              </w:rPr>
              <w:t>A：</w:t>
            </w:r>
            <w:r>
              <w:rPr>
                <w:lang w:eastAsia="zh-CN"/>
              </w:rPr>
              <w:t>非常清楚</w:t>
            </w:r>
            <w:r>
              <w:rPr>
                <w:rFonts w:hint="eastAsia"/>
                <w:lang w:eastAsia="zh-CN"/>
              </w:rPr>
              <w:br w:type="textWrapping"/>
            </w:r>
            <w:r>
              <w:rPr>
                <w:rFonts w:hint="eastAsia"/>
                <w:lang w:eastAsia="zh-CN"/>
              </w:rPr>
              <w:t>B：</w:t>
            </w:r>
            <w:r>
              <w:rPr>
                <w:lang w:eastAsia="zh-CN"/>
              </w:rPr>
              <w:t>大致了解</w:t>
            </w:r>
            <w:r>
              <w:rPr>
                <w:rFonts w:hint="eastAsia"/>
                <w:lang w:eastAsia="zh-CN"/>
              </w:rPr>
              <w:br w:type="textWrapping"/>
            </w:r>
            <w:r>
              <w:rPr>
                <w:rFonts w:hint="eastAsia"/>
                <w:lang w:eastAsia="zh-CN"/>
              </w:rPr>
              <w:t>C：</w:t>
            </w:r>
            <w:r>
              <w:rPr>
                <w:lang w:eastAsia="zh-CN"/>
              </w:rPr>
              <w:t>不太清楚</w:t>
            </w:r>
          </w:p>
          <w:p w14:paraId="1F723BA9">
            <w:pPr>
              <w:pStyle w:val="18"/>
              <w:bidi w:val="0"/>
              <w:rPr>
                <w:rFonts w:hint="eastAsia"/>
                <w:lang w:eastAsia="zh-CN"/>
              </w:rPr>
            </w:pPr>
            <w:r>
              <w:rPr>
                <w:rFonts w:hint="eastAsia"/>
                <w:lang w:eastAsia="zh-CN"/>
              </w:rPr>
              <w:t>D：完全不了解</w:t>
            </w:r>
          </w:p>
        </w:tc>
        <w:tc>
          <w:tcPr>
            <w:tcW w:w="347" w:type="pct"/>
            <w:vAlign w:val="center"/>
          </w:tcPr>
          <w:p w14:paraId="7C678E98">
            <w:pPr>
              <w:pStyle w:val="18"/>
              <w:bidi w:val="0"/>
              <w:rPr>
                <w:rFonts w:hint="eastAsia"/>
                <w:lang w:eastAsia="zh-CN"/>
              </w:rPr>
            </w:pPr>
          </w:p>
        </w:tc>
      </w:tr>
      <w:tr w14:paraId="4B6A0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583B3BE2">
            <w:pPr>
              <w:pStyle w:val="18"/>
              <w:bidi w:val="0"/>
              <w:rPr>
                <w:rFonts w:hint="eastAsia"/>
                <w:lang w:eastAsia="zh-CN"/>
              </w:rPr>
            </w:pPr>
            <w:r>
              <w:rPr>
                <w:rFonts w:hint="eastAsia"/>
                <w:lang w:eastAsia="zh-CN"/>
              </w:rPr>
              <w:t>（3）</w:t>
            </w:r>
            <w:r>
              <w:rPr>
                <w:lang w:eastAsia="zh-CN"/>
              </w:rPr>
              <w:t>您是否曾与洛江区市场监督管理局有过业务接触（如办事、咨询、投诉举报等）？</w:t>
            </w:r>
          </w:p>
          <w:p w14:paraId="737523DE">
            <w:pPr>
              <w:pStyle w:val="18"/>
              <w:bidi w:val="0"/>
              <w:rPr>
                <w:rFonts w:hint="eastAsia"/>
                <w:lang w:eastAsia="zh-CN"/>
              </w:rPr>
            </w:pPr>
            <w:r>
              <w:rPr>
                <w:lang w:eastAsia="zh-CN"/>
              </w:rPr>
              <w:t>A：多次接触</w:t>
            </w:r>
          </w:p>
          <w:p w14:paraId="6FEDE286">
            <w:pPr>
              <w:pStyle w:val="18"/>
              <w:bidi w:val="0"/>
              <w:rPr>
                <w:rFonts w:hint="eastAsia"/>
                <w:lang w:eastAsia="zh-CN"/>
              </w:rPr>
            </w:pPr>
            <w:r>
              <w:rPr>
                <w:lang w:eastAsia="zh-CN"/>
              </w:rPr>
              <w:t>B：偶尔接触</w:t>
            </w:r>
          </w:p>
          <w:p w14:paraId="141817A8">
            <w:pPr>
              <w:pStyle w:val="18"/>
              <w:bidi w:val="0"/>
              <w:rPr>
                <w:rFonts w:hint="eastAsia"/>
                <w:lang w:eastAsia="zh-CN"/>
              </w:rPr>
            </w:pPr>
            <w:r>
              <w:rPr>
                <w:lang w:eastAsia="zh-CN"/>
              </w:rPr>
              <w:t>C：仅咨询未办理业务</w:t>
            </w:r>
          </w:p>
          <w:p w14:paraId="7B504DF0">
            <w:pPr>
              <w:pStyle w:val="18"/>
              <w:bidi w:val="0"/>
              <w:rPr>
                <w:rFonts w:hint="eastAsia"/>
                <w:lang w:eastAsia="zh-CN"/>
              </w:rPr>
            </w:pPr>
            <w:r>
              <w:rPr>
                <w:lang w:eastAsia="zh-CN"/>
              </w:rPr>
              <w:t>D：从未接触</w:t>
            </w:r>
          </w:p>
        </w:tc>
        <w:tc>
          <w:tcPr>
            <w:tcW w:w="347" w:type="pct"/>
            <w:vAlign w:val="center"/>
          </w:tcPr>
          <w:p w14:paraId="52CADC15">
            <w:pPr>
              <w:pStyle w:val="18"/>
              <w:bidi w:val="0"/>
              <w:rPr>
                <w:rFonts w:hint="eastAsia"/>
                <w:lang w:eastAsia="zh-CN"/>
              </w:rPr>
            </w:pPr>
          </w:p>
        </w:tc>
      </w:tr>
      <w:tr w14:paraId="0D337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3CB70705">
            <w:pPr>
              <w:pStyle w:val="18"/>
              <w:bidi w:val="0"/>
              <w:rPr>
                <w:rFonts w:hint="eastAsia"/>
                <w:lang w:eastAsia="zh-CN"/>
              </w:rPr>
            </w:pPr>
            <w:r>
              <w:rPr>
                <w:rFonts w:hint="eastAsia"/>
                <w:lang w:eastAsia="zh-CN"/>
              </w:rPr>
              <w:t>（4）</w:t>
            </w:r>
            <w:r>
              <w:rPr>
                <w:lang w:eastAsia="zh-CN"/>
              </w:rPr>
              <w:t>您认为洛江区市场监管局的办事流程便捷度如何？</w:t>
            </w:r>
          </w:p>
          <w:p w14:paraId="5495269A">
            <w:pPr>
              <w:pStyle w:val="18"/>
              <w:bidi w:val="0"/>
              <w:rPr>
                <w:rFonts w:hint="eastAsia"/>
                <w:lang w:eastAsia="zh-CN"/>
              </w:rPr>
            </w:pPr>
            <w:r>
              <w:rPr>
                <w:lang w:eastAsia="zh-CN"/>
              </w:rPr>
              <w:t>A：</w:t>
            </w:r>
            <w:r>
              <w:rPr>
                <w:rFonts w:hint="eastAsia"/>
                <w:lang w:eastAsia="zh-CN"/>
              </w:rPr>
              <w:t>非常</w:t>
            </w:r>
            <w:r>
              <w:rPr>
                <w:lang w:eastAsia="zh-CN"/>
              </w:rPr>
              <w:t>便捷</w:t>
            </w:r>
          </w:p>
          <w:p w14:paraId="78F6CF56">
            <w:pPr>
              <w:pStyle w:val="18"/>
              <w:bidi w:val="0"/>
              <w:rPr>
                <w:rFonts w:hint="eastAsia"/>
                <w:lang w:eastAsia="zh-CN"/>
              </w:rPr>
            </w:pPr>
            <w:r>
              <w:rPr>
                <w:lang w:eastAsia="zh-CN"/>
              </w:rPr>
              <w:t>B：</w:t>
            </w:r>
            <w:r>
              <w:rPr>
                <w:rFonts w:hint="eastAsia"/>
                <w:lang w:eastAsia="zh-CN"/>
              </w:rPr>
              <w:t>比较</w:t>
            </w:r>
            <w:r>
              <w:rPr>
                <w:lang w:eastAsia="zh-CN"/>
              </w:rPr>
              <w:t>便捷</w:t>
            </w:r>
          </w:p>
          <w:p w14:paraId="2F7D1DF0">
            <w:pPr>
              <w:pStyle w:val="18"/>
              <w:bidi w:val="0"/>
              <w:rPr>
                <w:rFonts w:hint="eastAsia"/>
                <w:lang w:eastAsia="zh-CN"/>
              </w:rPr>
            </w:pPr>
            <w:r>
              <w:rPr>
                <w:lang w:eastAsia="zh-CN"/>
              </w:rPr>
              <w:t>C：一般</w:t>
            </w:r>
            <w:r>
              <w:rPr>
                <w:rFonts w:hint="eastAsia"/>
                <w:lang w:eastAsia="zh-CN"/>
              </w:rPr>
              <w:t>便捷</w:t>
            </w:r>
          </w:p>
          <w:p w14:paraId="6DF2583A">
            <w:pPr>
              <w:pStyle w:val="18"/>
              <w:bidi w:val="0"/>
              <w:rPr>
                <w:rFonts w:hint="eastAsia"/>
                <w:lang w:eastAsia="zh-CN"/>
              </w:rPr>
            </w:pPr>
            <w:r>
              <w:rPr>
                <w:lang w:eastAsia="zh-CN"/>
              </w:rPr>
              <w:t>D：便捷</w:t>
            </w:r>
            <w:r>
              <w:rPr>
                <w:rFonts w:hint="eastAsia"/>
                <w:lang w:eastAsia="zh-CN"/>
              </w:rPr>
              <w:t>较低</w:t>
            </w:r>
          </w:p>
        </w:tc>
        <w:tc>
          <w:tcPr>
            <w:tcW w:w="347" w:type="pct"/>
            <w:vAlign w:val="center"/>
          </w:tcPr>
          <w:p w14:paraId="052F9353">
            <w:pPr>
              <w:pStyle w:val="18"/>
              <w:bidi w:val="0"/>
              <w:rPr>
                <w:rFonts w:hint="eastAsia"/>
                <w:lang w:eastAsia="zh-CN"/>
              </w:rPr>
            </w:pPr>
          </w:p>
        </w:tc>
      </w:tr>
      <w:tr w14:paraId="6EF9A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0AE1B09E">
            <w:pPr>
              <w:pStyle w:val="18"/>
              <w:bidi w:val="0"/>
              <w:rPr>
                <w:rFonts w:hint="eastAsia"/>
                <w:lang w:eastAsia="zh-CN"/>
              </w:rPr>
            </w:pPr>
            <w:r>
              <w:rPr>
                <w:rFonts w:hint="eastAsia"/>
                <w:lang w:eastAsia="zh-CN"/>
              </w:rPr>
              <w:t>（5）</w:t>
            </w:r>
            <w:r>
              <w:rPr>
                <w:lang w:eastAsia="zh-CN"/>
              </w:rPr>
              <w:t>您对洛江区市场监管局工作人员的专业能力评价如何？</w:t>
            </w:r>
          </w:p>
          <w:p w14:paraId="0F414257">
            <w:pPr>
              <w:pStyle w:val="18"/>
              <w:bidi w:val="0"/>
              <w:rPr>
                <w:rFonts w:hint="eastAsia"/>
                <w:lang w:eastAsia="zh-CN"/>
              </w:rPr>
            </w:pPr>
            <w:r>
              <w:rPr>
                <w:lang w:eastAsia="zh-CN"/>
              </w:rPr>
              <w:t>A：非常专业</w:t>
            </w:r>
          </w:p>
          <w:p w14:paraId="559ACC23">
            <w:pPr>
              <w:pStyle w:val="18"/>
              <w:bidi w:val="0"/>
              <w:rPr>
                <w:rFonts w:hint="eastAsia"/>
                <w:lang w:eastAsia="zh-CN"/>
              </w:rPr>
            </w:pPr>
            <w:r>
              <w:rPr>
                <w:lang w:eastAsia="zh-CN"/>
              </w:rPr>
              <w:t>B：</w:t>
            </w:r>
            <w:r>
              <w:rPr>
                <w:rFonts w:hint="eastAsia"/>
                <w:lang w:eastAsia="zh-CN"/>
              </w:rPr>
              <w:t>比较</w:t>
            </w:r>
            <w:r>
              <w:rPr>
                <w:lang w:eastAsia="zh-CN"/>
              </w:rPr>
              <w:t>专业</w:t>
            </w:r>
          </w:p>
          <w:p w14:paraId="2E962DF6">
            <w:pPr>
              <w:pStyle w:val="18"/>
              <w:bidi w:val="0"/>
              <w:rPr>
                <w:rFonts w:hint="eastAsia"/>
                <w:lang w:eastAsia="zh-CN"/>
              </w:rPr>
            </w:pPr>
            <w:r>
              <w:rPr>
                <w:lang w:eastAsia="zh-CN"/>
              </w:rPr>
              <w:t>C：一般</w:t>
            </w:r>
            <w:r>
              <w:rPr>
                <w:rFonts w:hint="eastAsia"/>
                <w:lang w:eastAsia="zh-CN"/>
              </w:rPr>
              <w:t>专业</w:t>
            </w:r>
          </w:p>
          <w:p w14:paraId="526E08A3">
            <w:pPr>
              <w:pStyle w:val="18"/>
              <w:bidi w:val="0"/>
              <w:rPr>
                <w:rFonts w:hint="eastAsia"/>
                <w:lang w:eastAsia="zh-CN"/>
              </w:rPr>
            </w:pPr>
            <w:r>
              <w:rPr>
                <w:lang w:eastAsia="zh-CN"/>
              </w:rPr>
              <w:t>D：专业</w:t>
            </w:r>
            <w:r>
              <w:rPr>
                <w:rFonts w:hint="eastAsia"/>
                <w:lang w:eastAsia="zh-CN"/>
              </w:rPr>
              <w:t>较低</w:t>
            </w:r>
          </w:p>
        </w:tc>
        <w:tc>
          <w:tcPr>
            <w:tcW w:w="347" w:type="pct"/>
            <w:vAlign w:val="center"/>
          </w:tcPr>
          <w:p w14:paraId="624E3FFC">
            <w:pPr>
              <w:pStyle w:val="18"/>
              <w:bidi w:val="0"/>
              <w:rPr>
                <w:rFonts w:hint="eastAsia"/>
                <w:lang w:eastAsia="zh-CN"/>
              </w:rPr>
            </w:pPr>
          </w:p>
        </w:tc>
      </w:tr>
      <w:tr w14:paraId="17D22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79905027">
            <w:pPr>
              <w:pStyle w:val="18"/>
              <w:bidi w:val="0"/>
              <w:rPr>
                <w:rFonts w:hint="eastAsia"/>
                <w:lang w:eastAsia="zh-CN"/>
              </w:rPr>
            </w:pPr>
            <w:r>
              <w:rPr>
                <w:rFonts w:hint="eastAsia"/>
                <w:lang w:eastAsia="zh-CN"/>
              </w:rPr>
              <w:t>（6）</w:t>
            </w:r>
            <w:r>
              <w:rPr>
                <w:lang w:eastAsia="zh-CN"/>
              </w:rPr>
              <w:t>您对洛江区市场监管局在药品医疗器械监管方面的评价如何？</w:t>
            </w:r>
          </w:p>
          <w:p w14:paraId="305FE4C6">
            <w:pPr>
              <w:pStyle w:val="18"/>
              <w:bidi w:val="0"/>
              <w:rPr>
                <w:rFonts w:hint="eastAsia"/>
                <w:lang w:eastAsia="zh-CN"/>
              </w:rPr>
            </w:pPr>
            <w:r>
              <w:rPr>
                <w:lang w:eastAsia="zh-CN"/>
              </w:rPr>
              <w:t>A：非常满意</w:t>
            </w:r>
          </w:p>
          <w:p w14:paraId="69D85C77">
            <w:pPr>
              <w:pStyle w:val="18"/>
              <w:bidi w:val="0"/>
              <w:rPr>
                <w:rFonts w:hint="eastAsia"/>
                <w:lang w:eastAsia="zh-CN"/>
              </w:rPr>
            </w:pPr>
            <w:r>
              <w:rPr>
                <w:lang w:eastAsia="zh-CN"/>
              </w:rPr>
              <w:t>B：比较满意</w:t>
            </w:r>
          </w:p>
          <w:p w14:paraId="2C602796">
            <w:pPr>
              <w:pStyle w:val="18"/>
              <w:bidi w:val="0"/>
              <w:rPr>
                <w:rFonts w:hint="eastAsia"/>
                <w:lang w:eastAsia="zh-CN"/>
              </w:rPr>
            </w:pPr>
            <w:r>
              <w:rPr>
                <w:lang w:eastAsia="zh-CN"/>
              </w:rPr>
              <w:t>C：一般满意</w:t>
            </w:r>
          </w:p>
          <w:p w14:paraId="7FDB5D9C">
            <w:pPr>
              <w:pStyle w:val="18"/>
              <w:bidi w:val="0"/>
              <w:rPr>
                <w:rFonts w:hint="eastAsia"/>
                <w:lang w:eastAsia="zh-CN"/>
              </w:rPr>
            </w:pPr>
            <w:r>
              <w:rPr>
                <w:lang w:eastAsia="zh-CN"/>
              </w:rPr>
              <w:t>D：不太满意</w:t>
            </w:r>
          </w:p>
        </w:tc>
        <w:tc>
          <w:tcPr>
            <w:tcW w:w="347" w:type="pct"/>
            <w:vAlign w:val="center"/>
          </w:tcPr>
          <w:p w14:paraId="1DA32BC0">
            <w:pPr>
              <w:pStyle w:val="18"/>
              <w:bidi w:val="0"/>
              <w:rPr>
                <w:rFonts w:hint="eastAsia"/>
                <w:lang w:eastAsia="zh-CN"/>
              </w:rPr>
            </w:pPr>
          </w:p>
        </w:tc>
      </w:tr>
      <w:tr w14:paraId="53906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73DB2503">
            <w:pPr>
              <w:pStyle w:val="18"/>
              <w:bidi w:val="0"/>
              <w:rPr>
                <w:rFonts w:hint="eastAsia"/>
                <w:lang w:eastAsia="zh-CN"/>
              </w:rPr>
            </w:pPr>
            <w:r>
              <w:rPr>
                <w:rFonts w:hint="eastAsia"/>
                <w:lang w:eastAsia="zh-CN"/>
              </w:rPr>
              <w:t>（7）</w:t>
            </w:r>
            <w:r>
              <w:rPr>
                <w:lang w:eastAsia="zh-CN"/>
              </w:rPr>
              <w:t>您若有消费维权需求（如商品质量、服务纠纷），向洛江区市场监管局反馈后的处理效率如何？</w:t>
            </w:r>
          </w:p>
          <w:p w14:paraId="3927E20C">
            <w:pPr>
              <w:pStyle w:val="18"/>
              <w:bidi w:val="0"/>
              <w:rPr>
                <w:rFonts w:hint="eastAsia"/>
                <w:lang w:eastAsia="zh-CN"/>
              </w:rPr>
            </w:pPr>
            <w:r>
              <w:rPr>
                <w:lang w:eastAsia="zh-CN"/>
              </w:rPr>
              <w:t>A：非常高效</w:t>
            </w:r>
          </w:p>
          <w:p w14:paraId="4A17A6DF">
            <w:pPr>
              <w:pStyle w:val="18"/>
              <w:bidi w:val="0"/>
              <w:rPr>
                <w:rFonts w:hint="eastAsia"/>
                <w:lang w:eastAsia="zh-CN"/>
              </w:rPr>
            </w:pPr>
            <w:r>
              <w:rPr>
                <w:lang w:eastAsia="zh-CN"/>
              </w:rPr>
              <w:t>B：</w:t>
            </w:r>
            <w:r>
              <w:rPr>
                <w:rFonts w:hint="eastAsia"/>
                <w:lang w:eastAsia="zh-CN"/>
              </w:rPr>
              <w:t>比较</w:t>
            </w:r>
            <w:r>
              <w:rPr>
                <w:lang w:eastAsia="zh-CN"/>
              </w:rPr>
              <w:t>高效</w:t>
            </w:r>
          </w:p>
          <w:p w14:paraId="0869A1EA">
            <w:pPr>
              <w:pStyle w:val="18"/>
              <w:bidi w:val="0"/>
              <w:rPr>
                <w:rFonts w:hint="eastAsia"/>
                <w:lang w:eastAsia="zh-CN"/>
              </w:rPr>
            </w:pPr>
            <w:r>
              <w:rPr>
                <w:lang w:eastAsia="zh-CN"/>
              </w:rPr>
              <w:t>C：</w:t>
            </w:r>
            <w:r>
              <w:rPr>
                <w:rFonts w:hint="eastAsia"/>
                <w:lang w:eastAsia="zh-CN"/>
              </w:rPr>
              <w:t>效率一般</w:t>
            </w:r>
          </w:p>
          <w:p w14:paraId="57754CDF">
            <w:pPr>
              <w:pStyle w:val="18"/>
              <w:bidi w:val="0"/>
              <w:rPr>
                <w:rFonts w:hint="eastAsia"/>
                <w:lang w:eastAsia="zh-CN"/>
              </w:rPr>
            </w:pPr>
            <w:r>
              <w:rPr>
                <w:lang w:eastAsia="zh-CN"/>
              </w:rPr>
              <w:t>D：未进行过消费维权反馈</w:t>
            </w:r>
          </w:p>
        </w:tc>
        <w:tc>
          <w:tcPr>
            <w:tcW w:w="347" w:type="pct"/>
            <w:vAlign w:val="center"/>
          </w:tcPr>
          <w:p w14:paraId="4A12F010">
            <w:pPr>
              <w:pStyle w:val="18"/>
              <w:bidi w:val="0"/>
              <w:rPr>
                <w:rFonts w:hint="eastAsia"/>
                <w:lang w:eastAsia="zh-CN"/>
              </w:rPr>
            </w:pPr>
          </w:p>
        </w:tc>
      </w:tr>
      <w:tr w14:paraId="435CC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652401D7">
            <w:pPr>
              <w:pStyle w:val="18"/>
              <w:bidi w:val="0"/>
              <w:rPr>
                <w:rFonts w:hint="eastAsia"/>
                <w:lang w:eastAsia="zh-CN"/>
              </w:rPr>
            </w:pPr>
            <w:r>
              <w:rPr>
                <w:rFonts w:hint="eastAsia"/>
                <w:lang w:eastAsia="zh-CN"/>
              </w:rPr>
              <w:t>（8）</w:t>
            </w:r>
            <w:r>
              <w:rPr>
                <w:lang w:eastAsia="zh-CN"/>
              </w:rPr>
              <w:t>您认为洛江区市场监管局在打击假冒伪劣商品、不正当竞争等违法行为方面的力度如何？</w:t>
            </w:r>
          </w:p>
          <w:p w14:paraId="31678905">
            <w:pPr>
              <w:pStyle w:val="18"/>
              <w:bidi w:val="0"/>
              <w:rPr>
                <w:rFonts w:hint="eastAsia"/>
                <w:lang w:eastAsia="zh-CN"/>
              </w:rPr>
            </w:pPr>
            <w:r>
              <w:rPr>
                <w:lang w:eastAsia="zh-CN"/>
              </w:rPr>
              <w:t>A：力度很大</w:t>
            </w:r>
          </w:p>
          <w:p w14:paraId="6C005E94">
            <w:pPr>
              <w:pStyle w:val="18"/>
              <w:bidi w:val="0"/>
              <w:rPr>
                <w:rFonts w:hint="eastAsia"/>
                <w:lang w:eastAsia="zh-CN"/>
              </w:rPr>
            </w:pPr>
            <w:r>
              <w:rPr>
                <w:lang w:eastAsia="zh-CN"/>
              </w:rPr>
              <w:t>B：有一定力度</w:t>
            </w:r>
          </w:p>
          <w:p w14:paraId="653944D5">
            <w:pPr>
              <w:pStyle w:val="18"/>
              <w:bidi w:val="0"/>
              <w:rPr>
                <w:rFonts w:hint="eastAsia"/>
                <w:lang w:eastAsia="zh-CN"/>
              </w:rPr>
            </w:pPr>
            <w:r>
              <w:rPr>
                <w:lang w:eastAsia="zh-CN"/>
              </w:rPr>
              <w:t>C：力度一般</w:t>
            </w:r>
          </w:p>
          <w:p w14:paraId="61127CF6">
            <w:pPr>
              <w:pStyle w:val="18"/>
              <w:bidi w:val="0"/>
              <w:rPr>
                <w:rFonts w:hint="eastAsia"/>
                <w:lang w:eastAsia="zh-CN"/>
              </w:rPr>
            </w:pPr>
            <w:r>
              <w:rPr>
                <w:lang w:eastAsia="zh-CN"/>
              </w:rPr>
              <w:t>D：不了解相关工作</w:t>
            </w:r>
          </w:p>
        </w:tc>
        <w:tc>
          <w:tcPr>
            <w:tcW w:w="347" w:type="pct"/>
            <w:vAlign w:val="center"/>
          </w:tcPr>
          <w:p w14:paraId="1D50E48D">
            <w:pPr>
              <w:pStyle w:val="18"/>
              <w:bidi w:val="0"/>
              <w:rPr>
                <w:rFonts w:hint="eastAsia"/>
                <w:lang w:eastAsia="zh-CN"/>
              </w:rPr>
            </w:pPr>
          </w:p>
        </w:tc>
      </w:tr>
      <w:tr w14:paraId="2472B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584D03D5">
            <w:pPr>
              <w:pStyle w:val="18"/>
              <w:bidi w:val="0"/>
              <w:rPr>
                <w:rFonts w:hint="eastAsia"/>
                <w:lang w:eastAsia="zh-CN"/>
              </w:rPr>
            </w:pPr>
            <w:r>
              <w:rPr>
                <w:rFonts w:hint="eastAsia"/>
                <w:lang w:eastAsia="zh-CN"/>
              </w:rPr>
              <w:t>（9）</w:t>
            </w:r>
            <w:r>
              <w:rPr>
                <w:lang w:eastAsia="zh-CN"/>
              </w:rPr>
              <w:t>您对洛江区市场监管局</w:t>
            </w:r>
            <w:r>
              <w:rPr>
                <w:rFonts w:hint="eastAsia"/>
                <w:lang w:eastAsia="zh-CN"/>
              </w:rPr>
              <w:t>的</w:t>
            </w:r>
            <w:r>
              <w:rPr>
                <w:lang w:eastAsia="zh-CN"/>
              </w:rPr>
              <w:t>政策</w:t>
            </w:r>
            <w:r>
              <w:rPr>
                <w:rFonts w:hint="eastAsia"/>
                <w:lang w:eastAsia="zh-CN"/>
              </w:rPr>
              <w:t>知晓度如何</w:t>
            </w:r>
            <w:r>
              <w:rPr>
                <w:lang w:eastAsia="zh-CN"/>
              </w:rPr>
              <w:t>？</w:t>
            </w:r>
          </w:p>
          <w:p w14:paraId="1D98DDDE">
            <w:pPr>
              <w:pStyle w:val="18"/>
              <w:bidi w:val="0"/>
              <w:rPr>
                <w:rFonts w:hint="eastAsia"/>
                <w:lang w:eastAsia="zh-CN"/>
              </w:rPr>
            </w:pPr>
            <w:r>
              <w:rPr>
                <w:lang w:eastAsia="zh-CN"/>
              </w:rPr>
              <w:t>A：</w:t>
            </w:r>
            <w:r>
              <w:rPr>
                <w:rFonts w:hint="eastAsia"/>
                <w:lang w:eastAsia="zh-CN"/>
              </w:rPr>
              <w:t>政策知晓度高</w:t>
            </w:r>
          </w:p>
          <w:p w14:paraId="0C845F2D">
            <w:pPr>
              <w:pStyle w:val="18"/>
              <w:bidi w:val="0"/>
              <w:rPr>
                <w:rFonts w:hint="eastAsia"/>
                <w:lang w:eastAsia="zh-CN"/>
              </w:rPr>
            </w:pPr>
            <w:r>
              <w:rPr>
                <w:lang w:eastAsia="zh-CN"/>
              </w:rPr>
              <w:t>B</w:t>
            </w:r>
            <w:r>
              <w:rPr>
                <w:rFonts w:hint="eastAsia"/>
                <w:lang w:eastAsia="zh-CN"/>
              </w:rPr>
              <w:t>：政策知晓度较高</w:t>
            </w:r>
          </w:p>
          <w:p w14:paraId="4D43E670">
            <w:pPr>
              <w:pStyle w:val="18"/>
              <w:bidi w:val="0"/>
              <w:rPr>
                <w:rFonts w:hint="eastAsia"/>
                <w:lang w:eastAsia="zh-CN"/>
              </w:rPr>
            </w:pPr>
            <w:r>
              <w:rPr>
                <w:lang w:eastAsia="zh-CN"/>
              </w:rPr>
              <w:t>C：</w:t>
            </w:r>
            <w:r>
              <w:rPr>
                <w:rFonts w:hint="eastAsia"/>
                <w:lang w:eastAsia="zh-CN"/>
              </w:rPr>
              <w:t>政策知晓度一般</w:t>
            </w:r>
          </w:p>
          <w:p w14:paraId="40EC2D28">
            <w:pPr>
              <w:pStyle w:val="18"/>
              <w:bidi w:val="0"/>
              <w:rPr>
                <w:rFonts w:hint="eastAsia"/>
                <w:lang w:eastAsia="zh-CN"/>
              </w:rPr>
            </w:pPr>
            <w:r>
              <w:rPr>
                <w:lang w:eastAsia="zh-CN"/>
              </w:rPr>
              <w:t>D：</w:t>
            </w:r>
            <w:r>
              <w:rPr>
                <w:rFonts w:hint="eastAsia"/>
                <w:lang w:eastAsia="zh-CN"/>
              </w:rPr>
              <w:t>政策知晓度不足</w:t>
            </w:r>
          </w:p>
        </w:tc>
        <w:tc>
          <w:tcPr>
            <w:tcW w:w="347" w:type="pct"/>
            <w:vAlign w:val="center"/>
          </w:tcPr>
          <w:p w14:paraId="3F8D2289">
            <w:pPr>
              <w:pStyle w:val="18"/>
              <w:bidi w:val="0"/>
              <w:rPr>
                <w:rFonts w:hint="eastAsia"/>
                <w:lang w:eastAsia="zh-CN"/>
              </w:rPr>
            </w:pPr>
          </w:p>
        </w:tc>
      </w:tr>
      <w:tr w14:paraId="4C3EF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5F8E8D1C">
            <w:pPr>
              <w:pStyle w:val="18"/>
              <w:bidi w:val="0"/>
              <w:rPr>
                <w:rFonts w:hint="eastAsia"/>
                <w:lang w:eastAsia="zh-CN"/>
              </w:rPr>
            </w:pPr>
            <w:r>
              <w:rPr>
                <w:rFonts w:hint="eastAsia"/>
                <w:lang w:eastAsia="zh-CN"/>
              </w:rPr>
              <w:t>（10）</w:t>
            </w:r>
            <w:r>
              <w:rPr>
                <w:lang w:eastAsia="zh-CN"/>
              </w:rPr>
              <w:t>您认为洛江区市场监管局在特种设备安全监管方面的工作是否到位？</w:t>
            </w:r>
          </w:p>
          <w:p w14:paraId="7AC8624E">
            <w:pPr>
              <w:pStyle w:val="18"/>
              <w:bidi w:val="0"/>
              <w:rPr>
                <w:rFonts w:hint="eastAsia"/>
                <w:lang w:eastAsia="zh-CN"/>
              </w:rPr>
            </w:pPr>
            <w:r>
              <w:rPr>
                <w:lang w:eastAsia="zh-CN"/>
              </w:rPr>
              <w:t>A：</w:t>
            </w:r>
            <w:r>
              <w:rPr>
                <w:rFonts w:hint="eastAsia"/>
                <w:lang w:eastAsia="zh-CN"/>
              </w:rPr>
              <w:t>监管</w:t>
            </w:r>
            <w:r>
              <w:rPr>
                <w:lang w:eastAsia="zh-CN"/>
              </w:rPr>
              <w:t>非常到位</w:t>
            </w:r>
          </w:p>
          <w:p w14:paraId="74704331">
            <w:pPr>
              <w:pStyle w:val="18"/>
              <w:bidi w:val="0"/>
              <w:rPr>
                <w:rFonts w:hint="eastAsia"/>
                <w:lang w:eastAsia="zh-CN"/>
              </w:rPr>
            </w:pPr>
            <w:r>
              <w:rPr>
                <w:lang w:eastAsia="zh-CN"/>
              </w:rPr>
              <w:t>B：</w:t>
            </w:r>
            <w:r>
              <w:rPr>
                <w:rFonts w:hint="eastAsia"/>
                <w:lang w:eastAsia="zh-CN"/>
              </w:rPr>
              <w:t>监管比较</w:t>
            </w:r>
            <w:r>
              <w:rPr>
                <w:lang w:eastAsia="zh-CN"/>
              </w:rPr>
              <w:t>到位</w:t>
            </w:r>
          </w:p>
          <w:p w14:paraId="11CEAE8F">
            <w:pPr>
              <w:pStyle w:val="18"/>
              <w:bidi w:val="0"/>
              <w:rPr>
                <w:rFonts w:hint="eastAsia"/>
                <w:lang w:eastAsia="zh-CN"/>
              </w:rPr>
            </w:pPr>
            <w:r>
              <w:rPr>
                <w:lang w:eastAsia="zh-CN"/>
              </w:rPr>
              <w:t>C：</w:t>
            </w:r>
            <w:r>
              <w:rPr>
                <w:rFonts w:hint="eastAsia"/>
                <w:lang w:eastAsia="zh-CN"/>
              </w:rPr>
              <w:t>监管度一般</w:t>
            </w:r>
          </w:p>
          <w:p w14:paraId="410B4BE3">
            <w:pPr>
              <w:pStyle w:val="18"/>
              <w:bidi w:val="0"/>
              <w:rPr>
                <w:rFonts w:hint="eastAsia"/>
                <w:lang w:eastAsia="zh-CN"/>
              </w:rPr>
            </w:pPr>
            <w:r>
              <w:rPr>
                <w:lang w:eastAsia="zh-CN"/>
              </w:rPr>
              <w:t>D：</w:t>
            </w:r>
            <w:r>
              <w:rPr>
                <w:rFonts w:hint="eastAsia"/>
                <w:lang w:eastAsia="zh-CN"/>
              </w:rPr>
              <w:t>监管度较低</w:t>
            </w:r>
          </w:p>
        </w:tc>
        <w:tc>
          <w:tcPr>
            <w:tcW w:w="347" w:type="pct"/>
            <w:vAlign w:val="center"/>
          </w:tcPr>
          <w:p w14:paraId="696B162F">
            <w:pPr>
              <w:pStyle w:val="18"/>
              <w:bidi w:val="0"/>
              <w:rPr>
                <w:rFonts w:hint="eastAsia"/>
                <w:lang w:eastAsia="zh-CN"/>
              </w:rPr>
            </w:pPr>
          </w:p>
        </w:tc>
      </w:tr>
      <w:tr w14:paraId="74A1B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26A1D981">
            <w:pPr>
              <w:pStyle w:val="18"/>
              <w:bidi w:val="0"/>
              <w:rPr>
                <w:rFonts w:hint="eastAsia"/>
                <w:lang w:eastAsia="zh-CN"/>
              </w:rPr>
            </w:pPr>
            <w:r>
              <w:rPr>
                <w:rFonts w:hint="eastAsia"/>
                <w:lang w:eastAsia="zh-CN"/>
              </w:rPr>
              <w:t>（11）</w:t>
            </w:r>
            <w:r>
              <w:rPr>
                <w:lang w:eastAsia="zh-CN"/>
              </w:rPr>
              <w:t>您对洛江区市场上食品、药品的安全状况整体满意度如何</w:t>
            </w:r>
            <w:r>
              <w:rPr>
                <w:rFonts w:hint="eastAsia"/>
                <w:lang w:eastAsia="zh-CN"/>
              </w:rPr>
              <w:t>？</w:t>
            </w:r>
            <w:r>
              <w:rPr>
                <w:rFonts w:hint="eastAsia"/>
                <w:lang w:eastAsia="zh-CN"/>
              </w:rPr>
              <w:br w:type="textWrapping"/>
            </w:r>
            <w:r>
              <w:rPr>
                <w:rFonts w:hint="eastAsia"/>
                <w:lang w:eastAsia="zh-CN"/>
              </w:rPr>
              <w:t>A：非常满意</w:t>
            </w:r>
            <w:r>
              <w:rPr>
                <w:rFonts w:hint="eastAsia"/>
                <w:lang w:eastAsia="zh-CN"/>
              </w:rPr>
              <w:br w:type="textWrapping"/>
            </w:r>
            <w:r>
              <w:rPr>
                <w:rFonts w:hint="eastAsia"/>
                <w:lang w:eastAsia="zh-CN"/>
              </w:rPr>
              <w:t>B：满意</w:t>
            </w:r>
            <w:r>
              <w:rPr>
                <w:rFonts w:hint="eastAsia"/>
                <w:lang w:eastAsia="zh-CN"/>
              </w:rPr>
              <w:br w:type="textWrapping"/>
            </w:r>
            <w:r>
              <w:rPr>
                <w:rFonts w:hint="eastAsia"/>
                <w:lang w:eastAsia="zh-CN"/>
              </w:rPr>
              <w:t>C：一般</w:t>
            </w:r>
            <w:r>
              <w:rPr>
                <w:rFonts w:hint="eastAsia"/>
                <w:lang w:eastAsia="zh-CN"/>
              </w:rPr>
              <w:br w:type="textWrapping"/>
            </w:r>
            <w:r>
              <w:rPr>
                <w:rFonts w:hint="eastAsia"/>
                <w:lang w:eastAsia="zh-CN"/>
              </w:rPr>
              <w:t>D：不满意</w:t>
            </w:r>
          </w:p>
        </w:tc>
        <w:tc>
          <w:tcPr>
            <w:tcW w:w="347" w:type="pct"/>
            <w:vAlign w:val="center"/>
          </w:tcPr>
          <w:p w14:paraId="2A21FADD">
            <w:pPr>
              <w:pStyle w:val="18"/>
              <w:bidi w:val="0"/>
              <w:rPr>
                <w:rFonts w:hint="eastAsia"/>
                <w:lang w:eastAsia="zh-CN"/>
              </w:rPr>
            </w:pPr>
          </w:p>
        </w:tc>
      </w:tr>
      <w:tr w14:paraId="7EADC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7A1C8A1A">
            <w:pPr>
              <w:pStyle w:val="18"/>
              <w:bidi w:val="0"/>
              <w:rPr>
                <w:rFonts w:hint="eastAsia"/>
                <w:lang w:eastAsia="zh-CN"/>
              </w:rPr>
            </w:pPr>
            <w:r>
              <w:rPr>
                <w:rFonts w:hint="eastAsia"/>
                <w:lang w:eastAsia="zh-CN"/>
              </w:rPr>
              <w:t>（12）</w:t>
            </w:r>
            <w:r>
              <w:rPr>
                <w:lang w:eastAsia="zh-CN"/>
              </w:rPr>
              <w:t>您在洛江区消费时，是否遇到过商家虚假宣传、价格欺诈等问题</w:t>
            </w:r>
            <w:r>
              <w:rPr>
                <w:rFonts w:hint="eastAsia"/>
                <w:lang w:eastAsia="zh-CN"/>
              </w:rPr>
              <w:t>？</w:t>
            </w:r>
            <w:r>
              <w:rPr>
                <w:rFonts w:hint="eastAsia"/>
                <w:lang w:eastAsia="zh-CN"/>
              </w:rPr>
              <w:br w:type="textWrapping"/>
            </w:r>
            <w:r>
              <w:rPr>
                <w:lang w:eastAsia="zh-CN"/>
              </w:rPr>
              <w:t>A</w:t>
            </w:r>
            <w:r>
              <w:rPr>
                <w:rFonts w:hint="eastAsia"/>
                <w:lang w:eastAsia="zh-CN"/>
              </w:rPr>
              <w:t>：</w:t>
            </w:r>
            <w:r>
              <w:rPr>
                <w:lang w:eastAsia="zh-CN"/>
              </w:rPr>
              <w:t>经常遇到</w:t>
            </w:r>
          </w:p>
          <w:p w14:paraId="33EAF644">
            <w:pPr>
              <w:pStyle w:val="18"/>
              <w:bidi w:val="0"/>
              <w:rPr>
                <w:rFonts w:hint="eastAsia"/>
                <w:lang w:eastAsia="zh-CN"/>
              </w:rPr>
            </w:pPr>
            <w:r>
              <w:rPr>
                <w:lang w:eastAsia="zh-CN"/>
              </w:rPr>
              <w:t>B</w:t>
            </w:r>
            <w:r>
              <w:rPr>
                <w:rFonts w:hint="eastAsia"/>
                <w:lang w:eastAsia="zh-CN"/>
              </w:rPr>
              <w:t>：</w:t>
            </w:r>
            <w:r>
              <w:rPr>
                <w:lang w:eastAsia="zh-CN"/>
              </w:rPr>
              <w:t>偶尔遇到</w:t>
            </w:r>
          </w:p>
          <w:p w14:paraId="57F65B0E">
            <w:pPr>
              <w:pStyle w:val="18"/>
              <w:bidi w:val="0"/>
              <w:rPr>
                <w:rFonts w:hint="eastAsia"/>
                <w:lang w:eastAsia="zh-CN"/>
              </w:rPr>
            </w:pPr>
            <w:r>
              <w:rPr>
                <w:lang w:eastAsia="zh-CN"/>
              </w:rPr>
              <w:t>C</w:t>
            </w:r>
            <w:r>
              <w:rPr>
                <w:rFonts w:hint="eastAsia"/>
                <w:lang w:eastAsia="zh-CN"/>
              </w:rPr>
              <w:t>：</w:t>
            </w:r>
            <w:r>
              <w:rPr>
                <w:lang w:eastAsia="zh-CN"/>
              </w:rPr>
              <w:t>从未遇到</w:t>
            </w:r>
          </w:p>
        </w:tc>
        <w:tc>
          <w:tcPr>
            <w:tcW w:w="347" w:type="pct"/>
            <w:vAlign w:val="center"/>
          </w:tcPr>
          <w:p w14:paraId="21100573">
            <w:pPr>
              <w:pStyle w:val="18"/>
              <w:bidi w:val="0"/>
              <w:rPr>
                <w:rFonts w:hint="eastAsia"/>
                <w:lang w:eastAsia="zh-CN"/>
              </w:rPr>
            </w:pPr>
          </w:p>
        </w:tc>
      </w:tr>
      <w:tr w14:paraId="32D3C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6C9279D1">
            <w:pPr>
              <w:pStyle w:val="18"/>
              <w:bidi w:val="0"/>
              <w:rPr>
                <w:rFonts w:hint="eastAsia"/>
                <w:lang w:eastAsia="zh-CN"/>
              </w:rPr>
            </w:pPr>
            <w:r>
              <w:rPr>
                <w:rFonts w:hint="eastAsia"/>
                <w:lang w:eastAsia="zh-CN"/>
              </w:rPr>
              <w:t>（13）</w:t>
            </w:r>
            <w:r>
              <w:rPr>
                <w:lang w:eastAsia="zh-CN"/>
              </w:rPr>
              <w:t>若您有消费维权需求，是否知道通过洛江区市场监督管理局维权（如12315热线）</w:t>
            </w:r>
            <w:r>
              <w:rPr>
                <w:rFonts w:hint="eastAsia"/>
                <w:lang w:eastAsia="zh-CN"/>
              </w:rPr>
              <w:t>？</w:t>
            </w:r>
            <w:r>
              <w:rPr>
                <w:rFonts w:hint="eastAsia"/>
                <w:lang w:eastAsia="zh-CN"/>
              </w:rPr>
              <w:br w:type="textWrapping"/>
            </w:r>
            <w:r>
              <w:rPr>
                <w:rFonts w:hint="eastAsia"/>
                <w:lang w:eastAsia="zh-CN"/>
              </w:rPr>
              <w:t>A：</w:t>
            </w:r>
            <w:r>
              <w:rPr>
                <w:lang w:eastAsia="zh-CN"/>
              </w:rPr>
              <w:t>知道且使用过</w:t>
            </w:r>
            <w:r>
              <w:rPr>
                <w:rFonts w:hint="eastAsia"/>
                <w:lang w:eastAsia="zh-CN"/>
              </w:rPr>
              <w:br w:type="textWrapping"/>
            </w:r>
            <w:r>
              <w:rPr>
                <w:rFonts w:hint="eastAsia"/>
                <w:lang w:eastAsia="zh-CN"/>
              </w:rPr>
              <w:t>B：</w:t>
            </w:r>
            <w:r>
              <w:rPr>
                <w:lang w:eastAsia="zh-CN"/>
              </w:rPr>
              <w:t>知道但未使用</w:t>
            </w:r>
            <w:r>
              <w:rPr>
                <w:rFonts w:hint="eastAsia"/>
                <w:lang w:eastAsia="zh-CN"/>
              </w:rPr>
              <w:br w:type="textWrapping"/>
            </w:r>
            <w:r>
              <w:rPr>
                <w:rFonts w:hint="eastAsia"/>
                <w:lang w:eastAsia="zh-CN"/>
              </w:rPr>
              <w:t>C：不知道</w:t>
            </w:r>
          </w:p>
        </w:tc>
        <w:tc>
          <w:tcPr>
            <w:tcW w:w="347" w:type="pct"/>
            <w:vAlign w:val="center"/>
          </w:tcPr>
          <w:p w14:paraId="4A5826C2">
            <w:pPr>
              <w:pStyle w:val="18"/>
              <w:bidi w:val="0"/>
              <w:rPr>
                <w:rFonts w:hint="eastAsia"/>
                <w:lang w:eastAsia="zh-CN"/>
              </w:rPr>
            </w:pPr>
          </w:p>
        </w:tc>
      </w:tr>
      <w:tr w14:paraId="37858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0176F1E4">
            <w:pPr>
              <w:pStyle w:val="18"/>
              <w:bidi w:val="0"/>
              <w:rPr>
                <w:rFonts w:hint="eastAsia"/>
                <w:lang w:eastAsia="zh-CN"/>
              </w:rPr>
            </w:pPr>
            <w:r>
              <w:rPr>
                <w:rFonts w:hint="eastAsia"/>
                <w:lang w:eastAsia="zh-CN"/>
              </w:rPr>
              <w:t>（14）</w:t>
            </w:r>
            <w:r>
              <w:rPr>
                <w:lang w:eastAsia="zh-CN"/>
              </w:rPr>
              <w:t>您认为洛江区市场监督管理局在哪些领域需要</w:t>
            </w:r>
            <w:r>
              <w:rPr>
                <w:rFonts w:hint="eastAsia"/>
                <w:lang w:eastAsia="zh-CN"/>
              </w:rPr>
              <w:t>进一步</w:t>
            </w:r>
            <w:r>
              <w:rPr>
                <w:lang w:eastAsia="zh-CN"/>
              </w:rPr>
              <w:t>加强监管</w:t>
            </w:r>
            <w:r>
              <w:rPr>
                <w:rFonts w:hint="eastAsia"/>
                <w:lang w:eastAsia="zh-CN"/>
              </w:rPr>
              <w:t>？</w:t>
            </w:r>
            <w:r>
              <w:rPr>
                <w:rFonts w:hint="eastAsia"/>
                <w:lang w:eastAsia="zh-CN"/>
              </w:rPr>
              <w:br w:type="textWrapping"/>
            </w:r>
            <w:r>
              <w:rPr>
                <w:rFonts w:hint="eastAsia"/>
                <w:lang w:eastAsia="zh-CN"/>
              </w:rPr>
              <w:t>A：</w:t>
            </w:r>
            <w:r>
              <w:rPr>
                <w:lang w:eastAsia="zh-CN"/>
              </w:rPr>
              <w:t>食品安全</w:t>
            </w:r>
            <w:r>
              <w:rPr>
                <w:rFonts w:hint="eastAsia"/>
                <w:lang w:eastAsia="zh-CN"/>
              </w:rPr>
              <w:br w:type="textWrapping"/>
            </w:r>
            <w:r>
              <w:rPr>
                <w:rFonts w:hint="eastAsia"/>
                <w:lang w:eastAsia="zh-CN"/>
              </w:rPr>
              <w:t>B：</w:t>
            </w:r>
            <w:r>
              <w:rPr>
                <w:lang w:eastAsia="zh-CN"/>
              </w:rPr>
              <w:t>药品</w:t>
            </w:r>
            <w:r>
              <w:rPr>
                <w:rFonts w:hint="eastAsia"/>
                <w:lang w:eastAsia="zh-CN"/>
              </w:rPr>
              <w:t>安全</w:t>
            </w:r>
            <w:r>
              <w:rPr>
                <w:rFonts w:hint="eastAsia"/>
                <w:lang w:eastAsia="zh-CN"/>
              </w:rPr>
              <w:br w:type="textWrapping"/>
            </w:r>
            <w:r>
              <w:rPr>
                <w:rFonts w:hint="eastAsia"/>
                <w:lang w:eastAsia="zh-CN"/>
              </w:rPr>
              <w:t>C：</w:t>
            </w:r>
            <w:r>
              <w:rPr>
                <w:lang w:eastAsia="zh-CN"/>
              </w:rPr>
              <w:t>消费维权</w:t>
            </w:r>
            <w:r>
              <w:rPr>
                <w:rFonts w:hint="eastAsia"/>
                <w:lang w:eastAsia="zh-CN"/>
              </w:rPr>
              <w:br w:type="textWrapping"/>
            </w:r>
            <w:r>
              <w:rPr>
                <w:rFonts w:hint="eastAsia"/>
                <w:lang w:eastAsia="zh-CN"/>
              </w:rPr>
              <w:t>D：</w:t>
            </w:r>
            <w:r>
              <w:rPr>
                <w:lang w:eastAsia="zh-CN"/>
              </w:rPr>
              <w:t>市场经营秩序</w:t>
            </w:r>
          </w:p>
        </w:tc>
        <w:tc>
          <w:tcPr>
            <w:tcW w:w="347" w:type="pct"/>
            <w:vAlign w:val="center"/>
          </w:tcPr>
          <w:p w14:paraId="4B2A798A">
            <w:pPr>
              <w:pStyle w:val="18"/>
              <w:bidi w:val="0"/>
              <w:rPr>
                <w:rFonts w:hint="eastAsia"/>
                <w:lang w:eastAsia="zh-CN"/>
              </w:rPr>
            </w:pPr>
          </w:p>
        </w:tc>
      </w:tr>
      <w:tr w14:paraId="43576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4653" w:type="pct"/>
            <w:vAlign w:val="center"/>
          </w:tcPr>
          <w:p w14:paraId="18D005CF">
            <w:pPr>
              <w:pStyle w:val="18"/>
              <w:bidi w:val="0"/>
              <w:rPr>
                <w:rFonts w:hint="eastAsia"/>
                <w:lang w:eastAsia="zh-CN"/>
              </w:rPr>
            </w:pPr>
            <w:r>
              <w:rPr>
                <w:rFonts w:hint="eastAsia"/>
                <w:lang w:eastAsia="zh-CN"/>
              </w:rPr>
              <w:t>（15）您对泉州市洛江区市场监督管理局的工作是否感到满意？</w:t>
            </w:r>
            <w:r>
              <w:rPr>
                <w:rFonts w:hint="eastAsia"/>
                <w:lang w:eastAsia="zh-CN"/>
              </w:rPr>
              <w:br w:type="textWrapping"/>
            </w:r>
            <w:r>
              <w:rPr>
                <w:rFonts w:hint="eastAsia"/>
                <w:lang w:eastAsia="zh-CN"/>
              </w:rPr>
              <w:t>A：非常满意</w:t>
            </w:r>
            <w:r>
              <w:rPr>
                <w:rFonts w:hint="eastAsia"/>
                <w:lang w:eastAsia="zh-CN"/>
              </w:rPr>
              <w:br w:type="textWrapping"/>
            </w:r>
            <w:r>
              <w:rPr>
                <w:rFonts w:hint="eastAsia"/>
                <w:lang w:eastAsia="zh-CN"/>
              </w:rPr>
              <w:t>B：基本满意</w:t>
            </w:r>
            <w:r>
              <w:rPr>
                <w:rFonts w:hint="eastAsia"/>
                <w:lang w:eastAsia="zh-CN"/>
              </w:rPr>
              <w:br w:type="textWrapping"/>
            </w:r>
            <w:r>
              <w:rPr>
                <w:rFonts w:hint="eastAsia"/>
                <w:lang w:eastAsia="zh-CN"/>
              </w:rPr>
              <w:t>C：有一定投诉</w:t>
            </w:r>
            <w:r>
              <w:rPr>
                <w:rFonts w:hint="eastAsia"/>
                <w:lang w:eastAsia="zh-CN"/>
              </w:rPr>
              <w:br w:type="textWrapping"/>
            </w:r>
            <w:r>
              <w:rPr>
                <w:rFonts w:hint="eastAsia"/>
                <w:lang w:eastAsia="zh-CN"/>
              </w:rPr>
              <w:t>D：不满意</w:t>
            </w:r>
          </w:p>
        </w:tc>
        <w:tc>
          <w:tcPr>
            <w:tcW w:w="347" w:type="pct"/>
            <w:vAlign w:val="center"/>
          </w:tcPr>
          <w:p w14:paraId="7F7B96DC">
            <w:pPr>
              <w:pStyle w:val="18"/>
              <w:bidi w:val="0"/>
              <w:rPr>
                <w:rFonts w:hint="eastAsia"/>
                <w:lang w:eastAsia="zh-CN"/>
              </w:rPr>
            </w:pPr>
          </w:p>
        </w:tc>
      </w:tr>
    </w:tbl>
    <w:p w14:paraId="0BF42B9E">
      <w:pPr>
        <w:widowControl w:val="0"/>
        <w:overflowPunct w:val="0"/>
        <w:snapToGrid/>
        <w:spacing w:line="360" w:lineRule="auto"/>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p>
    <w:p w14:paraId="3139F769">
      <w:pPr>
        <w:kinsoku/>
        <w:autoSpaceDE/>
        <w:autoSpaceDN/>
        <w:adjustRightInd/>
        <w:snapToGrid/>
        <w:spacing w:line="240" w:lineRule="auto"/>
        <w:textAlignment w:val="auto"/>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r>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br w:type="page"/>
      </w:r>
    </w:p>
    <w:p w14:paraId="48E3DD8B">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pPr>
    </w:p>
    <w:p w14:paraId="15556B91">
      <w:pPr>
        <w:keepNext w:val="0"/>
        <w:keepLines w:val="0"/>
        <w:pageBreakBefore w:val="0"/>
        <w:widowControl w:val="0"/>
        <w:wordWrap w:val="0"/>
        <w:overflowPunct/>
        <w:topLinePunct w:val="0"/>
        <w:autoSpaceDE/>
        <w:autoSpaceDN/>
        <w:bidi w:val="0"/>
        <w:spacing w:line="240" w:lineRule="auto"/>
        <w:ind w:firstLine="0" w:firstLineChars="0"/>
        <w:jc w:val="center"/>
      </w:pPr>
      <w:r>
        <w:drawing>
          <wp:inline distT="0" distB="0" distL="0" distR="0">
            <wp:extent cx="5813425" cy="8218805"/>
            <wp:effectExtent l="0" t="0" r="15875" b="10795"/>
            <wp:docPr id="10829285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928543"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813425" cy="8218805"/>
                    </a:xfrm>
                    <a:prstGeom prst="rect">
                      <a:avLst/>
                    </a:prstGeom>
                    <a:noFill/>
                    <a:ln>
                      <a:noFill/>
                    </a:ln>
                  </pic:spPr>
                </pic:pic>
              </a:graphicData>
            </a:graphic>
          </wp:inline>
        </w:drawing>
      </w:r>
      <w:r>
        <w:br w:type="page"/>
      </w:r>
      <w:r>
        <w:drawing>
          <wp:inline distT="0" distB="0" distL="0" distR="0">
            <wp:extent cx="5813425" cy="8218805"/>
            <wp:effectExtent l="0" t="0" r="15875" b="10795"/>
            <wp:docPr id="19376945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694544" name="图片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813425" cy="8218805"/>
                    </a:xfrm>
                    <a:prstGeom prst="rect">
                      <a:avLst/>
                    </a:prstGeom>
                    <a:noFill/>
                    <a:ln>
                      <a:noFill/>
                    </a:ln>
                  </pic:spPr>
                </pic:pic>
              </a:graphicData>
            </a:graphic>
          </wp:inline>
        </w:drawing>
      </w:r>
    </w:p>
    <w:p w14:paraId="17D534AA">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r>
        <w:drawing>
          <wp:inline distT="0" distB="0" distL="0" distR="0">
            <wp:extent cx="5813425" cy="8218805"/>
            <wp:effectExtent l="0" t="0" r="15875" b="10795"/>
            <wp:docPr id="17579594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959493" name="图片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813425" cy="8218805"/>
                    </a:xfrm>
                    <a:prstGeom prst="rect">
                      <a:avLst/>
                    </a:prstGeom>
                    <a:noFill/>
                    <a:ln>
                      <a:noFill/>
                    </a:ln>
                  </pic:spPr>
                </pic:pic>
              </a:graphicData>
            </a:graphic>
          </wp:inline>
        </w:drawing>
      </w:r>
      <w:r>
        <w:drawing>
          <wp:inline distT="0" distB="0" distL="0" distR="0">
            <wp:extent cx="5813425" cy="8218805"/>
            <wp:effectExtent l="0" t="0" r="15875" b="10795"/>
            <wp:docPr id="372788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78864" name="图片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813425" cy="8218805"/>
                    </a:xfrm>
                    <a:prstGeom prst="rect">
                      <a:avLst/>
                    </a:prstGeom>
                    <a:noFill/>
                    <a:ln>
                      <a:noFill/>
                    </a:ln>
                  </pic:spPr>
                </pic:pic>
              </a:graphicData>
            </a:graphic>
          </wp:inline>
        </w:drawing>
      </w:r>
    </w:p>
    <w:p w14:paraId="6952161A">
      <w:pPr>
        <w:keepNext w:val="0"/>
        <w:keepLines w:val="0"/>
        <w:pageBreakBefore w:val="0"/>
        <w:widowControl w:val="0"/>
        <w:kinsoku/>
        <w:wordWrap w:val="0"/>
        <w:overflowPunct/>
        <w:topLinePunct w:val="0"/>
        <w:autoSpaceDE/>
        <w:autoSpaceDN/>
        <w:bidi w:val="0"/>
        <w:adjustRightInd/>
        <w:snapToGrid/>
        <w:spacing w:line="240" w:lineRule="auto"/>
        <w:ind w:firstLine="0" w:firstLineChars="0"/>
        <w:jc w:val="center"/>
        <w:textAlignment w:val="auto"/>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r>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br w:type="page"/>
      </w:r>
    </w:p>
    <w:p w14:paraId="0D26D411">
      <w:pPr>
        <w:pStyle w:val="3"/>
        <w:bidi w:val="0"/>
        <w:rPr>
          <w:rFonts w:hint="eastAsia"/>
          <w:lang w:eastAsia="zh-CN"/>
        </w:rPr>
      </w:pPr>
      <w:bookmarkStart w:id="351" w:name="_Toc179818222"/>
      <w:bookmarkStart w:id="352" w:name="_Toc181558052"/>
      <w:bookmarkStart w:id="353" w:name="_Toc217363547"/>
      <w:bookmarkStart w:id="354" w:name="_Toc30005"/>
      <w:bookmarkStart w:id="355" w:name="_Toc26030"/>
      <w:r>
        <w:rPr>
          <w:rFonts w:hint="eastAsia"/>
          <w:lang w:eastAsia="zh-CN"/>
        </w:rPr>
        <w:t>附件二：访谈相关照片</w:t>
      </w:r>
      <w:bookmarkEnd w:id="351"/>
      <w:bookmarkEnd w:id="352"/>
      <w:bookmarkEnd w:id="353"/>
      <w:bookmarkEnd w:id="354"/>
      <w:bookmarkEnd w:id="355"/>
    </w:p>
    <w:p w14:paraId="7A2926EA">
      <w:pPr>
        <w:widowControl w:val="0"/>
        <w:overflowPunct w:val="0"/>
        <w:snapToGrid/>
        <w:spacing w:line="360" w:lineRule="auto"/>
      </w:pPr>
    </w:p>
    <w:p w14:paraId="25A243E1">
      <w:pPr>
        <w:keepNext w:val="0"/>
        <w:keepLines w:val="0"/>
        <w:pageBreakBefore w:val="0"/>
        <w:widowControl w:val="0"/>
        <w:kinsoku w:val="0"/>
        <w:wordWrap w:val="0"/>
        <w:overflowPunct w:val="0"/>
        <w:topLinePunct w:val="0"/>
        <w:autoSpaceDE/>
        <w:autoSpaceDN/>
        <w:bidi w:val="0"/>
        <w:adjustRightInd w:val="0"/>
        <w:snapToGrid/>
        <w:spacing w:line="360" w:lineRule="auto"/>
        <w:ind w:firstLine="0" w:firstLineChars="0"/>
        <w:textAlignment w:val="baseline"/>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r>
        <w:drawing>
          <wp:inline distT="0" distB="0" distL="0" distR="0">
            <wp:extent cx="2339975" cy="1754505"/>
            <wp:effectExtent l="0" t="0" r="3175" b="17145"/>
            <wp:docPr id="1501368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36881" name="图片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339975" cy="1754505"/>
                    </a:xfrm>
                    <a:prstGeom prst="rect">
                      <a:avLst/>
                    </a:prstGeom>
                    <a:noFill/>
                    <a:ln>
                      <a:noFill/>
                    </a:ln>
                  </pic:spPr>
                </pic:pic>
              </a:graphicData>
            </a:graphic>
          </wp:inline>
        </w:drawing>
      </w:r>
      <w:r>
        <w:rPr>
          <w:rFonts w:hint="eastAsia"/>
          <w:lang w:val="en-US" w:eastAsia="zh-CN"/>
        </w:rPr>
        <w:t xml:space="preserve"> </w:t>
      </w:r>
      <w:r>
        <w:drawing>
          <wp:inline distT="0" distB="0" distL="0" distR="0">
            <wp:extent cx="2339975" cy="1754505"/>
            <wp:effectExtent l="0" t="0" r="3175" b="17145"/>
            <wp:docPr id="3507658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765819" name="图片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339975" cy="1754505"/>
                    </a:xfrm>
                    <a:prstGeom prst="rect">
                      <a:avLst/>
                    </a:prstGeom>
                    <a:noFill/>
                    <a:ln>
                      <a:noFill/>
                    </a:ln>
                  </pic:spPr>
                </pic:pic>
              </a:graphicData>
            </a:graphic>
          </wp:inline>
        </w:drawing>
      </w:r>
      <w:r>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t xml:space="preserve">  </w:t>
      </w:r>
    </w:p>
    <w:p w14:paraId="202E2EC1">
      <w:pPr>
        <w:keepNext w:val="0"/>
        <w:keepLines w:val="0"/>
        <w:pageBreakBefore w:val="0"/>
        <w:widowControl w:val="0"/>
        <w:kinsoku w:val="0"/>
        <w:wordWrap w:val="0"/>
        <w:overflowPunct w:val="0"/>
        <w:topLinePunct w:val="0"/>
        <w:autoSpaceDE/>
        <w:autoSpaceDN/>
        <w:bidi w:val="0"/>
        <w:adjustRightInd w:val="0"/>
        <w:snapToGrid/>
        <w:spacing w:line="360" w:lineRule="auto"/>
        <w:ind w:firstLine="0" w:firstLineChars="0"/>
        <w:textAlignment w:val="baseline"/>
      </w:pPr>
    </w:p>
    <w:p w14:paraId="5D12CEF3">
      <w:pPr>
        <w:keepNext w:val="0"/>
        <w:keepLines w:val="0"/>
        <w:pageBreakBefore w:val="0"/>
        <w:widowControl w:val="0"/>
        <w:kinsoku w:val="0"/>
        <w:wordWrap w:val="0"/>
        <w:overflowPunct w:val="0"/>
        <w:topLinePunct w:val="0"/>
        <w:autoSpaceDE/>
        <w:autoSpaceDN/>
        <w:bidi w:val="0"/>
        <w:adjustRightInd w:val="0"/>
        <w:snapToGrid/>
        <w:spacing w:line="360" w:lineRule="auto"/>
        <w:ind w:firstLine="0" w:firstLineChars="0"/>
        <w:textAlignment w:val="baseline"/>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r>
        <w:drawing>
          <wp:inline distT="0" distB="0" distL="0" distR="0">
            <wp:extent cx="2339975" cy="1753870"/>
            <wp:effectExtent l="0" t="0" r="3175" b="17780"/>
            <wp:docPr id="146770655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706556" name="图片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339975" cy="1753870"/>
                    </a:xfrm>
                    <a:prstGeom prst="rect">
                      <a:avLst/>
                    </a:prstGeom>
                    <a:noFill/>
                    <a:ln>
                      <a:noFill/>
                    </a:ln>
                  </pic:spPr>
                </pic:pic>
              </a:graphicData>
            </a:graphic>
          </wp:inline>
        </w:drawing>
      </w:r>
      <w:r>
        <w:rPr>
          <w:rFonts w:hint="eastAsia"/>
          <w:lang w:val="en-US" w:eastAsia="zh-CN"/>
        </w:rPr>
        <w:t xml:space="preserve"> </w:t>
      </w:r>
      <w:r>
        <w:drawing>
          <wp:inline distT="0" distB="0" distL="0" distR="0">
            <wp:extent cx="2339975" cy="1753870"/>
            <wp:effectExtent l="0" t="0" r="3175" b="17780"/>
            <wp:docPr id="12594018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401831" name="图片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flipH="1">
                      <a:off x="0" y="0"/>
                      <a:ext cx="2339975" cy="1753870"/>
                    </a:xfrm>
                    <a:prstGeom prst="rect">
                      <a:avLst/>
                    </a:prstGeom>
                    <a:noFill/>
                    <a:ln>
                      <a:noFill/>
                    </a:ln>
                  </pic:spPr>
                </pic:pic>
              </a:graphicData>
            </a:graphic>
          </wp:inline>
        </w:drawing>
      </w:r>
      <w:r>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t xml:space="preserve">   </w:t>
      </w:r>
    </w:p>
    <w:p w14:paraId="359A33AB">
      <w:pPr>
        <w:widowControl w:val="0"/>
        <w:overflowPunct w:val="0"/>
        <w:snapToGrid/>
        <w:spacing w:line="360" w:lineRule="auto"/>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r>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t xml:space="preserve">   </w:t>
      </w:r>
    </w:p>
    <w:p w14:paraId="77BCF678">
      <w:pPr>
        <w:widowControl w:val="0"/>
        <w:overflowPunct w:val="0"/>
        <w:snapToGrid/>
        <w:spacing w:line="360" w:lineRule="auto"/>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p>
    <w:p w14:paraId="27484126">
      <w:pPr>
        <w:kinsoku/>
        <w:autoSpaceDE/>
        <w:autoSpaceDN/>
        <w:adjustRightInd/>
        <w:snapToGrid/>
        <w:textAlignment w:val="auto"/>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r>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br w:type="page"/>
      </w:r>
    </w:p>
    <w:p w14:paraId="19F8037B">
      <w:pPr>
        <w:pStyle w:val="3"/>
        <w:bidi w:val="0"/>
        <w:rPr>
          <w:rFonts w:hint="eastAsia"/>
          <w:lang w:eastAsia="zh-CN"/>
        </w:rPr>
      </w:pPr>
      <w:bookmarkStart w:id="356" w:name="_Toc25599"/>
      <w:bookmarkStart w:id="357" w:name="_Toc181558053"/>
      <w:bookmarkStart w:id="358" w:name="_Toc217363548"/>
      <w:bookmarkStart w:id="359" w:name="_Toc179818223"/>
      <w:bookmarkStart w:id="360" w:name="_Toc21950"/>
      <w:r>
        <w:rPr>
          <w:rFonts w:hint="eastAsia"/>
          <w:lang w:eastAsia="zh-CN"/>
        </w:rPr>
        <w:t>附件三：绩效评价指标体系及得分情况表</w:t>
      </w:r>
      <w:bookmarkEnd w:id="356"/>
      <w:bookmarkEnd w:id="357"/>
      <w:bookmarkEnd w:id="358"/>
      <w:bookmarkEnd w:id="359"/>
      <w:bookmarkEnd w:id="360"/>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5"/>
        <w:gridCol w:w="955"/>
        <w:gridCol w:w="1134"/>
        <w:gridCol w:w="1534"/>
        <w:gridCol w:w="2032"/>
        <w:gridCol w:w="956"/>
        <w:gridCol w:w="956"/>
      </w:tblGrid>
      <w:tr w14:paraId="0DC75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blHeader/>
        </w:trPr>
        <w:tc>
          <w:tcPr>
            <w:tcW w:w="560" w:type="pct"/>
            <w:shd w:val="clear" w:color="auto" w:fill="D8D8D8" w:themeFill="background1" w:themeFillShade="D9"/>
            <w:vAlign w:val="center"/>
          </w:tcPr>
          <w:p w14:paraId="5AAA53C2">
            <w:pPr>
              <w:pStyle w:val="18"/>
              <w:bidi w:val="0"/>
              <w:rPr>
                <w:rFonts w:hint="eastAsia"/>
                <w:b/>
                <w:bCs/>
              </w:rPr>
            </w:pPr>
            <w:r>
              <w:rPr>
                <w:rFonts w:hint="eastAsia"/>
                <w:b/>
                <w:bCs/>
              </w:rPr>
              <w:t>一级指标</w:t>
            </w:r>
          </w:p>
        </w:tc>
        <w:tc>
          <w:tcPr>
            <w:tcW w:w="560" w:type="pct"/>
            <w:shd w:val="clear" w:color="auto" w:fill="D8D8D8" w:themeFill="background1" w:themeFillShade="D9"/>
            <w:vAlign w:val="center"/>
          </w:tcPr>
          <w:p w14:paraId="535C1DA8">
            <w:pPr>
              <w:pStyle w:val="18"/>
              <w:bidi w:val="0"/>
              <w:rPr>
                <w:rFonts w:hint="eastAsia"/>
                <w:b/>
                <w:bCs/>
              </w:rPr>
            </w:pPr>
            <w:r>
              <w:rPr>
                <w:rFonts w:hint="eastAsia"/>
                <w:b/>
                <w:bCs/>
              </w:rPr>
              <w:t>二级指标</w:t>
            </w:r>
          </w:p>
        </w:tc>
        <w:tc>
          <w:tcPr>
            <w:tcW w:w="665" w:type="pct"/>
            <w:shd w:val="clear" w:color="auto" w:fill="D8D8D8" w:themeFill="background1" w:themeFillShade="D9"/>
            <w:vAlign w:val="center"/>
          </w:tcPr>
          <w:p w14:paraId="0FEA8A41">
            <w:pPr>
              <w:pStyle w:val="18"/>
              <w:bidi w:val="0"/>
              <w:rPr>
                <w:rFonts w:hint="eastAsia"/>
                <w:b/>
                <w:bCs/>
              </w:rPr>
            </w:pPr>
            <w:r>
              <w:rPr>
                <w:rFonts w:hint="eastAsia"/>
                <w:b/>
                <w:bCs/>
              </w:rPr>
              <w:t>三级指标</w:t>
            </w:r>
          </w:p>
        </w:tc>
        <w:tc>
          <w:tcPr>
            <w:tcW w:w="900" w:type="pct"/>
            <w:shd w:val="clear" w:color="auto" w:fill="D8D8D8" w:themeFill="background1" w:themeFillShade="D9"/>
            <w:vAlign w:val="center"/>
          </w:tcPr>
          <w:p w14:paraId="33C69962">
            <w:pPr>
              <w:pStyle w:val="18"/>
              <w:bidi w:val="0"/>
              <w:rPr>
                <w:rFonts w:hint="eastAsia"/>
                <w:b/>
                <w:bCs/>
              </w:rPr>
            </w:pPr>
            <w:r>
              <w:rPr>
                <w:rFonts w:hint="eastAsia"/>
                <w:b/>
                <w:bCs/>
              </w:rPr>
              <w:t>指标解释</w:t>
            </w:r>
          </w:p>
        </w:tc>
        <w:tc>
          <w:tcPr>
            <w:tcW w:w="1189" w:type="pct"/>
            <w:shd w:val="clear" w:color="auto" w:fill="D8D8D8" w:themeFill="background1" w:themeFillShade="D9"/>
            <w:vAlign w:val="center"/>
          </w:tcPr>
          <w:p w14:paraId="64F72029">
            <w:pPr>
              <w:pStyle w:val="18"/>
              <w:bidi w:val="0"/>
              <w:rPr>
                <w:rFonts w:hint="eastAsia"/>
                <w:b/>
                <w:bCs/>
              </w:rPr>
            </w:pPr>
            <w:r>
              <w:rPr>
                <w:rFonts w:hint="eastAsia"/>
                <w:b/>
                <w:bCs/>
              </w:rPr>
              <w:t>评分标准</w:t>
            </w:r>
          </w:p>
        </w:tc>
        <w:tc>
          <w:tcPr>
            <w:tcW w:w="561" w:type="pct"/>
            <w:shd w:val="clear" w:color="auto" w:fill="D8D8D8" w:themeFill="background1" w:themeFillShade="D9"/>
            <w:vAlign w:val="center"/>
          </w:tcPr>
          <w:p w14:paraId="7799C3BF">
            <w:pPr>
              <w:pStyle w:val="18"/>
              <w:bidi w:val="0"/>
              <w:rPr>
                <w:rFonts w:hint="eastAsia"/>
                <w:b/>
                <w:bCs/>
              </w:rPr>
            </w:pPr>
            <w:r>
              <w:rPr>
                <w:rFonts w:hint="eastAsia"/>
                <w:b/>
                <w:bCs/>
              </w:rPr>
              <w:t>分值</w:t>
            </w:r>
          </w:p>
        </w:tc>
        <w:tc>
          <w:tcPr>
            <w:tcW w:w="561" w:type="pct"/>
            <w:shd w:val="clear" w:color="auto" w:fill="D8D8D8" w:themeFill="background1" w:themeFillShade="D9"/>
            <w:vAlign w:val="center"/>
          </w:tcPr>
          <w:p w14:paraId="60F76414">
            <w:pPr>
              <w:pStyle w:val="18"/>
              <w:bidi w:val="0"/>
              <w:rPr>
                <w:rFonts w:hint="eastAsia"/>
                <w:b/>
                <w:bCs/>
              </w:rPr>
            </w:pPr>
            <w:r>
              <w:rPr>
                <w:rFonts w:hint="eastAsia"/>
                <w:b/>
                <w:bCs/>
              </w:rPr>
              <w:t>得分</w:t>
            </w:r>
          </w:p>
        </w:tc>
      </w:tr>
      <w:tr w14:paraId="61946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restart"/>
            <w:vAlign w:val="center"/>
          </w:tcPr>
          <w:p w14:paraId="3266F971">
            <w:pPr>
              <w:pStyle w:val="18"/>
              <w:bidi w:val="0"/>
              <w:rPr>
                <w:rFonts w:hint="eastAsia"/>
              </w:rPr>
            </w:pPr>
            <w:r>
              <w:rPr>
                <w:rFonts w:hint="eastAsia"/>
              </w:rPr>
              <w:t>决策（15%）</w:t>
            </w:r>
          </w:p>
        </w:tc>
        <w:tc>
          <w:tcPr>
            <w:tcW w:w="560" w:type="pct"/>
            <w:vMerge w:val="restart"/>
            <w:vAlign w:val="center"/>
          </w:tcPr>
          <w:p w14:paraId="337C2278">
            <w:pPr>
              <w:pStyle w:val="18"/>
              <w:bidi w:val="0"/>
              <w:rPr>
                <w:rFonts w:hint="eastAsia"/>
              </w:rPr>
            </w:pPr>
            <w:r>
              <w:rPr>
                <w:rFonts w:hint="eastAsia"/>
              </w:rPr>
              <w:t>目标设定（6分）</w:t>
            </w:r>
          </w:p>
        </w:tc>
        <w:tc>
          <w:tcPr>
            <w:tcW w:w="665" w:type="pct"/>
            <w:vAlign w:val="center"/>
          </w:tcPr>
          <w:p w14:paraId="3C4314D5">
            <w:pPr>
              <w:pStyle w:val="18"/>
              <w:bidi w:val="0"/>
              <w:rPr>
                <w:rFonts w:hint="eastAsia"/>
                <w:lang w:eastAsia="zh-CN"/>
              </w:rPr>
            </w:pPr>
            <w:r>
              <w:rPr>
                <w:rFonts w:hint="eastAsia"/>
                <w:lang w:eastAsia="zh-CN"/>
              </w:rPr>
              <w:t>绩效目标合理性（3分）</w:t>
            </w:r>
          </w:p>
        </w:tc>
        <w:tc>
          <w:tcPr>
            <w:tcW w:w="900" w:type="pct"/>
            <w:vAlign w:val="center"/>
          </w:tcPr>
          <w:p w14:paraId="748314E7">
            <w:pPr>
              <w:pStyle w:val="18"/>
              <w:bidi w:val="0"/>
              <w:rPr>
                <w:rFonts w:hint="eastAsia"/>
                <w:lang w:eastAsia="zh-CN"/>
              </w:rPr>
            </w:pPr>
            <w:r>
              <w:rPr>
                <w:rFonts w:hint="eastAsia"/>
                <w:lang w:eastAsia="zh-CN"/>
              </w:rPr>
              <w:t>部门所设立的整体绩效目标依据是否充分，是否符合客观实际，用以反映和考核绩效目标与部门履职、年度工作任务的相符性情况。</w:t>
            </w:r>
          </w:p>
        </w:tc>
        <w:tc>
          <w:tcPr>
            <w:tcW w:w="1189" w:type="pct"/>
            <w:vAlign w:val="center"/>
          </w:tcPr>
          <w:p w14:paraId="63C5E6D7">
            <w:pPr>
              <w:pStyle w:val="18"/>
              <w:bidi w:val="0"/>
              <w:rPr>
                <w:rFonts w:hint="eastAsia"/>
              </w:rPr>
            </w:pPr>
            <w:r>
              <w:rPr>
                <w:rFonts w:hint="eastAsia"/>
                <w:lang w:eastAsia="zh-CN"/>
              </w:rPr>
              <w:t>评价要点：</w:t>
            </w:r>
            <w:r>
              <w:rPr>
                <w:rFonts w:hint="eastAsia"/>
                <w:lang w:eastAsia="zh-CN"/>
              </w:rPr>
              <w:br w:type="textWrapping"/>
            </w:r>
            <w:r>
              <w:rPr>
                <w:lang w:eastAsia="zh-CN"/>
              </w:rPr>
              <w:t>①</w:t>
            </w:r>
            <w:r>
              <w:rPr>
                <w:rFonts w:hint="eastAsia"/>
                <w:lang w:eastAsia="zh-CN"/>
              </w:rPr>
              <w:t>是否符合国家法律法规；</w:t>
            </w:r>
            <w:r>
              <w:rPr>
                <w:rFonts w:hint="eastAsia"/>
                <w:lang w:eastAsia="zh-CN"/>
              </w:rPr>
              <w:br w:type="textWrapping"/>
            </w:r>
            <w:r>
              <w:rPr>
                <w:rFonts w:hint="eastAsia"/>
                <w:lang w:eastAsia="zh-CN"/>
              </w:rPr>
              <w:t>②是否符合国民经济和社会发展总体规划；</w:t>
            </w:r>
            <w:r>
              <w:rPr>
                <w:rFonts w:hint="eastAsia"/>
                <w:lang w:eastAsia="zh-CN"/>
              </w:rPr>
              <w:br w:type="textWrapping"/>
            </w:r>
            <w:r>
              <w:rPr>
                <w:rFonts w:hint="eastAsia"/>
                <w:lang w:eastAsia="zh-CN"/>
              </w:rPr>
              <w:t>③是否符合部门“三定”方案确定的职责。</w:t>
            </w:r>
            <w:r>
              <w:rPr>
                <w:rFonts w:hint="eastAsia"/>
                <w:lang w:eastAsia="zh-CN"/>
              </w:rPr>
              <w:br w:type="textWrapping"/>
            </w:r>
            <w:r>
              <w:rPr>
                <w:rFonts w:hint="eastAsia"/>
              </w:rPr>
              <w:t>一项不符扣1分。</w:t>
            </w:r>
          </w:p>
        </w:tc>
        <w:tc>
          <w:tcPr>
            <w:tcW w:w="561" w:type="pct"/>
            <w:vAlign w:val="center"/>
          </w:tcPr>
          <w:p w14:paraId="3A35A8F0">
            <w:pPr>
              <w:pStyle w:val="18"/>
              <w:bidi w:val="0"/>
              <w:rPr>
                <w:rFonts w:hint="eastAsia"/>
              </w:rPr>
            </w:pPr>
            <w:r>
              <w:rPr>
                <w:rFonts w:hint="eastAsia"/>
              </w:rPr>
              <w:t>3</w:t>
            </w:r>
          </w:p>
        </w:tc>
        <w:tc>
          <w:tcPr>
            <w:tcW w:w="561" w:type="pct"/>
            <w:vAlign w:val="center"/>
          </w:tcPr>
          <w:p w14:paraId="379EC911">
            <w:pPr>
              <w:pStyle w:val="18"/>
              <w:bidi w:val="0"/>
              <w:rPr>
                <w:rFonts w:hint="eastAsia"/>
              </w:rPr>
            </w:pPr>
            <w:r>
              <w:rPr>
                <w:rFonts w:hint="eastAsia"/>
              </w:rPr>
              <w:t>2</w:t>
            </w:r>
          </w:p>
        </w:tc>
      </w:tr>
      <w:tr w14:paraId="06780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166A03A9">
            <w:pPr>
              <w:pStyle w:val="18"/>
              <w:bidi w:val="0"/>
              <w:rPr>
                <w:rFonts w:hint="eastAsia"/>
              </w:rPr>
            </w:pPr>
          </w:p>
        </w:tc>
        <w:tc>
          <w:tcPr>
            <w:tcW w:w="560" w:type="pct"/>
            <w:vMerge w:val="continue"/>
            <w:vAlign w:val="center"/>
          </w:tcPr>
          <w:p w14:paraId="7C1B358B">
            <w:pPr>
              <w:pStyle w:val="18"/>
              <w:bidi w:val="0"/>
              <w:rPr>
                <w:rFonts w:hint="eastAsia"/>
              </w:rPr>
            </w:pPr>
          </w:p>
        </w:tc>
        <w:tc>
          <w:tcPr>
            <w:tcW w:w="665" w:type="pct"/>
            <w:vAlign w:val="center"/>
          </w:tcPr>
          <w:p w14:paraId="3AE21CD1">
            <w:pPr>
              <w:pStyle w:val="18"/>
              <w:bidi w:val="0"/>
              <w:rPr>
                <w:rFonts w:hint="eastAsia"/>
                <w:lang w:eastAsia="zh-CN"/>
              </w:rPr>
            </w:pPr>
            <w:r>
              <w:rPr>
                <w:rFonts w:hint="eastAsia"/>
                <w:lang w:eastAsia="zh-CN"/>
              </w:rPr>
              <w:t>绩效目标明确性（3分）</w:t>
            </w:r>
          </w:p>
        </w:tc>
        <w:tc>
          <w:tcPr>
            <w:tcW w:w="900" w:type="pct"/>
            <w:vAlign w:val="center"/>
          </w:tcPr>
          <w:p w14:paraId="0F785991">
            <w:pPr>
              <w:pStyle w:val="18"/>
              <w:bidi w:val="0"/>
              <w:rPr>
                <w:rFonts w:hint="eastAsia"/>
                <w:lang w:eastAsia="zh-CN"/>
              </w:rPr>
            </w:pPr>
            <w:r>
              <w:rPr>
                <w:rFonts w:hint="eastAsia"/>
                <w:lang w:eastAsia="zh-CN"/>
              </w:rPr>
              <w:t>部门依据整体绩效目标所设定的绩效指标是否清晰、细化、可衡量，用以反映和考核绩效目标的细化情况，并涵盖绩效目标全部内容，反映项目预期产出和效益。</w:t>
            </w:r>
          </w:p>
        </w:tc>
        <w:tc>
          <w:tcPr>
            <w:tcW w:w="1189" w:type="pct"/>
            <w:vAlign w:val="center"/>
          </w:tcPr>
          <w:p w14:paraId="1710C8C6">
            <w:pPr>
              <w:pStyle w:val="18"/>
              <w:bidi w:val="0"/>
              <w:rPr>
                <w:rFonts w:hint="eastAsia"/>
              </w:rPr>
            </w:pPr>
            <w:r>
              <w:rPr>
                <w:rFonts w:hint="eastAsia"/>
                <w:lang w:eastAsia="zh-CN"/>
              </w:rPr>
              <w:t>评价要点：</w:t>
            </w:r>
            <w:r>
              <w:rPr>
                <w:rFonts w:hint="eastAsia"/>
                <w:lang w:eastAsia="zh-CN"/>
              </w:rPr>
              <w:br w:type="textWrapping"/>
            </w:r>
            <w:r>
              <w:rPr>
                <w:rFonts w:hint="eastAsia"/>
                <w:lang w:eastAsia="zh-CN"/>
              </w:rPr>
              <w:t>①是否将部门整体的绩效目标细化分解为具体的工作任务；</w:t>
            </w:r>
            <w:r>
              <w:rPr>
                <w:rFonts w:hint="eastAsia"/>
                <w:lang w:eastAsia="zh-CN"/>
              </w:rPr>
              <w:br w:type="textWrapping"/>
            </w:r>
            <w:r>
              <w:rPr>
                <w:rFonts w:hint="eastAsia"/>
                <w:lang w:eastAsia="zh-CN"/>
              </w:rPr>
              <w:t>②是否通过清晰、可衡量的指标予以体现；</w:t>
            </w:r>
            <w:r>
              <w:rPr>
                <w:rFonts w:hint="eastAsia"/>
                <w:lang w:eastAsia="zh-CN"/>
              </w:rPr>
              <w:br w:type="textWrapping"/>
            </w:r>
            <w:r>
              <w:rPr>
                <w:rFonts w:hint="eastAsia"/>
                <w:lang w:eastAsia="zh-CN"/>
              </w:rPr>
              <w:t>③是否与部门年度的任务数或计划数相对应。</w:t>
            </w:r>
            <w:r>
              <w:rPr>
                <w:rFonts w:hint="eastAsia"/>
                <w:lang w:eastAsia="zh-CN"/>
              </w:rPr>
              <w:br w:type="textWrapping"/>
            </w:r>
            <w:r>
              <w:rPr>
                <w:rFonts w:hint="eastAsia"/>
              </w:rPr>
              <w:t>一项不符扣1分。</w:t>
            </w:r>
          </w:p>
        </w:tc>
        <w:tc>
          <w:tcPr>
            <w:tcW w:w="561" w:type="pct"/>
            <w:vAlign w:val="center"/>
          </w:tcPr>
          <w:p w14:paraId="79F31723">
            <w:pPr>
              <w:pStyle w:val="18"/>
              <w:bidi w:val="0"/>
              <w:rPr>
                <w:rFonts w:hint="eastAsia"/>
              </w:rPr>
            </w:pPr>
            <w:r>
              <w:rPr>
                <w:rFonts w:hint="eastAsia"/>
              </w:rPr>
              <w:t>3</w:t>
            </w:r>
          </w:p>
        </w:tc>
        <w:tc>
          <w:tcPr>
            <w:tcW w:w="561" w:type="pct"/>
            <w:vAlign w:val="center"/>
          </w:tcPr>
          <w:p w14:paraId="7DCB974B">
            <w:pPr>
              <w:pStyle w:val="18"/>
              <w:bidi w:val="0"/>
              <w:rPr>
                <w:rFonts w:hint="eastAsia"/>
              </w:rPr>
            </w:pPr>
            <w:r>
              <w:rPr>
                <w:rFonts w:hint="eastAsia"/>
              </w:rPr>
              <w:t>2</w:t>
            </w:r>
          </w:p>
        </w:tc>
      </w:tr>
      <w:tr w14:paraId="4247B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45076B4A">
            <w:pPr>
              <w:pStyle w:val="18"/>
              <w:bidi w:val="0"/>
              <w:rPr>
                <w:rFonts w:hint="eastAsia"/>
              </w:rPr>
            </w:pPr>
          </w:p>
        </w:tc>
        <w:tc>
          <w:tcPr>
            <w:tcW w:w="560" w:type="pct"/>
            <w:vMerge w:val="restart"/>
            <w:vAlign w:val="center"/>
          </w:tcPr>
          <w:p w14:paraId="48ABBDF7">
            <w:pPr>
              <w:pStyle w:val="18"/>
              <w:bidi w:val="0"/>
              <w:rPr>
                <w:rFonts w:hint="eastAsia"/>
              </w:rPr>
            </w:pPr>
            <w:r>
              <w:rPr>
                <w:rFonts w:hint="eastAsia"/>
              </w:rPr>
              <w:t>预算配置（9分）</w:t>
            </w:r>
          </w:p>
        </w:tc>
        <w:tc>
          <w:tcPr>
            <w:tcW w:w="665" w:type="pct"/>
            <w:vAlign w:val="center"/>
          </w:tcPr>
          <w:p w14:paraId="7FA37C87">
            <w:pPr>
              <w:pStyle w:val="18"/>
              <w:bidi w:val="0"/>
              <w:rPr>
                <w:rFonts w:hint="eastAsia"/>
                <w:lang w:eastAsia="zh-CN"/>
              </w:rPr>
            </w:pPr>
            <w:r>
              <w:rPr>
                <w:rFonts w:hint="eastAsia"/>
                <w:lang w:eastAsia="zh-CN"/>
              </w:rPr>
              <w:t>在职人员控制率（3分）</w:t>
            </w:r>
          </w:p>
        </w:tc>
        <w:tc>
          <w:tcPr>
            <w:tcW w:w="900" w:type="pct"/>
            <w:vAlign w:val="center"/>
          </w:tcPr>
          <w:p w14:paraId="3DED320B">
            <w:pPr>
              <w:pStyle w:val="18"/>
              <w:bidi w:val="0"/>
              <w:rPr>
                <w:rFonts w:hint="eastAsia"/>
                <w:lang w:eastAsia="zh-CN"/>
              </w:rPr>
            </w:pPr>
            <w:r>
              <w:rPr>
                <w:rFonts w:hint="eastAsia"/>
                <w:lang w:eastAsia="zh-CN"/>
              </w:rPr>
              <w:t>部门本年度实际在职人员数与编制数的比率，用以反映和考核部门对人员成本的控制程度。</w:t>
            </w:r>
          </w:p>
        </w:tc>
        <w:tc>
          <w:tcPr>
            <w:tcW w:w="1189" w:type="pct"/>
            <w:vAlign w:val="center"/>
          </w:tcPr>
          <w:p w14:paraId="4FA59228">
            <w:pPr>
              <w:pStyle w:val="18"/>
              <w:bidi w:val="0"/>
              <w:rPr>
                <w:rFonts w:hint="eastAsia"/>
                <w:lang w:eastAsia="zh-CN"/>
              </w:rPr>
            </w:pPr>
            <w:r>
              <w:rPr>
                <w:rFonts w:hint="eastAsia"/>
                <w:lang w:eastAsia="zh-CN"/>
              </w:rPr>
              <w:t>评价要点：在职人员控制率=（在编人员数/编制数）×100%。</w:t>
            </w:r>
            <w:r>
              <w:rPr>
                <w:rFonts w:hint="eastAsia"/>
                <w:lang w:eastAsia="zh-CN"/>
              </w:rPr>
              <w:br w:type="textWrapping"/>
            </w:r>
            <w:r>
              <w:rPr>
                <w:rFonts w:hint="eastAsia"/>
                <w:lang w:eastAsia="zh-CN"/>
              </w:rPr>
              <w:t>评价要点：</w:t>
            </w:r>
            <w:r>
              <w:rPr>
                <w:rFonts w:hint="eastAsia"/>
                <w:lang w:eastAsia="zh-CN"/>
              </w:rPr>
              <w:br w:type="textWrapping"/>
            </w:r>
            <w:r>
              <w:rPr>
                <w:rFonts w:hint="eastAsia"/>
                <w:lang w:eastAsia="zh-CN"/>
              </w:rPr>
              <w:t>①在职人员控制率≤100%，得满分；</w:t>
            </w:r>
            <w:r>
              <w:rPr>
                <w:rFonts w:hint="eastAsia"/>
                <w:lang w:eastAsia="zh-CN"/>
              </w:rPr>
              <w:br w:type="textWrapping"/>
            </w:r>
            <w:r>
              <w:rPr>
                <w:rFonts w:hint="eastAsia"/>
                <w:lang w:eastAsia="zh-CN"/>
              </w:rPr>
              <w:t>②在职人员控制率≧115%，得0分；</w:t>
            </w:r>
            <w:r>
              <w:rPr>
                <w:rFonts w:hint="eastAsia"/>
                <w:lang w:eastAsia="zh-CN"/>
              </w:rPr>
              <w:br w:type="textWrapping"/>
            </w:r>
            <w:r>
              <w:rPr>
                <w:rFonts w:hint="eastAsia"/>
                <w:lang w:eastAsia="zh-CN"/>
              </w:rPr>
              <w:t>③100%＜在职人员控制率＜115%之间，得分=（115%－某部门在职人员控制率）/15%×指标分值。</w:t>
            </w:r>
          </w:p>
        </w:tc>
        <w:tc>
          <w:tcPr>
            <w:tcW w:w="561" w:type="pct"/>
            <w:vAlign w:val="center"/>
          </w:tcPr>
          <w:p w14:paraId="1DE4F149">
            <w:pPr>
              <w:pStyle w:val="18"/>
              <w:bidi w:val="0"/>
              <w:rPr>
                <w:rFonts w:hint="eastAsia"/>
              </w:rPr>
            </w:pPr>
            <w:r>
              <w:rPr>
                <w:rFonts w:hint="eastAsia"/>
              </w:rPr>
              <w:t>3</w:t>
            </w:r>
          </w:p>
        </w:tc>
        <w:tc>
          <w:tcPr>
            <w:tcW w:w="561" w:type="pct"/>
            <w:vAlign w:val="center"/>
          </w:tcPr>
          <w:p w14:paraId="73092E72">
            <w:pPr>
              <w:pStyle w:val="18"/>
              <w:bidi w:val="0"/>
              <w:rPr>
                <w:rFonts w:hint="eastAsia"/>
              </w:rPr>
            </w:pPr>
            <w:r>
              <w:rPr>
                <w:rFonts w:hint="eastAsia"/>
              </w:rPr>
              <w:t>3</w:t>
            </w:r>
          </w:p>
        </w:tc>
      </w:tr>
      <w:tr w14:paraId="2CB681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551F37CE">
            <w:pPr>
              <w:pStyle w:val="18"/>
              <w:bidi w:val="0"/>
              <w:rPr>
                <w:rFonts w:hint="eastAsia"/>
              </w:rPr>
            </w:pPr>
          </w:p>
        </w:tc>
        <w:tc>
          <w:tcPr>
            <w:tcW w:w="560" w:type="pct"/>
            <w:vMerge w:val="continue"/>
            <w:vAlign w:val="center"/>
          </w:tcPr>
          <w:p w14:paraId="29ACC1B0">
            <w:pPr>
              <w:pStyle w:val="18"/>
              <w:bidi w:val="0"/>
              <w:rPr>
                <w:rFonts w:hint="eastAsia"/>
              </w:rPr>
            </w:pPr>
          </w:p>
        </w:tc>
        <w:tc>
          <w:tcPr>
            <w:tcW w:w="665" w:type="pct"/>
            <w:vAlign w:val="center"/>
          </w:tcPr>
          <w:p w14:paraId="638F4D55">
            <w:pPr>
              <w:pStyle w:val="18"/>
              <w:bidi w:val="0"/>
              <w:rPr>
                <w:rFonts w:hint="eastAsia"/>
                <w:lang w:eastAsia="zh-CN"/>
              </w:rPr>
            </w:pPr>
            <w:r>
              <w:rPr>
                <w:rFonts w:hint="eastAsia"/>
                <w:lang w:eastAsia="zh-CN"/>
              </w:rPr>
              <w:t>“三公”经费变动率（3分）</w:t>
            </w:r>
          </w:p>
        </w:tc>
        <w:tc>
          <w:tcPr>
            <w:tcW w:w="900" w:type="pct"/>
            <w:vAlign w:val="center"/>
          </w:tcPr>
          <w:p w14:paraId="0B96B243">
            <w:pPr>
              <w:pStyle w:val="18"/>
              <w:bidi w:val="0"/>
              <w:rPr>
                <w:rFonts w:hint="eastAsia"/>
                <w:lang w:eastAsia="zh-CN"/>
              </w:rPr>
            </w:pPr>
            <w:r>
              <w:rPr>
                <w:rFonts w:hint="eastAsia"/>
                <w:lang w:eastAsia="zh-CN"/>
              </w:rPr>
              <w:t>部门本年度“三公”经费预算数与上年度“三公”经费预算数的变动比率，用以反映和考核部门对控制重点行政成本的努力程度。“三公”经费变动率=[（本年度“三公”经费总额-上年度“三公”经费总额）/上年度“三公”经费总额]×100%。</w:t>
            </w:r>
          </w:p>
        </w:tc>
        <w:tc>
          <w:tcPr>
            <w:tcW w:w="1189" w:type="pct"/>
            <w:vAlign w:val="center"/>
          </w:tcPr>
          <w:p w14:paraId="2F417BE6">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①变动率≤0%得满分；</w:t>
            </w:r>
            <w:r>
              <w:rPr>
                <w:rFonts w:hint="eastAsia"/>
                <w:lang w:eastAsia="zh-CN"/>
              </w:rPr>
              <w:br w:type="textWrapping"/>
            </w:r>
            <w:r>
              <w:rPr>
                <w:rFonts w:hint="eastAsia"/>
                <w:lang w:eastAsia="zh-CN"/>
              </w:rPr>
              <w:t>②变动率每超过10个百分点扣1分，扣完为止。</w:t>
            </w:r>
          </w:p>
        </w:tc>
        <w:tc>
          <w:tcPr>
            <w:tcW w:w="561" w:type="pct"/>
            <w:vAlign w:val="center"/>
          </w:tcPr>
          <w:p w14:paraId="7E3AEBEF">
            <w:pPr>
              <w:pStyle w:val="18"/>
              <w:bidi w:val="0"/>
              <w:rPr>
                <w:rFonts w:hint="eastAsia"/>
              </w:rPr>
            </w:pPr>
            <w:r>
              <w:rPr>
                <w:rFonts w:hint="eastAsia"/>
              </w:rPr>
              <w:t>3</w:t>
            </w:r>
          </w:p>
        </w:tc>
        <w:tc>
          <w:tcPr>
            <w:tcW w:w="561" w:type="pct"/>
            <w:vAlign w:val="center"/>
          </w:tcPr>
          <w:p w14:paraId="357A37AC">
            <w:pPr>
              <w:pStyle w:val="18"/>
              <w:bidi w:val="0"/>
              <w:rPr>
                <w:rFonts w:hint="eastAsia"/>
              </w:rPr>
            </w:pPr>
            <w:r>
              <w:rPr>
                <w:rFonts w:hint="eastAsia"/>
              </w:rPr>
              <w:t>3</w:t>
            </w:r>
          </w:p>
        </w:tc>
      </w:tr>
      <w:tr w14:paraId="2CD34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70837E16">
            <w:pPr>
              <w:pStyle w:val="18"/>
              <w:bidi w:val="0"/>
              <w:rPr>
                <w:rFonts w:hint="eastAsia"/>
              </w:rPr>
            </w:pPr>
          </w:p>
        </w:tc>
        <w:tc>
          <w:tcPr>
            <w:tcW w:w="560" w:type="pct"/>
            <w:vMerge w:val="continue"/>
            <w:vAlign w:val="center"/>
          </w:tcPr>
          <w:p w14:paraId="7F89024E">
            <w:pPr>
              <w:pStyle w:val="18"/>
              <w:bidi w:val="0"/>
              <w:rPr>
                <w:rFonts w:hint="eastAsia"/>
              </w:rPr>
            </w:pPr>
          </w:p>
        </w:tc>
        <w:tc>
          <w:tcPr>
            <w:tcW w:w="665" w:type="pct"/>
            <w:vAlign w:val="center"/>
          </w:tcPr>
          <w:p w14:paraId="462A7554">
            <w:pPr>
              <w:pStyle w:val="18"/>
              <w:bidi w:val="0"/>
              <w:rPr>
                <w:rFonts w:hint="eastAsia"/>
                <w:lang w:eastAsia="zh-CN"/>
              </w:rPr>
            </w:pPr>
            <w:r>
              <w:rPr>
                <w:rFonts w:hint="eastAsia"/>
                <w:lang w:eastAsia="zh-CN"/>
              </w:rPr>
              <w:t>结转结余变动率（3分）</w:t>
            </w:r>
          </w:p>
        </w:tc>
        <w:tc>
          <w:tcPr>
            <w:tcW w:w="900" w:type="pct"/>
            <w:vAlign w:val="center"/>
          </w:tcPr>
          <w:p w14:paraId="65E3EF41">
            <w:pPr>
              <w:pStyle w:val="18"/>
              <w:bidi w:val="0"/>
              <w:rPr>
                <w:rFonts w:hint="eastAsia"/>
                <w:lang w:eastAsia="zh-CN"/>
              </w:rPr>
            </w:pPr>
            <w:r>
              <w:rPr>
                <w:rFonts w:hint="eastAsia"/>
                <w:lang w:eastAsia="zh-CN"/>
              </w:rPr>
              <w:t>部门本年度“结转结余”金额与上年度“结转结余”金额的变动比率，用以反映和考核部门资金的结余程度。</w:t>
            </w:r>
          </w:p>
        </w:tc>
        <w:tc>
          <w:tcPr>
            <w:tcW w:w="1189" w:type="pct"/>
            <w:vAlign w:val="center"/>
          </w:tcPr>
          <w:p w14:paraId="745E8559">
            <w:pPr>
              <w:pStyle w:val="18"/>
              <w:bidi w:val="0"/>
              <w:rPr>
                <w:rFonts w:hint="eastAsia"/>
              </w:rPr>
            </w:pPr>
            <w:r>
              <w:rPr>
                <w:rFonts w:hint="eastAsia"/>
                <w:lang w:eastAsia="zh-CN"/>
              </w:rPr>
              <w:t>评价要点：</w:t>
            </w:r>
            <w:r>
              <w:rPr>
                <w:rFonts w:hint="eastAsia"/>
                <w:lang w:eastAsia="zh-CN"/>
              </w:rPr>
              <w:br w:type="textWrapping"/>
            </w:r>
            <w:r>
              <w:rPr>
                <w:rFonts w:hint="eastAsia"/>
                <w:lang w:eastAsia="zh-CN"/>
              </w:rPr>
              <w:t>结转结余变动率=[（本年度累计结转结余资金总额-上年度累计结转结余资金总额）/上年度累计结转结余资金总额]×100%。</w:t>
            </w:r>
            <w:r>
              <w:rPr>
                <w:rFonts w:hint="eastAsia"/>
                <w:lang w:eastAsia="zh-CN"/>
              </w:rPr>
              <w:br w:type="textWrapping"/>
            </w:r>
            <w:r>
              <w:rPr>
                <w:rFonts w:hint="eastAsia"/>
                <w:lang w:eastAsia="zh-CN"/>
              </w:rPr>
              <w:t>结转结余变动率＜0，得满分；</w:t>
            </w:r>
            <w:r>
              <w:rPr>
                <w:rFonts w:hint="eastAsia"/>
                <w:lang w:eastAsia="zh-CN"/>
              </w:rPr>
              <w:br w:type="textWrapping"/>
            </w:r>
            <w:r>
              <w:rPr>
                <w:rFonts w:hint="eastAsia"/>
                <w:lang w:eastAsia="zh-CN"/>
              </w:rPr>
              <w:t>结转结余变动率≧60%，不得分。</w:t>
            </w:r>
            <w:r>
              <w:rPr>
                <w:rFonts w:hint="eastAsia"/>
                <w:lang w:eastAsia="zh-CN"/>
              </w:rPr>
              <w:br w:type="textWrapping"/>
            </w:r>
            <w:r>
              <w:rPr>
                <w:rFonts w:hint="eastAsia"/>
              </w:rPr>
              <w:t>得分=（60%-结转结余变动率）/60%×该指标分值</w:t>
            </w:r>
          </w:p>
        </w:tc>
        <w:tc>
          <w:tcPr>
            <w:tcW w:w="561" w:type="pct"/>
            <w:vAlign w:val="center"/>
          </w:tcPr>
          <w:p w14:paraId="692EA762">
            <w:pPr>
              <w:pStyle w:val="18"/>
              <w:bidi w:val="0"/>
              <w:rPr>
                <w:rFonts w:hint="eastAsia"/>
              </w:rPr>
            </w:pPr>
            <w:r>
              <w:rPr>
                <w:rFonts w:hint="eastAsia"/>
              </w:rPr>
              <w:t>3</w:t>
            </w:r>
          </w:p>
        </w:tc>
        <w:tc>
          <w:tcPr>
            <w:tcW w:w="561" w:type="pct"/>
            <w:vAlign w:val="center"/>
          </w:tcPr>
          <w:p w14:paraId="3DD844C7">
            <w:pPr>
              <w:pStyle w:val="18"/>
              <w:bidi w:val="0"/>
              <w:rPr>
                <w:rFonts w:hint="eastAsia"/>
              </w:rPr>
            </w:pPr>
            <w:r>
              <w:rPr>
                <w:rFonts w:hint="eastAsia"/>
              </w:rPr>
              <w:t>3</w:t>
            </w:r>
          </w:p>
        </w:tc>
      </w:tr>
      <w:tr w14:paraId="079FE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restart"/>
            <w:vAlign w:val="center"/>
          </w:tcPr>
          <w:p w14:paraId="409252C3">
            <w:pPr>
              <w:pStyle w:val="18"/>
              <w:bidi w:val="0"/>
              <w:rPr>
                <w:rFonts w:hint="eastAsia"/>
              </w:rPr>
            </w:pPr>
            <w:r>
              <w:rPr>
                <w:rFonts w:hint="eastAsia"/>
              </w:rPr>
              <w:t>过程（21%）</w:t>
            </w:r>
          </w:p>
        </w:tc>
        <w:tc>
          <w:tcPr>
            <w:tcW w:w="560" w:type="pct"/>
            <w:vMerge w:val="restart"/>
            <w:vAlign w:val="center"/>
          </w:tcPr>
          <w:p w14:paraId="487DD603">
            <w:pPr>
              <w:pStyle w:val="18"/>
              <w:bidi w:val="0"/>
              <w:rPr>
                <w:rFonts w:hint="eastAsia"/>
              </w:rPr>
            </w:pPr>
            <w:r>
              <w:rPr>
                <w:rFonts w:hint="eastAsia"/>
              </w:rPr>
              <w:t>预算执行（9分）</w:t>
            </w:r>
          </w:p>
        </w:tc>
        <w:tc>
          <w:tcPr>
            <w:tcW w:w="665" w:type="pct"/>
            <w:vAlign w:val="center"/>
          </w:tcPr>
          <w:p w14:paraId="1E87FC65">
            <w:pPr>
              <w:pStyle w:val="18"/>
              <w:bidi w:val="0"/>
              <w:rPr>
                <w:rFonts w:hint="eastAsia"/>
              </w:rPr>
            </w:pPr>
            <w:r>
              <w:rPr>
                <w:rFonts w:hint="eastAsia"/>
              </w:rPr>
              <w:t>预算执行率（2分）</w:t>
            </w:r>
          </w:p>
        </w:tc>
        <w:tc>
          <w:tcPr>
            <w:tcW w:w="900" w:type="pct"/>
            <w:vAlign w:val="center"/>
          </w:tcPr>
          <w:p w14:paraId="61EA7738">
            <w:pPr>
              <w:pStyle w:val="18"/>
              <w:bidi w:val="0"/>
              <w:rPr>
                <w:rFonts w:hint="eastAsia"/>
                <w:lang w:eastAsia="zh-CN"/>
              </w:rPr>
            </w:pPr>
            <w:r>
              <w:rPr>
                <w:rFonts w:hint="eastAsia"/>
                <w:lang w:eastAsia="zh-CN"/>
              </w:rPr>
              <w:t>项目预算资金是否按照计划执行，用以反映或考核项目预算执行情况。预算执行率=（年度部门实际支出资金/年度部门全年预算资金）×100%）。</w:t>
            </w:r>
          </w:p>
        </w:tc>
        <w:tc>
          <w:tcPr>
            <w:tcW w:w="1189" w:type="pct"/>
            <w:vAlign w:val="center"/>
          </w:tcPr>
          <w:p w14:paraId="7AEC98F3">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①90%≤预算执行率≤100%，得2分；</w:t>
            </w:r>
            <w:r>
              <w:rPr>
                <w:rFonts w:hint="eastAsia"/>
                <w:lang w:eastAsia="zh-CN"/>
              </w:rPr>
              <w:br w:type="textWrapping"/>
            </w:r>
            <w:r>
              <w:rPr>
                <w:rFonts w:hint="eastAsia"/>
                <w:lang w:eastAsia="zh-CN"/>
              </w:rPr>
              <w:t>②70%≤预算执行率﹤90%，得1分；</w:t>
            </w:r>
            <w:r>
              <w:rPr>
                <w:rFonts w:hint="eastAsia"/>
                <w:lang w:eastAsia="zh-CN"/>
              </w:rPr>
              <w:br w:type="textWrapping"/>
            </w:r>
            <w:r>
              <w:rPr>
                <w:rFonts w:hint="eastAsia"/>
                <w:lang w:eastAsia="zh-CN"/>
              </w:rPr>
              <w:t>③预算执行率﹤70%，得0分；</w:t>
            </w:r>
          </w:p>
        </w:tc>
        <w:tc>
          <w:tcPr>
            <w:tcW w:w="561" w:type="pct"/>
            <w:vAlign w:val="center"/>
          </w:tcPr>
          <w:p w14:paraId="61B49AE9">
            <w:pPr>
              <w:pStyle w:val="18"/>
              <w:bidi w:val="0"/>
              <w:rPr>
                <w:rFonts w:hint="eastAsia"/>
              </w:rPr>
            </w:pPr>
            <w:r>
              <w:rPr>
                <w:rFonts w:hint="eastAsia"/>
              </w:rPr>
              <w:t>2</w:t>
            </w:r>
          </w:p>
        </w:tc>
        <w:tc>
          <w:tcPr>
            <w:tcW w:w="561" w:type="pct"/>
            <w:vAlign w:val="center"/>
          </w:tcPr>
          <w:p w14:paraId="68A7C791">
            <w:pPr>
              <w:pStyle w:val="18"/>
              <w:bidi w:val="0"/>
              <w:rPr>
                <w:rFonts w:hint="eastAsia"/>
              </w:rPr>
            </w:pPr>
            <w:r>
              <w:rPr>
                <w:rFonts w:hint="eastAsia"/>
              </w:rPr>
              <w:t>2</w:t>
            </w:r>
          </w:p>
        </w:tc>
      </w:tr>
      <w:tr w14:paraId="1C722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1C76AF4F">
            <w:pPr>
              <w:pStyle w:val="18"/>
              <w:bidi w:val="0"/>
              <w:rPr>
                <w:rFonts w:hint="eastAsia"/>
              </w:rPr>
            </w:pPr>
          </w:p>
        </w:tc>
        <w:tc>
          <w:tcPr>
            <w:tcW w:w="560" w:type="pct"/>
            <w:vMerge w:val="continue"/>
            <w:vAlign w:val="center"/>
          </w:tcPr>
          <w:p w14:paraId="10301A42">
            <w:pPr>
              <w:pStyle w:val="18"/>
              <w:bidi w:val="0"/>
              <w:rPr>
                <w:rFonts w:hint="eastAsia"/>
              </w:rPr>
            </w:pPr>
          </w:p>
        </w:tc>
        <w:tc>
          <w:tcPr>
            <w:tcW w:w="665" w:type="pct"/>
            <w:vAlign w:val="center"/>
          </w:tcPr>
          <w:p w14:paraId="206BFE11">
            <w:pPr>
              <w:pStyle w:val="18"/>
              <w:bidi w:val="0"/>
              <w:rPr>
                <w:rFonts w:hint="eastAsia"/>
              </w:rPr>
            </w:pPr>
            <w:r>
              <w:rPr>
                <w:rFonts w:hint="eastAsia"/>
              </w:rPr>
              <w:t>预算调整率（2分）</w:t>
            </w:r>
          </w:p>
        </w:tc>
        <w:tc>
          <w:tcPr>
            <w:tcW w:w="900" w:type="pct"/>
            <w:vAlign w:val="center"/>
          </w:tcPr>
          <w:p w14:paraId="69FE8C78">
            <w:pPr>
              <w:pStyle w:val="18"/>
              <w:bidi w:val="0"/>
              <w:rPr>
                <w:rFonts w:hint="eastAsia"/>
                <w:lang w:eastAsia="zh-CN"/>
              </w:rPr>
            </w:pPr>
            <w:r>
              <w:rPr>
                <w:rFonts w:hint="eastAsia"/>
                <w:lang w:eastAsia="zh-CN"/>
              </w:rPr>
              <w:t>部门本年度预算调整数与预算数的比率，用以反映和考核部门预算的调整程度。</w:t>
            </w:r>
          </w:p>
        </w:tc>
        <w:tc>
          <w:tcPr>
            <w:tcW w:w="1189" w:type="pct"/>
            <w:vAlign w:val="center"/>
          </w:tcPr>
          <w:p w14:paraId="655FBD92">
            <w:pPr>
              <w:pStyle w:val="18"/>
              <w:bidi w:val="0"/>
              <w:rPr>
                <w:rFonts w:hint="eastAsia"/>
                <w:lang w:eastAsia="zh-CN"/>
              </w:rPr>
            </w:pPr>
            <w:r>
              <w:rPr>
                <w:rFonts w:hint="eastAsia"/>
                <w:lang w:eastAsia="zh-CN"/>
              </w:rPr>
              <w:t>评价要点：支出预算调整率=（支出预算调整数/全年支出预算数）×100%。</w:t>
            </w:r>
            <w:r>
              <w:rPr>
                <w:rFonts w:hint="eastAsia"/>
                <w:lang w:eastAsia="zh-CN"/>
              </w:rPr>
              <w:br w:type="textWrapping"/>
            </w:r>
            <w:r>
              <w:rPr>
                <w:rFonts w:hint="eastAsia"/>
                <w:lang w:eastAsia="zh-CN"/>
              </w:rPr>
              <w:t>①预算调整率=0，得满分；</w:t>
            </w:r>
            <w:r>
              <w:rPr>
                <w:rFonts w:hint="eastAsia"/>
                <w:lang w:eastAsia="zh-CN"/>
              </w:rPr>
              <w:br w:type="textWrapping"/>
            </w:r>
            <w:r>
              <w:rPr>
                <w:rFonts w:hint="eastAsia"/>
                <w:lang w:eastAsia="zh-CN"/>
              </w:rPr>
              <w:t>②调整率≧10%，得0分；</w:t>
            </w:r>
            <w:r>
              <w:rPr>
                <w:rFonts w:hint="eastAsia"/>
                <w:lang w:eastAsia="zh-CN"/>
              </w:rPr>
              <w:br w:type="textWrapping"/>
            </w:r>
            <w:r>
              <w:rPr>
                <w:rFonts w:hint="eastAsia"/>
                <w:lang w:eastAsia="zh-CN"/>
              </w:rPr>
              <w:t>③0＜预算调整率＜10%，得分=（10%-预算调整率）/10%×该指标分值；</w:t>
            </w:r>
          </w:p>
        </w:tc>
        <w:tc>
          <w:tcPr>
            <w:tcW w:w="561" w:type="pct"/>
            <w:vAlign w:val="center"/>
          </w:tcPr>
          <w:p w14:paraId="24F86C0C">
            <w:pPr>
              <w:pStyle w:val="18"/>
              <w:bidi w:val="0"/>
              <w:rPr>
                <w:rFonts w:hint="eastAsia"/>
              </w:rPr>
            </w:pPr>
            <w:r>
              <w:rPr>
                <w:rFonts w:hint="eastAsia"/>
              </w:rPr>
              <w:t>2</w:t>
            </w:r>
          </w:p>
        </w:tc>
        <w:tc>
          <w:tcPr>
            <w:tcW w:w="561" w:type="pct"/>
            <w:vAlign w:val="center"/>
          </w:tcPr>
          <w:p w14:paraId="6955D250">
            <w:pPr>
              <w:pStyle w:val="18"/>
              <w:bidi w:val="0"/>
              <w:rPr>
                <w:rFonts w:hint="eastAsia"/>
              </w:rPr>
            </w:pPr>
            <w:r>
              <w:rPr>
                <w:rFonts w:hint="eastAsia"/>
              </w:rPr>
              <w:t>2</w:t>
            </w:r>
          </w:p>
        </w:tc>
      </w:tr>
      <w:tr w14:paraId="22C7B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63001D18">
            <w:pPr>
              <w:pStyle w:val="18"/>
              <w:bidi w:val="0"/>
              <w:rPr>
                <w:rFonts w:hint="eastAsia"/>
              </w:rPr>
            </w:pPr>
          </w:p>
        </w:tc>
        <w:tc>
          <w:tcPr>
            <w:tcW w:w="560" w:type="pct"/>
            <w:vMerge w:val="continue"/>
            <w:vAlign w:val="center"/>
          </w:tcPr>
          <w:p w14:paraId="1669139D">
            <w:pPr>
              <w:pStyle w:val="18"/>
              <w:bidi w:val="0"/>
              <w:rPr>
                <w:rFonts w:hint="eastAsia"/>
              </w:rPr>
            </w:pPr>
          </w:p>
        </w:tc>
        <w:tc>
          <w:tcPr>
            <w:tcW w:w="665" w:type="pct"/>
            <w:vAlign w:val="center"/>
          </w:tcPr>
          <w:p w14:paraId="5822251B">
            <w:pPr>
              <w:pStyle w:val="18"/>
              <w:bidi w:val="0"/>
              <w:rPr>
                <w:rFonts w:hint="eastAsia"/>
              </w:rPr>
            </w:pPr>
            <w:r>
              <w:rPr>
                <w:rFonts w:hint="eastAsia"/>
              </w:rPr>
              <w:t>结转结余率（3分）</w:t>
            </w:r>
          </w:p>
        </w:tc>
        <w:tc>
          <w:tcPr>
            <w:tcW w:w="900" w:type="pct"/>
            <w:vAlign w:val="center"/>
          </w:tcPr>
          <w:p w14:paraId="30F66A0E">
            <w:pPr>
              <w:pStyle w:val="18"/>
              <w:bidi w:val="0"/>
              <w:rPr>
                <w:rFonts w:hint="eastAsia"/>
                <w:lang w:eastAsia="zh-CN"/>
              </w:rPr>
            </w:pPr>
            <w:r>
              <w:rPr>
                <w:rFonts w:hint="eastAsia"/>
                <w:lang w:eastAsia="zh-CN"/>
              </w:rPr>
              <w:t>部门本年度结转结余总额与支出预算数的比率，反映和评价单位对本年度结转结余资金的实际控制程度。</w:t>
            </w:r>
          </w:p>
        </w:tc>
        <w:tc>
          <w:tcPr>
            <w:tcW w:w="1189" w:type="pct"/>
            <w:vAlign w:val="center"/>
          </w:tcPr>
          <w:p w14:paraId="784F6E7A">
            <w:pPr>
              <w:pStyle w:val="18"/>
              <w:bidi w:val="0"/>
              <w:rPr>
                <w:rFonts w:hint="eastAsia"/>
                <w:lang w:eastAsia="zh-CN"/>
              </w:rPr>
            </w:pPr>
            <w:r>
              <w:rPr>
                <w:rFonts w:hint="eastAsia"/>
                <w:lang w:eastAsia="zh-CN"/>
              </w:rPr>
              <w:t>评价要点：结转结余率=结转结余总额/全年支出预算数×100%。</w:t>
            </w:r>
            <w:r>
              <w:rPr>
                <w:rFonts w:hint="eastAsia"/>
                <w:lang w:eastAsia="zh-CN"/>
              </w:rPr>
              <w:br w:type="textWrapping"/>
            </w:r>
            <w:r>
              <w:rPr>
                <w:rFonts w:hint="eastAsia"/>
                <w:lang w:eastAsia="zh-CN"/>
              </w:rPr>
              <w:t>①结转结余率=0，得满分；</w:t>
            </w:r>
            <w:r>
              <w:rPr>
                <w:rFonts w:hint="eastAsia"/>
                <w:lang w:eastAsia="zh-CN"/>
              </w:rPr>
              <w:br w:type="textWrapping"/>
            </w:r>
            <w:r>
              <w:rPr>
                <w:rFonts w:hint="eastAsia"/>
                <w:lang w:eastAsia="zh-CN"/>
              </w:rPr>
              <w:t>②结转结余率≧10%，得0分；</w:t>
            </w:r>
            <w:r>
              <w:rPr>
                <w:rFonts w:hint="eastAsia"/>
                <w:lang w:eastAsia="zh-CN"/>
              </w:rPr>
              <w:br w:type="textWrapping"/>
            </w:r>
            <w:r>
              <w:rPr>
                <w:rFonts w:hint="eastAsia"/>
                <w:lang w:eastAsia="zh-CN"/>
              </w:rPr>
              <w:t>③0%＜结转结余率＜10%，得分=（10%-结转结余率）/10%×该指标分值。</w:t>
            </w:r>
          </w:p>
        </w:tc>
        <w:tc>
          <w:tcPr>
            <w:tcW w:w="561" w:type="pct"/>
            <w:vAlign w:val="center"/>
          </w:tcPr>
          <w:p w14:paraId="1A4E44E5">
            <w:pPr>
              <w:pStyle w:val="18"/>
              <w:bidi w:val="0"/>
              <w:rPr>
                <w:rFonts w:hint="eastAsia"/>
              </w:rPr>
            </w:pPr>
            <w:r>
              <w:rPr>
                <w:rFonts w:hint="eastAsia"/>
              </w:rPr>
              <w:t>3</w:t>
            </w:r>
          </w:p>
        </w:tc>
        <w:tc>
          <w:tcPr>
            <w:tcW w:w="561" w:type="pct"/>
            <w:vAlign w:val="center"/>
          </w:tcPr>
          <w:p w14:paraId="47B5C15C">
            <w:pPr>
              <w:pStyle w:val="18"/>
              <w:bidi w:val="0"/>
              <w:rPr>
                <w:rFonts w:hint="eastAsia"/>
              </w:rPr>
            </w:pPr>
            <w:r>
              <w:rPr>
                <w:rFonts w:hint="eastAsia"/>
              </w:rPr>
              <w:t>2.28</w:t>
            </w:r>
          </w:p>
        </w:tc>
      </w:tr>
      <w:tr w14:paraId="3CDE5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6355C573">
            <w:pPr>
              <w:pStyle w:val="18"/>
              <w:bidi w:val="0"/>
              <w:rPr>
                <w:rFonts w:hint="eastAsia"/>
              </w:rPr>
            </w:pPr>
          </w:p>
        </w:tc>
        <w:tc>
          <w:tcPr>
            <w:tcW w:w="560" w:type="pct"/>
            <w:vMerge w:val="continue"/>
            <w:vAlign w:val="center"/>
          </w:tcPr>
          <w:p w14:paraId="6C84C675">
            <w:pPr>
              <w:pStyle w:val="18"/>
              <w:bidi w:val="0"/>
              <w:rPr>
                <w:rFonts w:hint="eastAsia"/>
              </w:rPr>
            </w:pPr>
          </w:p>
        </w:tc>
        <w:tc>
          <w:tcPr>
            <w:tcW w:w="665" w:type="pct"/>
            <w:vAlign w:val="center"/>
          </w:tcPr>
          <w:p w14:paraId="3CBE761B">
            <w:pPr>
              <w:pStyle w:val="18"/>
              <w:bidi w:val="0"/>
              <w:rPr>
                <w:rFonts w:hint="eastAsia"/>
                <w:lang w:eastAsia="zh-CN"/>
              </w:rPr>
            </w:pPr>
            <w:r>
              <w:rPr>
                <w:rFonts w:hint="eastAsia"/>
                <w:lang w:eastAsia="zh-CN"/>
              </w:rPr>
              <w:t>公用经费控制率（2分）</w:t>
            </w:r>
          </w:p>
        </w:tc>
        <w:tc>
          <w:tcPr>
            <w:tcW w:w="900" w:type="pct"/>
            <w:vAlign w:val="center"/>
          </w:tcPr>
          <w:p w14:paraId="71C5D088">
            <w:pPr>
              <w:pStyle w:val="18"/>
              <w:bidi w:val="0"/>
              <w:rPr>
                <w:rFonts w:hint="eastAsia"/>
                <w:lang w:eastAsia="zh-CN"/>
              </w:rPr>
            </w:pPr>
            <w:r>
              <w:rPr>
                <w:rFonts w:hint="eastAsia"/>
                <w:lang w:eastAsia="zh-CN"/>
              </w:rPr>
              <w:t>部门本年度公用经费实际支出数与预算安排数的比率，用以反映和考核部门对公用经费的实际控制程度。</w:t>
            </w:r>
          </w:p>
        </w:tc>
        <w:tc>
          <w:tcPr>
            <w:tcW w:w="1189" w:type="pct"/>
            <w:vAlign w:val="center"/>
          </w:tcPr>
          <w:p w14:paraId="4CDDF2BB">
            <w:pPr>
              <w:pStyle w:val="18"/>
              <w:bidi w:val="0"/>
              <w:rPr>
                <w:rFonts w:hint="eastAsia"/>
                <w:lang w:eastAsia="zh-CN"/>
              </w:rPr>
            </w:pPr>
            <w:r>
              <w:rPr>
                <w:rFonts w:hint="eastAsia"/>
                <w:lang w:eastAsia="zh-CN"/>
              </w:rPr>
              <w:t>评价要点：公用经费控制率=（实际支出公用经费总额/预算安排公用经费总额）×100%。</w:t>
            </w:r>
            <w:r>
              <w:rPr>
                <w:rFonts w:hint="eastAsia"/>
                <w:lang w:eastAsia="zh-CN"/>
              </w:rPr>
              <w:br w:type="textWrapping"/>
            </w:r>
            <w:r>
              <w:rPr>
                <w:rFonts w:hint="eastAsia"/>
                <w:lang w:eastAsia="zh-CN"/>
              </w:rPr>
              <w:t>①公用经费控制率≦100%，得满分；</w:t>
            </w:r>
            <w:r>
              <w:rPr>
                <w:rFonts w:hint="eastAsia"/>
                <w:lang w:eastAsia="zh-CN"/>
              </w:rPr>
              <w:br w:type="textWrapping"/>
            </w:r>
            <w:r>
              <w:rPr>
                <w:rFonts w:hint="eastAsia"/>
                <w:lang w:eastAsia="zh-CN"/>
              </w:rPr>
              <w:t>②公用经费控制率≧105%，得0分；</w:t>
            </w:r>
            <w:r>
              <w:rPr>
                <w:rFonts w:hint="eastAsia"/>
                <w:lang w:eastAsia="zh-CN"/>
              </w:rPr>
              <w:br w:type="textWrapping"/>
            </w:r>
            <w:r>
              <w:rPr>
                <w:rFonts w:hint="eastAsia"/>
                <w:lang w:eastAsia="zh-CN"/>
              </w:rPr>
              <w:t>③100%＜公用经费控制率&lt;105%，得分=（105%-公用经费控制率）/5%×该指标分值。</w:t>
            </w:r>
          </w:p>
        </w:tc>
        <w:tc>
          <w:tcPr>
            <w:tcW w:w="561" w:type="pct"/>
            <w:vAlign w:val="center"/>
          </w:tcPr>
          <w:p w14:paraId="79B5DD8D">
            <w:pPr>
              <w:pStyle w:val="18"/>
              <w:bidi w:val="0"/>
              <w:rPr>
                <w:rFonts w:hint="eastAsia"/>
              </w:rPr>
            </w:pPr>
            <w:r>
              <w:rPr>
                <w:rFonts w:hint="eastAsia"/>
              </w:rPr>
              <w:t>2</w:t>
            </w:r>
          </w:p>
        </w:tc>
        <w:tc>
          <w:tcPr>
            <w:tcW w:w="561" w:type="pct"/>
            <w:vAlign w:val="center"/>
          </w:tcPr>
          <w:p w14:paraId="51016075">
            <w:pPr>
              <w:pStyle w:val="18"/>
              <w:bidi w:val="0"/>
              <w:rPr>
                <w:rFonts w:hint="eastAsia"/>
              </w:rPr>
            </w:pPr>
            <w:r>
              <w:rPr>
                <w:rFonts w:hint="eastAsia"/>
              </w:rPr>
              <w:t>2</w:t>
            </w:r>
          </w:p>
        </w:tc>
      </w:tr>
      <w:tr w14:paraId="2438A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394751BD">
            <w:pPr>
              <w:pStyle w:val="18"/>
              <w:bidi w:val="0"/>
              <w:rPr>
                <w:rFonts w:hint="eastAsia"/>
              </w:rPr>
            </w:pPr>
          </w:p>
        </w:tc>
        <w:tc>
          <w:tcPr>
            <w:tcW w:w="560" w:type="pct"/>
            <w:vMerge w:val="restart"/>
            <w:vAlign w:val="center"/>
          </w:tcPr>
          <w:p w14:paraId="0017A08C">
            <w:pPr>
              <w:pStyle w:val="18"/>
              <w:bidi w:val="0"/>
              <w:rPr>
                <w:rFonts w:hint="eastAsia"/>
              </w:rPr>
            </w:pPr>
            <w:r>
              <w:rPr>
                <w:rFonts w:hint="eastAsia"/>
              </w:rPr>
              <w:t>预算管理（12分）</w:t>
            </w:r>
          </w:p>
        </w:tc>
        <w:tc>
          <w:tcPr>
            <w:tcW w:w="665" w:type="pct"/>
            <w:vAlign w:val="center"/>
          </w:tcPr>
          <w:p w14:paraId="2576C904">
            <w:pPr>
              <w:pStyle w:val="18"/>
              <w:bidi w:val="0"/>
              <w:rPr>
                <w:rFonts w:hint="eastAsia"/>
              </w:rPr>
            </w:pPr>
            <w:r>
              <w:rPr>
                <w:rFonts w:hint="eastAsia"/>
              </w:rPr>
              <w:t>管理制度健全性（3分）</w:t>
            </w:r>
          </w:p>
        </w:tc>
        <w:tc>
          <w:tcPr>
            <w:tcW w:w="900" w:type="pct"/>
            <w:vAlign w:val="center"/>
          </w:tcPr>
          <w:p w14:paraId="590A7419">
            <w:pPr>
              <w:pStyle w:val="18"/>
              <w:bidi w:val="0"/>
              <w:rPr>
                <w:rFonts w:hint="eastAsia"/>
                <w:lang w:eastAsia="zh-CN"/>
              </w:rPr>
            </w:pPr>
            <w:r>
              <w:rPr>
                <w:rFonts w:hint="eastAsia"/>
                <w:lang w:eastAsia="zh-CN"/>
              </w:rPr>
              <w:t>部门为加强预算管理、规范财务行为而制定的管理制度是否健全完整，用以反映和考核部门预算管理制度对完成主要职责或促进事业发展的保障情况。</w:t>
            </w:r>
          </w:p>
        </w:tc>
        <w:tc>
          <w:tcPr>
            <w:tcW w:w="1189" w:type="pct"/>
            <w:vAlign w:val="center"/>
          </w:tcPr>
          <w:p w14:paraId="0114BBCD">
            <w:pPr>
              <w:pStyle w:val="18"/>
              <w:bidi w:val="0"/>
              <w:rPr>
                <w:rFonts w:hint="eastAsia"/>
              </w:rPr>
            </w:pPr>
            <w:r>
              <w:rPr>
                <w:rFonts w:hint="eastAsia"/>
                <w:lang w:eastAsia="zh-CN"/>
              </w:rPr>
              <w:t>评价要点：</w:t>
            </w:r>
            <w:r>
              <w:rPr>
                <w:rFonts w:hint="eastAsia"/>
                <w:lang w:eastAsia="zh-CN"/>
              </w:rPr>
              <w:br w:type="textWrapping"/>
            </w:r>
            <w:r>
              <w:rPr>
                <w:rFonts w:hint="eastAsia"/>
                <w:lang w:eastAsia="zh-CN"/>
              </w:rPr>
              <w:t>①是否已制定或具有预算资金管理办法、内部财务管理制度、会计核算制度等管理制度；</w:t>
            </w:r>
            <w:r>
              <w:rPr>
                <w:rFonts w:hint="eastAsia"/>
                <w:lang w:eastAsia="zh-CN"/>
              </w:rPr>
              <w:br w:type="textWrapping"/>
            </w:r>
            <w:r>
              <w:rPr>
                <w:rFonts w:hint="eastAsia"/>
                <w:lang w:eastAsia="zh-CN"/>
              </w:rPr>
              <w:t>②相关管理制度是否得到有效执行。</w:t>
            </w:r>
            <w:r>
              <w:rPr>
                <w:rFonts w:hint="eastAsia"/>
                <w:lang w:eastAsia="zh-CN"/>
              </w:rPr>
              <w:br w:type="textWrapping"/>
            </w:r>
            <w:r>
              <w:rPr>
                <w:rFonts w:hint="eastAsia"/>
                <w:lang w:eastAsia="zh-CN"/>
              </w:rPr>
              <w:t>③固定资产是否按照一物一卡进行管理。</w:t>
            </w:r>
            <w:r>
              <w:rPr>
                <w:rFonts w:hint="eastAsia"/>
                <w:lang w:eastAsia="zh-CN"/>
              </w:rPr>
              <w:br w:type="textWrapping"/>
            </w:r>
            <w:r>
              <w:rPr>
                <w:rFonts w:hint="eastAsia"/>
              </w:rPr>
              <w:t>一项不符合扣1分。</w:t>
            </w:r>
          </w:p>
        </w:tc>
        <w:tc>
          <w:tcPr>
            <w:tcW w:w="561" w:type="pct"/>
            <w:vAlign w:val="center"/>
          </w:tcPr>
          <w:p w14:paraId="13755D59">
            <w:pPr>
              <w:pStyle w:val="18"/>
              <w:bidi w:val="0"/>
              <w:rPr>
                <w:rFonts w:hint="eastAsia"/>
              </w:rPr>
            </w:pPr>
            <w:r>
              <w:rPr>
                <w:rFonts w:hint="eastAsia"/>
              </w:rPr>
              <w:t>3</w:t>
            </w:r>
          </w:p>
        </w:tc>
        <w:tc>
          <w:tcPr>
            <w:tcW w:w="561" w:type="pct"/>
            <w:vAlign w:val="center"/>
          </w:tcPr>
          <w:p w14:paraId="188AE9D1">
            <w:pPr>
              <w:pStyle w:val="18"/>
              <w:bidi w:val="0"/>
              <w:rPr>
                <w:rFonts w:hint="eastAsia"/>
              </w:rPr>
            </w:pPr>
            <w:r>
              <w:rPr>
                <w:rFonts w:hint="eastAsia"/>
              </w:rPr>
              <w:t>2</w:t>
            </w:r>
          </w:p>
        </w:tc>
      </w:tr>
      <w:tr w14:paraId="7130B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2C121CFC">
            <w:pPr>
              <w:pStyle w:val="18"/>
              <w:bidi w:val="0"/>
              <w:rPr>
                <w:rFonts w:hint="eastAsia"/>
              </w:rPr>
            </w:pPr>
          </w:p>
        </w:tc>
        <w:tc>
          <w:tcPr>
            <w:tcW w:w="560" w:type="pct"/>
            <w:vMerge w:val="continue"/>
            <w:vAlign w:val="center"/>
          </w:tcPr>
          <w:p w14:paraId="4DEEBE1C">
            <w:pPr>
              <w:pStyle w:val="18"/>
              <w:bidi w:val="0"/>
              <w:rPr>
                <w:rFonts w:hint="eastAsia"/>
              </w:rPr>
            </w:pPr>
          </w:p>
        </w:tc>
        <w:tc>
          <w:tcPr>
            <w:tcW w:w="665" w:type="pct"/>
            <w:vAlign w:val="center"/>
          </w:tcPr>
          <w:p w14:paraId="5B001019">
            <w:pPr>
              <w:pStyle w:val="18"/>
              <w:bidi w:val="0"/>
              <w:rPr>
                <w:rFonts w:hint="eastAsia"/>
                <w:lang w:eastAsia="zh-CN"/>
              </w:rPr>
            </w:pPr>
            <w:r>
              <w:rPr>
                <w:rFonts w:hint="eastAsia"/>
                <w:lang w:eastAsia="zh-CN"/>
              </w:rPr>
              <w:t>工程项目管理合规性（3分）</w:t>
            </w:r>
          </w:p>
        </w:tc>
        <w:tc>
          <w:tcPr>
            <w:tcW w:w="900" w:type="pct"/>
            <w:vAlign w:val="center"/>
          </w:tcPr>
          <w:p w14:paraId="2C768206">
            <w:pPr>
              <w:pStyle w:val="18"/>
              <w:bidi w:val="0"/>
              <w:rPr>
                <w:rFonts w:hint="eastAsia"/>
                <w:lang w:eastAsia="zh-CN"/>
              </w:rPr>
            </w:pPr>
            <w:r>
              <w:rPr>
                <w:rFonts w:hint="eastAsia"/>
                <w:lang w:eastAsia="zh-CN"/>
              </w:rPr>
              <w:t>主要评价部门（单位）本年度在项目管理方面是否符合规定。</w:t>
            </w:r>
          </w:p>
        </w:tc>
        <w:tc>
          <w:tcPr>
            <w:tcW w:w="1189" w:type="pct"/>
            <w:vAlign w:val="center"/>
          </w:tcPr>
          <w:p w14:paraId="5966EC15">
            <w:pPr>
              <w:pStyle w:val="18"/>
              <w:bidi w:val="0"/>
              <w:rPr>
                <w:rFonts w:hint="eastAsia"/>
              </w:rPr>
            </w:pPr>
            <w:r>
              <w:rPr>
                <w:rFonts w:hint="eastAsia"/>
                <w:lang w:eastAsia="zh-CN"/>
              </w:rPr>
              <w:t>评价要点：</w:t>
            </w:r>
            <w:r>
              <w:rPr>
                <w:rFonts w:hint="eastAsia"/>
                <w:lang w:eastAsia="zh-CN"/>
              </w:rPr>
              <w:br w:type="textWrapping"/>
            </w:r>
            <w:r>
              <w:rPr>
                <w:rFonts w:hint="eastAsia"/>
                <w:lang w:eastAsia="zh-CN"/>
              </w:rPr>
              <w:t>①项目竣工验收是否出具验收报告；</w:t>
            </w:r>
            <w:r>
              <w:rPr>
                <w:rFonts w:hint="eastAsia"/>
                <w:lang w:eastAsia="zh-CN"/>
              </w:rPr>
              <w:br w:type="textWrapping"/>
            </w:r>
            <w:r>
              <w:rPr>
                <w:rFonts w:hint="eastAsia"/>
                <w:lang w:eastAsia="zh-CN"/>
              </w:rPr>
              <w:t>②验收报告是否规范，是否明确验收日期；</w:t>
            </w:r>
            <w:r>
              <w:rPr>
                <w:rFonts w:hint="eastAsia"/>
                <w:lang w:eastAsia="zh-CN"/>
              </w:rPr>
              <w:br w:type="textWrapping"/>
            </w:r>
            <w:r>
              <w:rPr>
                <w:rFonts w:hint="eastAsia"/>
                <w:lang w:eastAsia="zh-CN"/>
              </w:rPr>
              <w:t>③项目竣工验收时间是否符合合同约定，是否存在延期。</w:t>
            </w:r>
            <w:r>
              <w:rPr>
                <w:rFonts w:hint="eastAsia"/>
                <w:lang w:eastAsia="zh-CN"/>
              </w:rPr>
              <w:br w:type="textWrapping"/>
            </w:r>
            <w:r>
              <w:rPr>
                <w:rFonts w:hint="eastAsia"/>
              </w:rPr>
              <w:t>一项不符合扣1分。</w:t>
            </w:r>
          </w:p>
        </w:tc>
        <w:tc>
          <w:tcPr>
            <w:tcW w:w="561" w:type="pct"/>
            <w:vAlign w:val="center"/>
          </w:tcPr>
          <w:p w14:paraId="5C7BBB8B">
            <w:pPr>
              <w:pStyle w:val="18"/>
              <w:bidi w:val="0"/>
              <w:rPr>
                <w:rFonts w:hint="eastAsia"/>
              </w:rPr>
            </w:pPr>
            <w:r>
              <w:rPr>
                <w:rFonts w:hint="eastAsia"/>
              </w:rPr>
              <w:t>3</w:t>
            </w:r>
          </w:p>
        </w:tc>
        <w:tc>
          <w:tcPr>
            <w:tcW w:w="561" w:type="pct"/>
            <w:vAlign w:val="center"/>
          </w:tcPr>
          <w:p w14:paraId="11D69C24">
            <w:pPr>
              <w:pStyle w:val="18"/>
              <w:bidi w:val="0"/>
              <w:rPr>
                <w:rFonts w:hint="eastAsia"/>
              </w:rPr>
            </w:pPr>
            <w:r>
              <w:rPr>
                <w:rFonts w:hint="eastAsia"/>
              </w:rPr>
              <w:t>1</w:t>
            </w:r>
          </w:p>
        </w:tc>
      </w:tr>
      <w:tr w14:paraId="40447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7641F525">
            <w:pPr>
              <w:pStyle w:val="18"/>
              <w:bidi w:val="0"/>
              <w:rPr>
                <w:rFonts w:hint="eastAsia"/>
              </w:rPr>
            </w:pPr>
          </w:p>
        </w:tc>
        <w:tc>
          <w:tcPr>
            <w:tcW w:w="560" w:type="pct"/>
            <w:vMerge w:val="continue"/>
            <w:vAlign w:val="center"/>
          </w:tcPr>
          <w:p w14:paraId="5B667B1C">
            <w:pPr>
              <w:pStyle w:val="18"/>
              <w:bidi w:val="0"/>
              <w:rPr>
                <w:rFonts w:hint="eastAsia"/>
              </w:rPr>
            </w:pPr>
          </w:p>
        </w:tc>
        <w:tc>
          <w:tcPr>
            <w:tcW w:w="665" w:type="pct"/>
            <w:vAlign w:val="center"/>
          </w:tcPr>
          <w:p w14:paraId="058DC5F4">
            <w:pPr>
              <w:pStyle w:val="18"/>
              <w:bidi w:val="0"/>
              <w:rPr>
                <w:rFonts w:hint="eastAsia"/>
                <w:lang w:eastAsia="zh-CN"/>
              </w:rPr>
            </w:pPr>
            <w:r>
              <w:rPr>
                <w:rFonts w:hint="eastAsia"/>
                <w:lang w:eastAsia="zh-CN"/>
              </w:rPr>
              <w:t>合同管理规范性（3分）</w:t>
            </w:r>
          </w:p>
        </w:tc>
        <w:tc>
          <w:tcPr>
            <w:tcW w:w="900" w:type="pct"/>
            <w:vAlign w:val="center"/>
          </w:tcPr>
          <w:p w14:paraId="2AEFE0E2">
            <w:pPr>
              <w:pStyle w:val="18"/>
              <w:bidi w:val="0"/>
              <w:rPr>
                <w:rFonts w:hint="eastAsia"/>
                <w:lang w:eastAsia="zh-CN"/>
              </w:rPr>
            </w:pPr>
            <w:r>
              <w:rPr>
                <w:rFonts w:hint="eastAsia"/>
                <w:lang w:eastAsia="zh-CN"/>
              </w:rPr>
              <w:t>主要评价部门（单位）合同的签订是否符合《中华人民共和国民法典》的相关规定。</w:t>
            </w:r>
          </w:p>
        </w:tc>
        <w:tc>
          <w:tcPr>
            <w:tcW w:w="1189" w:type="pct"/>
            <w:vAlign w:val="center"/>
          </w:tcPr>
          <w:p w14:paraId="4F92FD44">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①合同签订是否规范；</w:t>
            </w:r>
            <w:r>
              <w:rPr>
                <w:rFonts w:hint="eastAsia"/>
                <w:lang w:eastAsia="zh-CN"/>
              </w:rPr>
              <w:br w:type="textWrapping"/>
            </w:r>
            <w:r>
              <w:rPr>
                <w:rFonts w:hint="eastAsia"/>
                <w:lang w:eastAsia="zh-CN"/>
              </w:rPr>
              <w:t>②合同内容和权责是否明确；</w:t>
            </w:r>
            <w:r>
              <w:rPr>
                <w:rFonts w:hint="eastAsia"/>
                <w:lang w:eastAsia="zh-CN"/>
              </w:rPr>
              <w:br w:type="textWrapping"/>
            </w:r>
            <w:r>
              <w:rPr>
                <w:rFonts w:hint="eastAsia"/>
                <w:lang w:eastAsia="zh-CN"/>
              </w:rPr>
              <w:t>③双方是否按照合同条款，资金支付是否严格按照合同约定。</w:t>
            </w:r>
            <w:r>
              <w:rPr>
                <w:rFonts w:hint="eastAsia"/>
                <w:lang w:eastAsia="zh-CN"/>
              </w:rPr>
              <w:br w:type="textWrapping"/>
            </w:r>
            <w:r>
              <w:rPr>
                <w:rFonts w:hint="eastAsia"/>
                <w:lang w:eastAsia="zh-CN"/>
              </w:rPr>
              <w:t>一项不符扣1分，扣完为止。</w:t>
            </w:r>
          </w:p>
        </w:tc>
        <w:tc>
          <w:tcPr>
            <w:tcW w:w="561" w:type="pct"/>
            <w:vAlign w:val="center"/>
          </w:tcPr>
          <w:p w14:paraId="550AF843">
            <w:pPr>
              <w:pStyle w:val="18"/>
              <w:bidi w:val="0"/>
              <w:rPr>
                <w:rFonts w:hint="eastAsia"/>
              </w:rPr>
            </w:pPr>
            <w:r>
              <w:rPr>
                <w:rFonts w:hint="eastAsia"/>
              </w:rPr>
              <w:t>3</w:t>
            </w:r>
          </w:p>
        </w:tc>
        <w:tc>
          <w:tcPr>
            <w:tcW w:w="561" w:type="pct"/>
            <w:vAlign w:val="center"/>
          </w:tcPr>
          <w:p w14:paraId="20E30506">
            <w:pPr>
              <w:pStyle w:val="18"/>
              <w:bidi w:val="0"/>
              <w:rPr>
                <w:rFonts w:hint="eastAsia"/>
              </w:rPr>
            </w:pPr>
            <w:r>
              <w:rPr>
                <w:rFonts w:hint="eastAsia"/>
              </w:rPr>
              <w:t>1</w:t>
            </w:r>
          </w:p>
        </w:tc>
      </w:tr>
      <w:tr w14:paraId="2EBF7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1D015217">
            <w:pPr>
              <w:pStyle w:val="18"/>
              <w:bidi w:val="0"/>
              <w:rPr>
                <w:rFonts w:hint="eastAsia"/>
              </w:rPr>
            </w:pPr>
          </w:p>
        </w:tc>
        <w:tc>
          <w:tcPr>
            <w:tcW w:w="560" w:type="pct"/>
            <w:vMerge w:val="continue"/>
            <w:vAlign w:val="center"/>
          </w:tcPr>
          <w:p w14:paraId="56B7106D">
            <w:pPr>
              <w:pStyle w:val="18"/>
              <w:bidi w:val="0"/>
              <w:rPr>
                <w:rFonts w:hint="eastAsia"/>
              </w:rPr>
            </w:pPr>
          </w:p>
        </w:tc>
        <w:tc>
          <w:tcPr>
            <w:tcW w:w="665" w:type="pct"/>
            <w:vAlign w:val="center"/>
          </w:tcPr>
          <w:p w14:paraId="47FDF7CB">
            <w:pPr>
              <w:pStyle w:val="18"/>
              <w:bidi w:val="0"/>
              <w:rPr>
                <w:rFonts w:hint="eastAsia"/>
                <w:lang w:eastAsia="zh-CN"/>
              </w:rPr>
            </w:pPr>
            <w:r>
              <w:rPr>
                <w:rFonts w:hint="eastAsia"/>
                <w:lang w:eastAsia="zh-CN"/>
              </w:rPr>
              <w:t>绩效自评合规性（3分）</w:t>
            </w:r>
          </w:p>
        </w:tc>
        <w:tc>
          <w:tcPr>
            <w:tcW w:w="900" w:type="pct"/>
            <w:vAlign w:val="center"/>
          </w:tcPr>
          <w:p w14:paraId="75180A8C">
            <w:pPr>
              <w:pStyle w:val="18"/>
              <w:bidi w:val="0"/>
              <w:rPr>
                <w:rFonts w:hint="eastAsia"/>
                <w:lang w:eastAsia="zh-CN"/>
              </w:rPr>
            </w:pPr>
            <w:r>
              <w:rPr>
                <w:rFonts w:hint="eastAsia"/>
                <w:lang w:eastAsia="zh-CN"/>
              </w:rPr>
              <w:t>主要评价部门（单位）是否按要求开展绩效自评工作；绩效自评报告是否报送及时，绩效自评是否真实可靠。</w:t>
            </w:r>
          </w:p>
        </w:tc>
        <w:tc>
          <w:tcPr>
            <w:tcW w:w="1189" w:type="pct"/>
            <w:vAlign w:val="center"/>
          </w:tcPr>
          <w:p w14:paraId="36599AF7">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①是否按要求开展绩效自评工作；</w:t>
            </w:r>
            <w:r>
              <w:rPr>
                <w:rFonts w:hint="eastAsia"/>
                <w:lang w:eastAsia="zh-CN"/>
              </w:rPr>
              <w:br w:type="textWrapping"/>
            </w:r>
            <w:r>
              <w:rPr>
                <w:rFonts w:hint="eastAsia"/>
                <w:lang w:eastAsia="zh-CN"/>
              </w:rPr>
              <w:t>②绩效自评报告是否报送及时；</w:t>
            </w:r>
            <w:r>
              <w:rPr>
                <w:rFonts w:hint="eastAsia"/>
                <w:lang w:eastAsia="zh-CN"/>
              </w:rPr>
              <w:br w:type="textWrapping"/>
            </w:r>
            <w:r>
              <w:rPr>
                <w:rFonts w:hint="eastAsia"/>
                <w:lang w:eastAsia="zh-CN"/>
              </w:rPr>
              <w:t>③绩效自评报告是否完整，数据是否全面、真实、准确，绩效指标是否细化量化和科学合理；</w:t>
            </w:r>
            <w:r>
              <w:rPr>
                <w:rFonts w:hint="eastAsia"/>
                <w:lang w:eastAsia="zh-CN"/>
              </w:rPr>
              <w:br w:type="textWrapping"/>
            </w:r>
            <w:r>
              <w:rPr>
                <w:rFonts w:hint="eastAsia"/>
                <w:lang w:eastAsia="zh-CN"/>
              </w:rPr>
              <w:t>一项不符扣1分，扣完为止。</w:t>
            </w:r>
          </w:p>
        </w:tc>
        <w:tc>
          <w:tcPr>
            <w:tcW w:w="561" w:type="pct"/>
            <w:vAlign w:val="center"/>
          </w:tcPr>
          <w:p w14:paraId="269AC42F">
            <w:pPr>
              <w:pStyle w:val="18"/>
              <w:bidi w:val="0"/>
              <w:rPr>
                <w:rFonts w:hint="eastAsia"/>
              </w:rPr>
            </w:pPr>
            <w:r>
              <w:rPr>
                <w:rFonts w:hint="eastAsia"/>
              </w:rPr>
              <w:t>3</w:t>
            </w:r>
          </w:p>
        </w:tc>
        <w:tc>
          <w:tcPr>
            <w:tcW w:w="561" w:type="pct"/>
            <w:vAlign w:val="center"/>
          </w:tcPr>
          <w:p w14:paraId="1A64F95F">
            <w:pPr>
              <w:pStyle w:val="18"/>
              <w:bidi w:val="0"/>
              <w:rPr>
                <w:rFonts w:hint="eastAsia"/>
              </w:rPr>
            </w:pPr>
            <w:r>
              <w:rPr>
                <w:rFonts w:hint="eastAsia"/>
              </w:rPr>
              <w:t>2</w:t>
            </w:r>
          </w:p>
        </w:tc>
      </w:tr>
      <w:tr w14:paraId="78168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restart"/>
            <w:vAlign w:val="center"/>
          </w:tcPr>
          <w:p w14:paraId="0163BAA3">
            <w:pPr>
              <w:pStyle w:val="18"/>
              <w:bidi w:val="0"/>
              <w:rPr>
                <w:rFonts w:hint="eastAsia"/>
              </w:rPr>
            </w:pPr>
            <w:r>
              <w:rPr>
                <w:rFonts w:hint="eastAsia"/>
              </w:rPr>
              <w:t>产出（36%）</w:t>
            </w:r>
          </w:p>
        </w:tc>
        <w:tc>
          <w:tcPr>
            <w:tcW w:w="560" w:type="pct"/>
            <w:vMerge w:val="restart"/>
            <w:vAlign w:val="center"/>
          </w:tcPr>
          <w:p w14:paraId="69FBA2CE">
            <w:pPr>
              <w:pStyle w:val="18"/>
              <w:bidi w:val="0"/>
              <w:rPr>
                <w:rFonts w:hint="eastAsia"/>
              </w:rPr>
            </w:pPr>
            <w:r>
              <w:rPr>
                <w:rFonts w:hint="eastAsia"/>
              </w:rPr>
              <w:t>职责履行（6分）</w:t>
            </w:r>
          </w:p>
        </w:tc>
        <w:tc>
          <w:tcPr>
            <w:tcW w:w="665" w:type="pct"/>
            <w:vAlign w:val="center"/>
          </w:tcPr>
          <w:p w14:paraId="75A19D63">
            <w:pPr>
              <w:pStyle w:val="18"/>
              <w:bidi w:val="0"/>
              <w:rPr>
                <w:rFonts w:hint="eastAsia"/>
                <w:lang w:eastAsia="zh-CN"/>
              </w:rPr>
            </w:pPr>
            <w:r>
              <w:rPr>
                <w:rFonts w:hint="eastAsia"/>
                <w:lang w:eastAsia="zh-CN"/>
              </w:rPr>
              <w:t>项目实际完成率（3分）</w:t>
            </w:r>
          </w:p>
        </w:tc>
        <w:tc>
          <w:tcPr>
            <w:tcW w:w="900" w:type="pct"/>
            <w:vAlign w:val="center"/>
          </w:tcPr>
          <w:p w14:paraId="541FE17D">
            <w:pPr>
              <w:pStyle w:val="18"/>
              <w:bidi w:val="0"/>
              <w:rPr>
                <w:rFonts w:hint="eastAsia"/>
                <w:lang w:eastAsia="zh-CN"/>
              </w:rPr>
            </w:pPr>
            <w:r>
              <w:rPr>
                <w:rFonts w:hint="eastAsia"/>
                <w:lang w:eastAsia="zh-CN"/>
              </w:rPr>
              <w:t>主要评价部门（单位）履行职责而实际完成的项目数与计划完成的项目数的比率，用以反映和评价部门（单位）履职任务目标的实现程度项目实际完成率=（实际完成项目数/计划完成项目数）×100%。</w:t>
            </w:r>
          </w:p>
        </w:tc>
        <w:tc>
          <w:tcPr>
            <w:tcW w:w="1189" w:type="pct"/>
            <w:vAlign w:val="center"/>
          </w:tcPr>
          <w:p w14:paraId="661A626F">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①项目实际完成率≥95%，得3分；</w:t>
            </w:r>
            <w:r>
              <w:rPr>
                <w:rFonts w:hint="eastAsia"/>
                <w:lang w:eastAsia="zh-CN"/>
              </w:rPr>
              <w:br w:type="textWrapping"/>
            </w:r>
            <w:r>
              <w:rPr>
                <w:rFonts w:hint="eastAsia"/>
                <w:lang w:eastAsia="zh-CN"/>
              </w:rPr>
              <w:t>②95%&gt;项目实际完成率≥90%，得2分；</w:t>
            </w:r>
            <w:r>
              <w:rPr>
                <w:rFonts w:hint="eastAsia"/>
                <w:lang w:eastAsia="zh-CN"/>
              </w:rPr>
              <w:br w:type="textWrapping"/>
            </w:r>
            <w:r>
              <w:rPr>
                <w:rFonts w:hint="eastAsia"/>
                <w:lang w:eastAsia="zh-CN"/>
              </w:rPr>
              <w:t>③90%&gt;项目实际完成率≥85%，得1分；</w:t>
            </w:r>
            <w:r>
              <w:rPr>
                <w:rFonts w:hint="eastAsia"/>
                <w:lang w:eastAsia="zh-CN"/>
              </w:rPr>
              <w:br w:type="textWrapping"/>
            </w:r>
            <w:r>
              <w:rPr>
                <w:rFonts w:hint="eastAsia"/>
                <w:lang w:eastAsia="zh-CN"/>
              </w:rPr>
              <w:t>④85%&gt;项目实际完成率，得0分。</w:t>
            </w:r>
          </w:p>
        </w:tc>
        <w:tc>
          <w:tcPr>
            <w:tcW w:w="561" w:type="pct"/>
            <w:vAlign w:val="center"/>
          </w:tcPr>
          <w:p w14:paraId="1D3F16FD">
            <w:pPr>
              <w:pStyle w:val="18"/>
              <w:bidi w:val="0"/>
              <w:rPr>
                <w:rFonts w:hint="eastAsia"/>
              </w:rPr>
            </w:pPr>
            <w:r>
              <w:rPr>
                <w:rFonts w:hint="eastAsia"/>
              </w:rPr>
              <w:t>3</w:t>
            </w:r>
          </w:p>
        </w:tc>
        <w:tc>
          <w:tcPr>
            <w:tcW w:w="561" w:type="pct"/>
            <w:vAlign w:val="center"/>
          </w:tcPr>
          <w:p w14:paraId="1861B983">
            <w:pPr>
              <w:pStyle w:val="18"/>
              <w:bidi w:val="0"/>
              <w:rPr>
                <w:rFonts w:hint="eastAsia"/>
              </w:rPr>
            </w:pPr>
            <w:r>
              <w:rPr>
                <w:rFonts w:hint="eastAsia"/>
              </w:rPr>
              <w:t>3</w:t>
            </w:r>
          </w:p>
        </w:tc>
      </w:tr>
      <w:tr w14:paraId="00955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129EECA7">
            <w:pPr>
              <w:pStyle w:val="18"/>
              <w:bidi w:val="0"/>
              <w:rPr>
                <w:rFonts w:hint="eastAsia"/>
              </w:rPr>
            </w:pPr>
          </w:p>
        </w:tc>
        <w:tc>
          <w:tcPr>
            <w:tcW w:w="560" w:type="pct"/>
            <w:vMerge w:val="continue"/>
            <w:vAlign w:val="center"/>
          </w:tcPr>
          <w:p w14:paraId="75E98E1E">
            <w:pPr>
              <w:pStyle w:val="18"/>
              <w:bidi w:val="0"/>
              <w:rPr>
                <w:rFonts w:hint="eastAsia"/>
              </w:rPr>
            </w:pPr>
          </w:p>
        </w:tc>
        <w:tc>
          <w:tcPr>
            <w:tcW w:w="665" w:type="pct"/>
            <w:vAlign w:val="center"/>
          </w:tcPr>
          <w:p w14:paraId="1BFE11BB">
            <w:pPr>
              <w:pStyle w:val="18"/>
              <w:bidi w:val="0"/>
              <w:rPr>
                <w:rFonts w:hint="eastAsia"/>
                <w:lang w:eastAsia="zh-CN"/>
              </w:rPr>
            </w:pPr>
            <w:r>
              <w:rPr>
                <w:rFonts w:hint="eastAsia"/>
                <w:lang w:eastAsia="zh-CN"/>
              </w:rPr>
              <w:t>项目质量达标率（3分）</w:t>
            </w:r>
          </w:p>
        </w:tc>
        <w:tc>
          <w:tcPr>
            <w:tcW w:w="900" w:type="pct"/>
            <w:vAlign w:val="center"/>
          </w:tcPr>
          <w:p w14:paraId="7CFAFE15">
            <w:pPr>
              <w:pStyle w:val="18"/>
              <w:bidi w:val="0"/>
              <w:rPr>
                <w:rFonts w:hint="eastAsia"/>
                <w:lang w:eastAsia="zh-CN"/>
              </w:rPr>
            </w:pPr>
            <w:r>
              <w:rPr>
                <w:rFonts w:hint="eastAsia"/>
                <w:lang w:eastAsia="zh-CN"/>
              </w:rPr>
              <w:t>部门已完成项目中质量达标项目个数占已完成项目个数的比率，主要评价部门（单位）部门履职质量目标的实现程度。</w:t>
            </w:r>
          </w:p>
        </w:tc>
        <w:tc>
          <w:tcPr>
            <w:tcW w:w="1189" w:type="pct"/>
            <w:vAlign w:val="center"/>
          </w:tcPr>
          <w:p w14:paraId="43F272F3">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①项目质量达标率≥95%，得3分；</w:t>
            </w:r>
            <w:r>
              <w:rPr>
                <w:rFonts w:hint="eastAsia"/>
                <w:lang w:eastAsia="zh-CN"/>
              </w:rPr>
              <w:br w:type="textWrapping"/>
            </w:r>
            <w:r>
              <w:rPr>
                <w:rFonts w:hint="eastAsia"/>
                <w:lang w:eastAsia="zh-CN"/>
              </w:rPr>
              <w:t>②95%&gt;项目质量达标率≥90%，得2分；</w:t>
            </w:r>
            <w:r>
              <w:rPr>
                <w:rFonts w:hint="eastAsia"/>
                <w:lang w:eastAsia="zh-CN"/>
              </w:rPr>
              <w:br w:type="textWrapping"/>
            </w:r>
            <w:r>
              <w:rPr>
                <w:rFonts w:hint="eastAsia"/>
                <w:lang w:eastAsia="zh-CN"/>
              </w:rPr>
              <w:t>③90%&gt;项目质量达标率≥85%，得1分；</w:t>
            </w:r>
            <w:r>
              <w:rPr>
                <w:rFonts w:hint="eastAsia"/>
                <w:lang w:eastAsia="zh-CN"/>
              </w:rPr>
              <w:br w:type="textWrapping"/>
            </w:r>
            <w:r>
              <w:rPr>
                <w:rFonts w:hint="eastAsia"/>
                <w:lang w:eastAsia="zh-CN"/>
              </w:rPr>
              <w:t>④85%&gt;项目质量达标率，得0分。</w:t>
            </w:r>
          </w:p>
        </w:tc>
        <w:tc>
          <w:tcPr>
            <w:tcW w:w="561" w:type="pct"/>
            <w:vAlign w:val="center"/>
          </w:tcPr>
          <w:p w14:paraId="4730AFEA">
            <w:pPr>
              <w:pStyle w:val="18"/>
              <w:bidi w:val="0"/>
              <w:rPr>
                <w:rFonts w:hint="eastAsia"/>
              </w:rPr>
            </w:pPr>
            <w:r>
              <w:rPr>
                <w:rFonts w:hint="eastAsia"/>
              </w:rPr>
              <w:t>3</w:t>
            </w:r>
          </w:p>
        </w:tc>
        <w:tc>
          <w:tcPr>
            <w:tcW w:w="561" w:type="pct"/>
            <w:vAlign w:val="center"/>
          </w:tcPr>
          <w:p w14:paraId="31D98378">
            <w:pPr>
              <w:pStyle w:val="18"/>
              <w:bidi w:val="0"/>
              <w:rPr>
                <w:rFonts w:hint="eastAsia"/>
              </w:rPr>
            </w:pPr>
            <w:r>
              <w:rPr>
                <w:rFonts w:hint="eastAsia"/>
              </w:rPr>
              <w:t>3</w:t>
            </w:r>
          </w:p>
        </w:tc>
      </w:tr>
      <w:tr w14:paraId="1B6C0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7C09970D">
            <w:pPr>
              <w:pStyle w:val="18"/>
              <w:bidi w:val="0"/>
              <w:rPr>
                <w:rFonts w:hint="eastAsia"/>
              </w:rPr>
            </w:pPr>
          </w:p>
        </w:tc>
        <w:tc>
          <w:tcPr>
            <w:tcW w:w="560" w:type="pct"/>
            <w:vMerge w:val="restart"/>
            <w:vAlign w:val="center"/>
          </w:tcPr>
          <w:p w14:paraId="16F4B80D">
            <w:pPr>
              <w:pStyle w:val="18"/>
              <w:bidi w:val="0"/>
              <w:rPr>
                <w:rFonts w:hint="eastAsia"/>
              </w:rPr>
            </w:pPr>
            <w:r>
              <w:rPr>
                <w:rFonts w:hint="eastAsia"/>
              </w:rPr>
              <w:t>产出数量</w:t>
            </w:r>
            <w:r>
              <w:rPr>
                <w:rFonts w:hint="eastAsia"/>
                <w:lang w:eastAsia="zh-CN"/>
              </w:rPr>
              <w:t>（</w:t>
            </w:r>
            <w:r>
              <w:rPr>
                <w:rFonts w:hint="eastAsia"/>
              </w:rPr>
              <w:t>18分）</w:t>
            </w:r>
          </w:p>
        </w:tc>
        <w:tc>
          <w:tcPr>
            <w:tcW w:w="665" w:type="pct"/>
            <w:vAlign w:val="center"/>
          </w:tcPr>
          <w:p w14:paraId="45458026">
            <w:pPr>
              <w:pStyle w:val="18"/>
              <w:bidi w:val="0"/>
              <w:rPr>
                <w:rFonts w:hint="eastAsia"/>
                <w:lang w:eastAsia="zh-CN"/>
              </w:rPr>
            </w:pPr>
            <w:r>
              <w:rPr>
                <w:rFonts w:hint="eastAsia"/>
                <w:lang w:eastAsia="zh-CN"/>
              </w:rPr>
              <w:t>列入经营异常名录（3分）</w:t>
            </w:r>
          </w:p>
        </w:tc>
        <w:tc>
          <w:tcPr>
            <w:tcW w:w="900" w:type="pct"/>
            <w:vAlign w:val="center"/>
          </w:tcPr>
          <w:p w14:paraId="1651F8D7">
            <w:pPr>
              <w:pStyle w:val="18"/>
              <w:bidi w:val="0"/>
              <w:rPr>
                <w:rFonts w:hint="eastAsia"/>
                <w:lang w:eastAsia="zh-CN"/>
              </w:rPr>
            </w:pPr>
            <w:r>
              <w:rPr>
                <w:rFonts w:hint="eastAsia"/>
                <w:lang w:eastAsia="zh-CN"/>
              </w:rPr>
              <w:t>主要评价部门（单位）2024年度对经营异常企业进行监管的力度，列入经营异常企业名录企业的数量。</w:t>
            </w:r>
          </w:p>
        </w:tc>
        <w:tc>
          <w:tcPr>
            <w:tcW w:w="1189" w:type="pct"/>
            <w:vAlign w:val="center"/>
          </w:tcPr>
          <w:p w14:paraId="61C40B13">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①列入经营异常数量≥1500人，得3分；</w:t>
            </w:r>
            <w:r>
              <w:rPr>
                <w:rFonts w:hint="eastAsia"/>
                <w:lang w:eastAsia="zh-CN"/>
              </w:rPr>
              <w:br w:type="textWrapping"/>
            </w:r>
            <w:r>
              <w:rPr>
                <w:rFonts w:hint="eastAsia"/>
                <w:lang w:eastAsia="zh-CN"/>
              </w:rPr>
              <w:t>②1500人&gt;列入经营异常数量≥1450人，得2分；</w:t>
            </w:r>
            <w:r>
              <w:rPr>
                <w:rFonts w:hint="eastAsia"/>
                <w:lang w:eastAsia="zh-CN"/>
              </w:rPr>
              <w:br w:type="textWrapping"/>
            </w:r>
            <w:r>
              <w:rPr>
                <w:rFonts w:hint="eastAsia"/>
                <w:lang w:eastAsia="zh-CN"/>
              </w:rPr>
              <w:t>③1450人&gt;列入经营异常数量≥1400人，得1分；</w:t>
            </w:r>
            <w:r>
              <w:rPr>
                <w:rFonts w:hint="eastAsia"/>
                <w:lang w:eastAsia="zh-CN"/>
              </w:rPr>
              <w:br w:type="textWrapping"/>
            </w:r>
            <w:r>
              <w:rPr>
                <w:rFonts w:hint="eastAsia"/>
                <w:lang w:eastAsia="zh-CN"/>
              </w:rPr>
              <w:t>④1400人&gt;列入经营异常数量，得0分。</w:t>
            </w:r>
          </w:p>
        </w:tc>
        <w:tc>
          <w:tcPr>
            <w:tcW w:w="561" w:type="pct"/>
            <w:vAlign w:val="center"/>
          </w:tcPr>
          <w:p w14:paraId="38E9AFDE">
            <w:pPr>
              <w:pStyle w:val="18"/>
              <w:bidi w:val="0"/>
              <w:rPr>
                <w:rFonts w:hint="eastAsia"/>
              </w:rPr>
            </w:pPr>
            <w:r>
              <w:rPr>
                <w:rFonts w:hint="eastAsia"/>
              </w:rPr>
              <w:t>3</w:t>
            </w:r>
          </w:p>
        </w:tc>
        <w:tc>
          <w:tcPr>
            <w:tcW w:w="561" w:type="pct"/>
            <w:vAlign w:val="center"/>
          </w:tcPr>
          <w:p w14:paraId="780CBAED">
            <w:pPr>
              <w:pStyle w:val="18"/>
              <w:bidi w:val="0"/>
              <w:rPr>
                <w:rFonts w:hint="eastAsia"/>
              </w:rPr>
            </w:pPr>
            <w:r>
              <w:rPr>
                <w:rFonts w:hint="eastAsia"/>
              </w:rPr>
              <w:t>3</w:t>
            </w:r>
          </w:p>
        </w:tc>
      </w:tr>
      <w:tr w14:paraId="0F00D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1AC04F3F">
            <w:pPr>
              <w:pStyle w:val="18"/>
              <w:bidi w:val="0"/>
              <w:rPr>
                <w:rFonts w:hint="eastAsia"/>
              </w:rPr>
            </w:pPr>
          </w:p>
        </w:tc>
        <w:tc>
          <w:tcPr>
            <w:tcW w:w="560" w:type="pct"/>
            <w:vMerge w:val="continue"/>
            <w:vAlign w:val="center"/>
          </w:tcPr>
          <w:p w14:paraId="5EACD497">
            <w:pPr>
              <w:pStyle w:val="18"/>
              <w:bidi w:val="0"/>
              <w:rPr>
                <w:rFonts w:hint="eastAsia"/>
              </w:rPr>
            </w:pPr>
          </w:p>
        </w:tc>
        <w:tc>
          <w:tcPr>
            <w:tcW w:w="665" w:type="pct"/>
            <w:vAlign w:val="center"/>
          </w:tcPr>
          <w:p w14:paraId="2764813E">
            <w:pPr>
              <w:pStyle w:val="18"/>
              <w:bidi w:val="0"/>
              <w:rPr>
                <w:rFonts w:hint="eastAsia"/>
                <w:lang w:eastAsia="zh-CN"/>
              </w:rPr>
            </w:pPr>
            <w:r>
              <w:rPr>
                <w:rFonts w:hint="eastAsia"/>
                <w:lang w:eastAsia="zh-CN"/>
              </w:rPr>
              <w:t>新设市场主体登记数量（3分）</w:t>
            </w:r>
          </w:p>
        </w:tc>
        <w:tc>
          <w:tcPr>
            <w:tcW w:w="900" w:type="pct"/>
            <w:vAlign w:val="center"/>
          </w:tcPr>
          <w:p w14:paraId="55BEFFF0">
            <w:pPr>
              <w:pStyle w:val="18"/>
              <w:bidi w:val="0"/>
              <w:rPr>
                <w:rFonts w:hint="eastAsia"/>
                <w:lang w:eastAsia="zh-CN"/>
              </w:rPr>
            </w:pPr>
            <w:r>
              <w:rPr>
                <w:rFonts w:hint="eastAsia"/>
                <w:lang w:eastAsia="zh-CN"/>
              </w:rPr>
              <w:t>主要评价部门（单位）本年度在辖区内新设市场主体登记。</w:t>
            </w:r>
          </w:p>
        </w:tc>
        <w:tc>
          <w:tcPr>
            <w:tcW w:w="1189" w:type="pct"/>
            <w:vAlign w:val="center"/>
          </w:tcPr>
          <w:p w14:paraId="1B6D80EB">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①新设主体数量≥5000家，得3分；</w:t>
            </w:r>
            <w:r>
              <w:rPr>
                <w:rFonts w:hint="eastAsia"/>
                <w:lang w:eastAsia="zh-CN"/>
              </w:rPr>
              <w:br w:type="textWrapping"/>
            </w:r>
            <w:r>
              <w:rPr>
                <w:rFonts w:hint="eastAsia"/>
                <w:lang w:eastAsia="zh-CN"/>
              </w:rPr>
              <w:t>②5000家&gt;新设主体数量≥4900家，得2分；</w:t>
            </w:r>
            <w:r>
              <w:rPr>
                <w:rFonts w:hint="eastAsia"/>
                <w:lang w:eastAsia="zh-CN"/>
              </w:rPr>
              <w:br w:type="textWrapping"/>
            </w:r>
            <w:r>
              <w:rPr>
                <w:rFonts w:hint="eastAsia"/>
                <w:lang w:eastAsia="zh-CN"/>
              </w:rPr>
              <w:t>③4900家&gt;新设主体数量≥4800家，得1分；</w:t>
            </w:r>
            <w:r>
              <w:rPr>
                <w:rFonts w:hint="eastAsia"/>
                <w:lang w:eastAsia="zh-CN"/>
              </w:rPr>
              <w:br w:type="textWrapping"/>
            </w:r>
            <w:r>
              <w:rPr>
                <w:rFonts w:hint="eastAsia"/>
                <w:lang w:eastAsia="zh-CN"/>
              </w:rPr>
              <w:t>④4800家&gt;新设主体数量，得0分。</w:t>
            </w:r>
          </w:p>
        </w:tc>
        <w:tc>
          <w:tcPr>
            <w:tcW w:w="561" w:type="pct"/>
            <w:vAlign w:val="center"/>
          </w:tcPr>
          <w:p w14:paraId="52F76BF8">
            <w:pPr>
              <w:pStyle w:val="18"/>
              <w:bidi w:val="0"/>
              <w:rPr>
                <w:rFonts w:hint="eastAsia"/>
              </w:rPr>
            </w:pPr>
            <w:r>
              <w:rPr>
                <w:rFonts w:hint="eastAsia"/>
              </w:rPr>
              <w:t>3</w:t>
            </w:r>
          </w:p>
        </w:tc>
        <w:tc>
          <w:tcPr>
            <w:tcW w:w="561" w:type="pct"/>
            <w:vAlign w:val="center"/>
          </w:tcPr>
          <w:p w14:paraId="78F5F690">
            <w:pPr>
              <w:pStyle w:val="18"/>
              <w:bidi w:val="0"/>
              <w:rPr>
                <w:rFonts w:hint="eastAsia"/>
              </w:rPr>
            </w:pPr>
            <w:r>
              <w:rPr>
                <w:rFonts w:hint="eastAsia"/>
              </w:rPr>
              <w:t>3</w:t>
            </w:r>
          </w:p>
        </w:tc>
      </w:tr>
      <w:tr w14:paraId="210527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2ECF8CE2">
            <w:pPr>
              <w:pStyle w:val="18"/>
              <w:bidi w:val="0"/>
              <w:rPr>
                <w:rFonts w:hint="eastAsia"/>
              </w:rPr>
            </w:pPr>
          </w:p>
        </w:tc>
        <w:tc>
          <w:tcPr>
            <w:tcW w:w="560" w:type="pct"/>
            <w:vMerge w:val="continue"/>
            <w:vAlign w:val="center"/>
          </w:tcPr>
          <w:p w14:paraId="6B5C7764">
            <w:pPr>
              <w:pStyle w:val="18"/>
              <w:bidi w:val="0"/>
              <w:rPr>
                <w:rFonts w:hint="eastAsia"/>
              </w:rPr>
            </w:pPr>
          </w:p>
        </w:tc>
        <w:tc>
          <w:tcPr>
            <w:tcW w:w="665" w:type="pct"/>
            <w:vAlign w:val="center"/>
          </w:tcPr>
          <w:p w14:paraId="555D277F">
            <w:pPr>
              <w:pStyle w:val="18"/>
              <w:bidi w:val="0"/>
              <w:rPr>
                <w:rFonts w:hint="eastAsia"/>
                <w:lang w:eastAsia="zh-CN"/>
              </w:rPr>
            </w:pPr>
            <w:r>
              <w:rPr>
                <w:rFonts w:hint="eastAsia"/>
                <w:lang w:eastAsia="zh-CN"/>
              </w:rPr>
              <w:t>工业产品抽检批次（3分）</w:t>
            </w:r>
          </w:p>
        </w:tc>
        <w:tc>
          <w:tcPr>
            <w:tcW w:w="900" w:type="pct"/>
            <w:vAlign w:val="center"/>
          </w:tcPr>
          <w:p w14:paraId="71C109D3">
            <w:pPr>
              <w:pStyle w:val="18"/>
              <w:bidi w:val="0"/>
              <w:rPr>
                <w:rFonts w:hint="eastAsia"/>
                <w:lang w:eastAsia="zh-CN"/>
              </w:rPr>
            </w:pPr>
            <w:r>
              <w:rPr>
                <w:rFonts w:hint="eastAsia"/>
                <w:lang w:eastAsia="zh-CN"/>
              </w:rPr>
              <w:t>主要评价部门（单位）本年度开展对工业产品抽检批次情况。</w:t>
            </w:r>
          </w:p>
        </w:tc>
        <w:tc>
          <w:tcPr>
            <w:tcW w:w="1189" w:type="pct"/>
            <w:vAlign w:val="center"/>
          </w:tcPr>
          <w:p w14:paraId="15A2E9ED">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①抽检批次≥120批次，得3分；</w:t>
            </w:r>
            <w:r>
              <w:rPr>
                <w:rFonts w:hint="eastAsia"/>
                <w:lang w:eastAsia="zh-CN"/>
              </w:rPr>
              <w:br w:type="textWrapping"/>
            </w:r>
            <w:r>
              <w:rPr>
                <w:rFonts w:hint="eastAsia"/>
                <w:lang w:eastAsia="zh-CN"/>
              </w:rPr>
              <w:t>②120批次&gt;抽检批次≥110批次，得2分；</w:t>
            </w:r>
            <w:r>
              <w:rPr>
                <w:rFonts w:hint="eastAsia"/>
                <w:lang w:eastAsia="zh-CN"/>
              </w:rPr>
              <w:br w:type="textWrapping"/>
            </w:r>
            <w:r>
              <w:rPr>
                <w:rFonts w:hint="eastAsia"/>
                <w:lang w:eastAsia="zh-CN"/>
              </w:rPr>
              <w:t>③110批次&gt;抽检批次≥100批次，得1分；</w:t>
            </w:r>
            <w:r>
              <w:rPr>
                <w:rFonts w:hint="eastAsia"/>
                <w:lang w:eastAsia="zh-CN"/>
              </w:rPr>
              <w:br w:type="textWrapping"/>
            </w:r>
            <w:r>
              <w:rPr>
                <w:rFonts w:hint="eastAsia"/>
                <w:lang w:eastAsia="zh-CN"/>
              </w:rPr>
              <w:t>④100批次&gt;抽检批次，得0分。</w:t>
            </w:r>
          </w:p>
        </w:tc>
        <w:tc>
          <w:tcPr>
            <w:tcW w:w="561" w:type="pct"/>
            <w:vAlign w:val="center"/>
          </w:tcPr>
          <w:p w14:paraId="25F4EFC2">
            <w:pPr>
              <w:pStyle w:val="18"/>
              <w:bidi w:val="0"/>
              <w:rPr>
                <w:rFonts w:hint="eastAsia"/>
              </w:rPr>
            </w:pPr>
            <w:r>
              <w:rPr>
                <w:rFonts w:hint="eastAsia"/>
              </w:rPr>
              <w:t>3</w:t>
            </w:r>
          </w:p>
        </w:tc>
        <w:tc>
          <w:tcPr>
            <w:tcW w:w="561" w:type="pct"/>
            <w:vAlign w:val="center"/>
          </w:tcPr>
          <w:p w14:paraId="409EA3F8">
            <w:pPr>
              <w:pStyle w:val="18"/>
              <w:bidi w:val="0"/>
              <w:rPr>
                <w:rFonts w:hint="eastAsia"/>
              </w:rPr>
            </w:pPr>
            <w:r>
              <w:rPr>
                <w:rFonts w:hint="eastAsia"/>
              </w:rPr>
              <w:t>3</w:t>
            </w:r>
          </w:p>
        </w:tc>
      </w:tr>
      <w:tr w14:paraId="1E5E9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5DC19661">
            <w:pPr>
              <w:pStyle w:val="18"/>
              <w:bidi w:val="0"/>
              <w:rPr>
                <w:rFonts w:hint="eastAsia"/>
              </w:rPr>
            </w:pPr>
          </w:p>
        </w:tc>
        <w:tc>
          <w:tcPr>
            <w:tcW w:w="560" w:type="pct"/>
            <w:vMerge w:val="continue"/>
            <w:vAlign w:val="center"/>
          </w:tcPr>
          <w:p w14:paraId="66B2E62C">
            <w:pPr>
              <w:pStyle w:val="18"/>
              <w:bidi w:val="0"/>
              <w:rPr>
                <w:rFonts w:hint="eastAsia"/>
              </w:rPr>
            </w:pPr>
          </w:p>
        </w:tc>
        <w:tc>
          <w:tcPr>
            <w:tcW w:w="665" w:type="pct"/>
            <w:vAlign w:val="center"/>
          </w:tcPr>
          <w:p w14:paraId="78350524">
            <w:pPr>
              <w:pStyle w:val="18"/>
              <w:bidi w:val="0"/>
              <w:rPr>
                <w:rFonts w:hint="eastAsia"/>
                <w:lang w:eastAsia="zh-CN"/>
              </w:rPr>
            </w:pPr>
            <w:r>
              <w:rPr>
                <w:rFonts w:hint="eastAsia"/>
                <w:lang w:eastAsia="zh-CN"/>
              </w:rPr>
              <w:t>走访调研卫生用品企业数量（3分）</w:t>
            </w:r>
          </w:p>
        </w:tc>
        <w:tc>
          <w:tcPr>
            <w:tcW w:w="900" w:type="pct"/>
            <w:vAlign w:val="center"/>
          </w:tcPr>
          <w:p w14:paraId="25132A25">
            <w:pPr>
              <w:pStyle w:val="18"/>
              <w:bidi w:val="0"/>
              <w:rPr>
                <w:rFonts w:hint="eastAsia"/>
                <w:lang w:eastAsia="zh-CN"/>
              </w:rPr>
            </w:pPr>
            <w:r>
              <w:rPr>
                <w:rFonts w:hint="eastAsia"/>
                <w:lang w:eastAsia="zh-CN"/>
              </w:rPr>
              <w:t>主要评价部门（单位）本年度开展走访调研纸类卫生用品企业数量。</w:t>
            </w:r>
          </w:p>
        </w:tc>
        <w:tc>
          <w:tcPr>
            <w:tcW w:w="1189" w:type="pct"/>
            <w:vAlign w:val="center"/>
          </w:tcPr>
          <w:p w14:paraId="6B448EDA">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①调研数量≥28家，得3分；</w:t>
            </w:r>
            <w:r>
              <w:rPr>
                <w:rFonts w:hint="eastAsia"/>
                <w:lang w:eastAsia="zh-CN"/>
              </w:rPr>
              <w:br w:type="textWrapping"/>
            </w:r>
            <w:r>
              <w:rPr>
                <w:rFonts w:hint="eastAsia"/>
                <w:lang w:eastAsia="zh-CN"/>
              </w:rPr>
              <w:t>②28家&gt;调研数量≥25家，得2分；</w:t>
            </w:r>
            <w:r>
              <w:rPr>
                <w:rFonts w:hint="eastAsia"/>
                <w:lang w:eastAsia="zh-CN"/>
              </w:rPr>
              <w:br w:type="textWrapping"/>
            </w:r>
            <w:r>
              <w:rPr>
                <w:rFonts w:hint="eastAsia"/>
                <w:lang w:eastAsia="zh-CN"/>
              </w:rPr>
              <w:t>③25&gt;调研数量≥22家，得1分；</w:t>
            </w:r>
            <w:r>
              <w:rPr>
                <w:rFonts w:hint="eastAsia"/>
                <w:lang w:eastAsia="zh-CN"/>
              </w:rPr>
              <w:br w:type="textWrapping"/>
            </w:r>
            <w:r>
              <w:rPr>
                <w:rFonts w:hint="eastAsia"/>
                <w:lang w:eastAsia="zh-CN"/>
              </w:rPr>
              <w:t>④22家&gt;调研数量，得0分。</w:t>
            </w:r>
          </w:p>
        </w:tc>
        <w:tc>
          <w:tcPr>
            <w:tcW w:w="561" w:type="pct"/>
            <w:vAlign w:val="center"/>
          </w:tcPr>
          <w:p w14:paraId="402930FD">
            <w:pPr>
              <w:pStyle w:val="18"/>
              <w:bidi w:val="0"/>
              <w:rPr>
                <w:rFonts w:hint="eastAsia"/>
              </w:rPr>
            </w:pPr>
            <w:r>
              <w:rPr>
                <w:rFonts w:hint="eastAsia"/>
              </w:rPr>
              <w:t>3</w:t>
            </w:r>
          </w:p>
        </w:tc>
        <w:tc>
          <w:tcPr>
            <w:tcW w:w="561" w:type="pct"/>
            <w:vAlign w:val="center"/>
          </w:tcPr>
          <w:p w14:paraId="0749340D">
            <w:pPr>
              <w:pStyle w:val="18"/>
              <w:bidi w:val="0"/>
              <w:rPr>
                <w:rFonts w:hint="eastAsia"/>
              </w:rPr>
            </w:pPr>
            <w:r>
              <w:rPr>
                <w:rFonts w:hint="eastAsia"/>
              </w:rPr>
              <w:t>3</w:t>
            </w:r>
          </w:p>
        </w:tc>
      </w:tr>
      <w:tr w14:paraId="0124D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2EDC9630">
            <w:pPr>
              <w:pStyle w:val="18"/>
              <w:bidi w:val="0"/>
              <w:rPr>
                <w:rFonts w:hint="eastAsia"/>
              </w:rPr>
            </w:pPr>
          </w:p>
        </w:tc>
        <w:tc>
          <w:tcPr>
            <w:tcW w:w="560" w:type="pct"/>
            <w:vMerge w:val="continue"/>
            <w:vAlign w:val="center"/>
          </w:tcPr>
          <w:p w14:paraId="5F7A7F29">
            <w:pPr>
              <w:pStyle w:val="18"/>
              <w:bidi w:val="0"/>
              <w:rPr>
                <w:rFonts w:hint="eastAsia"/>
              </w:rPr>
            </w:pPr>
          </w:p>
        </w:tc>
        <w:tc>
          <w:tcPr>
            <w:tcW w:w="665" w:type="pct"/>
            <w:vAlign w:val="center"/>
          </w:tcPr>
          <w:p w14:paraId="796D2BEC">
            <w:pPr>
              <w:pStyle w:val="18"/>
              <w:bidi w:val="0"/>
              <w:rPr>
                <w:rFonts w:hint="eastAsia"/>
                <w:lang w:eastAsia="zh-CN"/>
              </w:rPr>
            </w:pPr>
            <w:r>
              <w:rPr>
                <w:rFonts w:hint="eastAsia"/>
                <w:lang w:eastAsia="zh-CN"/>
              </w:rPr>
              <w:t>新增专利授权数量（3分）</w:t>
            </w:r>
          </w:p>
        </w:tc>
        <w:tc>
          <w:tcPr>
            <w:tcW w:w="900" w:type="pct"/>
            <w:vAlign w:val="center"/>
          </w:tcPr>
          <w:p w14:paraId="6C3AE961">
            <w:pPr>
              <w:pStyle w:val="18"/>
              <w:bidi w:val="0"/>
              <w:rPr>
                <w:rFonts w:hint="eastAsia"/>
                <w:lang w:eastAsia="zh-CN"/>
              </w:rPr>
            </w:pPr>
            <w:r>
              <w:rPr>
                <w:rFonts w:hint="eastAsia"/>
                <w:lang w:eastAsia="zh-CN"/>
              </w:rPr>
              <w:t>主要评价部门（单位）本年度在辖区内新增专利授权数量。</w:t>
            </w:r>
          </w:p>
        </w:tc>
        <w:tc>
          <w:tcPr>
            <w:tcW w:w="1189" w:type="pct"/>
            <w:vAlign w:val="center"/>
          </w:tcPr>
          <w:p w14:paraId="2B1816C4">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①授权数量≥1000件，得3分；</w:t>
            </w:r>
            <w:r>
              <w:rPr>
                <w:rFonts w:hint="eastAsia"/>
                <w:lang w:eastAsia="zh-CN"/>
              </w:rPr>
              <w:br w:type="textWrapping"/>
            </w:r>
            <w:r>
              <w:rPr>
                <w:rFonts w:hint="eastAsia"/>
                <w:lang w:eastAsia="zh-CN"/>
              </w:rPr>
              <w:t>②1000件&gt;授权数量≥950件，得2分；</w:t>
            </w:r>
            <w:r>
              <w:rPr>
                <w:rFonts w:hint="eastAsia"/>
                <w:lang w:eastAsia="zh-CN"/>
              </w:rPr>
              <w:br w:type="textWrapping"/>
            </w:r>
            <w:r>
              <w:rPr>
                <w:rFonts w:hint="eastAsia"/>
                <w:lang w:eastAsia="zh-CN"/>
              </w:rPr>
              <w:t>③950件&gt;授权数量≥900件，得1分；</w:t>
            </w:r>
            <w:r>
              <w:rPr>
                <w:rFonts w:hint="eastAsia"/>
                <w:lang w:eastAsia="zh-CN"/>
              </w:rPr>
              <w:br w:type="textWrapping"/>
            </w:r>
            <w:r>
              <w:rPr>
                <w:rFonts w:hint="eastAsia"/>
                <w:lang w:eastAsia="zh-CN"/>
              </w:rPr>
              <w:t>④900件&gt;授权数量，得0分。</w:t>
            </w:r>
          </w:p>
        </w:tc>
        <w:tc>
          <w:tcPr>
            <w:tcW w:w="561" w:type="pct"/>
            <w:vAlign w:val="center"/>
          </w:tcPr>
          <w:p w14:paraId="562E1FAA">
            <w:pPr>
              <w:pStyle w:val="18"/>
              <w:bidi w:val="0"/>
              <w:rPr>
                <w:rFonts w:hint="eastAsia"/>
              </w:rPr>
            </w:pPr>
            <w:r>
              <w:rPr>
                <w:rFonts w:hint="eastAsia"/>
              </w:rPr>
              <w:t>3</w:t>
            </w:r>
          </w:p>
        </w:tc>
        <w:tc>
          <w:tcPr>
            <w:tcW w:w="561" w:type="pct"/>
            <w:vAlign w:val="center"/>
          </w:tcPr>
          <w:p w14:paraId="42819B05">
            <w:pPr>
              <w:pStyle w:val="18"/>
              <w:bidi w:val="0"/>
              <w:rPr>
                <w:rFonts w:hint="eastAsia"/>
              </w:rPr>
            </w:pPr>
            <w:r>
              <w:rPr>
                <w:rFonts w:hint="eastAsia"/>
              </w:rPr>
              <w:t>3</w:t>
            </w:r>
          </w:p>
        </w:tc>
      </w:tr>
      <w:tr w14:paraId="377E1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7D24278C">
            <w:pPr>
              <w:pStyle w:val="18"/>
              <w:bidi w:val="0"/>
              <w:rPr>
                <w:rFonts w:hint="eastAsia"/>
              </w:rPr>
            </w:pPr>
          </w:p>
        </w:tc>
        <w:tc>
          <w:tcPr>
            <w:tcW w:w="560" w:type="pct"/>
            <w:vMerge w:val="continue"/>
            <w:vAlign w:val="center"/>
          </w:tcPr>
          <w:p w14:paraId="6F0E308D">
            <w:pPr>
              <w:pStyle w:val="18"/>
              <w:bidi w:val="0"/>
              <w:rPr>
                <w:rFonts w:hint="eastAsia"/>
              </w:rPr>
            </w:pPr>
          </w:p>
        </w:tc>
        <w:tc>
          <w:tcPr>
            <w:tcW w:w="665" w:type="pct"/>
            <w:vAlign w:val="center"/>
          </w:tcPr>
          <w:p w14:paraId="0E697EFF">
            <w:pPr>
              <w:pStyle w:val="18"/>
              <w:bidi w:val="0"/>
              <w:rPr>
                <w:rFonts w:hint="eastAsia"/>
                <w:lang w:eastAsia="zh-CN"/>
              </w:rPr>
            </w:pPr>
            <w:r>
              <w:rPr>
                <w:rFonts w:hint="eastAsia"/>
                <w:lang w:eastAsia="zh-CN"/>
              </w:rPr>
              <w:t>新增注册商标数量（3分）</w:t>
            </w:r>
          </w:p>
        </w:tc>
        <w:tc>
          <w:tcPr>
            <w:tcW w:w="900" w:type="pct"/>
            <w:vAlign w:val="center"/>
          </w:tcPr>
          <w:p w14:paraId="0039B42A">
            <w:pPr>
              <w:pStyle w:val="18"/>
              <w:bidi w:val="0"/>
              <w:rPr>
                <w:rFonts w:hint="eastAsia"/>
                <w:lang w:eastAsia="zh-CN"/>
              </w:rPr>
            </w:pPr>
            <w:r>
              <w:rPr>
                <w:rFonts w:hint="eastAsia"/>
                <w:lang w:eastAsia="zh-CN"/>
              </w:rPr>
              <w:t>主要评价部门（单位）本年度在辖区内企业新增注册商标数量。</w:t>
            </w:r>
          </w:p>
        </w:tc>
        <w:tc>
          <w:tcPr>
            <w:tcW w:w="1189" w:type="pct"/>
            <w:vAlign w:val="center"/>
          </w:tcPr>
          <w:p w14:paraId="40C15339">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①注册数量≥1700件，得3分；</w:t>
            </w:r>
            <w:r>
              <w:rPr>
                <w:rFonts w:hint="eastAsia"/>
                <w:lang w:eastAsia="zh-CN"/>
              </w:rPr>
              <w:br w:type="textWrapping"/>
            </w:r>
            <w:r>
              <w:rPr>
                <w:rFonts w:hint="eastAsia"/>
                <w:lang w:eastAsia="zh-CN"/>
              </w:rPr>
              <w:t>②1700件&gt;注册数量≥1600件，得2分；</w:t>
            </w:r>
            <w:r>
              <w:rPr>
                <w:rFonts w:hint="eastAsia"/>
                <w:lang w:eastAsia="zh-CN"/>
              </w:rPr>
              <w:br w:type="textWrapping"/>
            </w:r>
            <w:r>
              <w:rPr>
                <w:rFonts w:hint="eastAsia"/>
                <w:lang w:eastAsia="zh-CN"/>
              </w:rPr>
              <w:t>③1600件&gt;注册数量≥1500件，得1分；</w:t>
            </w:r>
            <w:r>
              <w:rPr>
                <w:rFonts w:hint="eastAsia"/>
                <w:lang w:eastAsia="zh-CN"/>
              </w:rPr>
              <w:br w:type="textWrapping"/>
            </w:r>
            <w:r>
              <w:rPr>
                <w:rFonts w:hint="eastAsia"/>
                <w:lang w:eastAsia="zh-CN"/>
              </w:rPr>
              <w:t>④1500件&gt;注册数量，得0分。</w:t>
            </w:r>
          </w:p>
        </w:tc>
        <w:tc>
          <w:tcPr>
            <w:tcW w:w="561" w:type="pct"/>
            <w:vAlign w:val="center"/>
          </w:tcPr>
          <w:p w14:paraId="53A292BD">
            <w:pPr>
              <w:pStyle w:val="18"/>
              <w:bidi w:val="0"/>
              <w:rPr>
                <w:rFonts w:hint="eastAsia"/>
              </w:rPr>
            </w:pPr>
            <w:r>
              <w:rPr>
                <w:rFonts w:hint="eastAsia"/>
              </w:rPr>
              <w:t>3</w:t>
            </w:r>
          </w:p>
        </w:tc>
        <w:tc>
          <w:tcPr>
            <w:tcW w:w="561" w:type="pct"/>
            <w:vAlign w:val="center"/>
          </w:tcPr>
          <w:p w14:paraId="1EE44D81">
            <w:pPr>
              <w:pStyle w:val="18"/>
              <w:bidi w:val="0"/>
              <w:rPr>
                <w:rFonts w:hint="eastAsia"/>
              </w:rPr>
            </w:pPr>
            <w:r>
              <w:rPr>
                <w:rFonts w:hint="eastAsia"/>
              </w:rPr>
              <w:t>3</w:t>
            </w:r>
          </w:p>
        </w:tc>
      </w:tr>
      <w:tr w14:paraId="32AEB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7B30D3CE">
            <w:pPr>
              <w:pStyle w:val="18"/>
              <w:bidi w:val="0"/>
              <w:rPr>
                <w:rFonts w:hint="eastAsia"/>
              </w:rPr>
            </w:pPr>
          </w:p>
        </w:tc>
        <w:tc>
          <w:tcPr>
            <w:tcW w:w="560" w:type="pct"/>
            <w:vMerge w:val="restart"/>
            <w:vAlign w:val="center"/>
          </w:tcPr>
          <w:p w14:paraId="1B3A7A5A">
            <w:pPr>
              <w:pStyle w:val="18"/>
              <w:bidi w:val="0"/>
              <w:rPr>
                <w:rFonts w:hint="eastAsia"/>
              </w:rPr>
            </w:pPr>
            <w:r>
              <w:rPr>
                <w:rFonts w:hint="eastAsia"/>
              </w:rPr>
              <w:t>产出质量（12分）</w:t>
            </w:r>
          </w:p>
        </w:tc>
        <w:tc>
          <w:tcPr>
            <w:tcW w:w="665" w:type="pct"/>
            <w:vAlign w:val="center"/>
          </w:tcPr>
          <w:p w14:paraId="2D74938E">
            <w:pPr>
              <w:pStyle w:val="18"/>
              <w:bidi w:val="0"/>
              <w:rPr>
                <w:rFonts w:hint="eastAsia"/>
                <w:lang w:eastAsia="zh-CN"/>
              </w:rPr>
            </w:pPr>
            <w:r>
              <w:rPr>
                <w:rFonts w:hint="eastAsia"/>
                <w:lang w:eastAsia="zh-CN"/>
              </w:rPr>
              <w:t>食品安全监管情况（3分）</w:t>
            </w:r>
          </w:p>
        </w:tc>
        <w:tc>
          <w:tcPr>
            <w:tcW w:w="900" w:type="pct"/>
            <w:vAlign w:val="center"/>
          </w:tcPr>
          <w:p w14:paraId="6C4D85A6">
            <w:pPr>
              <w:pStyle w:val="18"/>
              <w:bidi w:val="0"/>
              <w:rPr>
                <w:rFonts w:hint="eastAsia"/>
                <w:lang w:eastAsia="zh-CN"/>
              </w:rPr>
            </w:pPr>
            <w:r>
              <w:rPr>
                <w:rFonts w:hint="eastAsia"/>
                <w:lang w:eastAsia="zh-CN"/>
              </w:rPr>
              <w:t>主要评价部门（单位）在食品安全监管方面是否监管全面。</w:t>
            </w:r>
          </w:p>
        </w:tc>
        <w:tc>
          <w:tcPr>
            <w:tcW w:w="1189" w:type="pct"/>
            <w:vAlign w:val="center"/>
          </w:tcPr>
          <w:p w14:paraId="750D340D">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①食品安全监管全面，得3分；</w:t>
            </w:r>
            <w:r>
              <w:rPr>
                <w:rFonts w:hint="eastAsia"/>
                <w:lang w:eastAsia="zh-CN"/>
              </w:rPr>
              <w:br w:type="textWrapping"/>
            </w:r>
            <w:r>
              <w:rPr>
                <w:rFonts w:hint="eastAsia"/>
                <w:lang w:eastAsia="zh-CN"/>
              </w:rPr>
              <w:t>②食品安全监督全面度较高，得2分；</w:t>
            </w:r>
            <w:r>
              <w:rPr>
                <w:rFonts w:hint="eastAsia"/>
                <w:lang w:eastAsia="zh-CN"/>
              </w:rPr>
              <w:br w:type="textWrapping"/>
            </w:r>
            <w:r>
              <w:rPr>
                <w:rFonts w:hint="eastAsia"/>
                <w:lang w:eastAsia="zh-CN"/>
              </w:rPr>
              <w:t>③食品安全监管全面度较低，得1分；</w:t>
            </w:r>
            <w:r>
              <w:rPr>
                <w:rFonts w:hint="eastAsia"/>
                <w:lang w:eastAsia="zh-CN"/>
              </w:rPr>
              <w:br w:type="textWrapping"/>
            </w:r>
            <w:r>
              <w:rPr>
                <w:rFonts w:hint="eastAsia"/>
                <w:lang w:eastAsia="zh-CN"/>
              </w:rPr>
              <w:t>④食品安全监管不全面，得0分。</w:t>
            </w:r>
          </w:p>
        </w:tc>
        <w:tc>
          <w:tcPr>
            <w:tcW w:w="561" w:type="pct"/>
            <w:vAlign w:val="center"/>
          </w:tcPr>
          <w:p w14:paraId="1692D594">
            <w:pPr>
              <w:pStyle w:val="18"/>
              <w:bidi w:val="0"/>
              <w:rPr>
                <w:rFonts w:hint="eastAsia"/>
              </w:rPr>
            </w:pPr>
            <w:r>
              <w:rPr>
                <w:rFonts w:hint="eastAsia"/>
              </w:rPr>
              <w:t>3</w:t>
            </w:r>
          </w:p>
        </w:tc>
        <w:tc>
          <w:tcPr>
            <w:tcW w:w="561" w:type="pct"/>
            <w:vAlign w:val="center"/>
          </w:tcPr>
          <w:p w14:paraId="1A18562D">
            <w:pPr>
              <w:pStyle w:val="18"/>
              <w:bidi w:val="0"/>
              <w:rPr>
                <w:rFonts w:hint="eastAsia"/>
              </w:rPr>
            </w:pPr>
            <w:r>
              <w:rPr>
                <w:rFonts w:hint="eastAsia"/>
              </w:rPr>
              <w:t>2</w:t>
            </w:r>
          </w:p>
        </w:tc>
      </w:tr>
      <w:tr w14:paraId="7BA48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73345C78">
            <w:pPr>
              <w:pStyle w:val="18"/>
              <w:bidi w:val="0"/>
              <w:rPr>
                <w:rFonts w:hint="eastAsia"/>
              </w:rPr>
            </w:pPr>
          </w:p>
        </w:tc>
        <w:tc>
          <w:tcPr>
            <w:tcW w:w="560" w:type="pct"/>
            <w:vMerge w:val="continue"/>
            <w:vAlign w:val="center"/>
          </w:tcPr>
          <w:p w14:paraId="3ACC4CBF">
            <w:pPr>
              <w:pStyle w:val="18"/>
              <w:bidi w:val="0"/>
              <w:rPr>
                <w:rFonts w:hint="eastAsia"/>
              </w:rPr>
            </w:pPr>
          </w:p>
        </w:tc>
        <w:tc>
          <w:tcPr>
            <w:tcW w:w="665" w:type="pct"/>
            <w:vAlign w:val="center"/>
          </w:tcPr>
          <w:p w14:paraId="4AA91D9E">
            <w:pPr>
              <w:pStyle w:val="18"/>
              <w:bidi w:val="0"/>
              <w:rPr>
                <w:rFonts w:hint="eastAsia"/>
                <w:lang w:eastAsia="zh-CN"/>
              </w:rPr>
            </w:pPr>
            <w:r>
              <w:rPr>
                <w:rFonts w:hint="eastAsia"/>
                <w:lang w:eastAsia="zh-CN"/>
              </w:rPr>
              <w:t>执法人员专业素养（3分）</w:t>
            </w:r>
          </w:p>
        </w:tc>
        <w:tc>
          <w:tcPr>
            <w:tcW w:w="900" w:type="pct"/>
            <w:vAlign w:val="center"/>
          </w:tcPr>
          <w:p w14:paraId="54E21542">
            <w:pPr>
              <w:pStyle w:val="18"/>
              <w:bidi w:val="0"/>
              <w:rPr>
                <w:rFonts w:hint="eastAsia"/>
                <w:lang w:eastAsia="zh-CN"/>
              </w:rPr>
            </w:pPr>
            <w:r>
              <w:rPr>
                <w:rFonts w:hint="eastAsia"/>
                <w:lang w:eastAsia="zh-CN"/>
              </w:rPr>
              <w:t>主要评价部门（单位）在执法过程中执法人员的专业素养水平如何。</w:t>
            </w:r>
          </w:p>
        </w:tc>
        <w:tc>
          <w:tcPr>
            <w:tcW w:w="1189" w:type="pct"/>
            <w:vAlign w:val="center"/>
          </w:tcPr>
          <w:p w14:paraId="00565D2C">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①专业素养很高，得3分；</w:t>
            </w:r>
            <w:r>
              <w:rPr>
                <w:rFonts w:hint="eastAsia"/>
                <w:lang w:eastAsia="zh-CN"/>
              </w:rPr>
              <w:br w:type="textWrapping"/>
            </w:r>
            <w:r>
              <w:rPr>
                <w:rFonts w:hint="eastAsia"/>
                <w:lang w:eastAsia="zh-CN"/>
              </w:rPr>
              <w:t>②专业素养一般，得2分；</w:t>
            </w:r>
            <w:r>
              <w:rPr>
                <w:rFonts w:hint="eastAsia"/>
                <w:lang w:eastAsia="zh-CN"/>
              </w:rPr>
              <w:br w:type="textWrapping"/>
            </w:r>
            <w:r>
              <w:rPr>
                <w:rFonts w:hint="eastAsia"/>
                <w:lang w:eastAsia="zh-CN"/>
              </w:rPr>
              <w:t>③专业素养有待提高，得1分；</w:t>
            </w:r>
            <w:r>
              <w:rPr>
                <w:rFonts w:hint="eastAsia"/>
                <w:lang w:eastAsia="zh-CN"/>
              </w:rPr>
              <w:br w:type="textWrapping"/>
            </w:r>
            <w:r>
              <w:rPr>
                <w:rFonts w:hint="eastAsia"/>
                <w:lang w:eastAsia="zh-CN"/>
              </w:rPr>
              <w:t>④专业素养不足，得0分。</w:t>
            </w:r>
          </w:p>
        </w:tc>
        <w:tc>
          <w:tcPr>
            <w:tcW w:w="561" w:type="pct"/>
            <w:vAlign w:val="center"/>
          </w:tcPr>
          <w:p w14:paraId="0C410C72">
            <w:pPr>
              <w:pStyle w:val="18"/>
              <w:bidi w:val="0"/>
              <w:rPr>
                <w:rFonts w:hint="eastAsia"/>
              </w:rPr>
            </w:pPr>
            <w:r>
              <w:rPr>
                <w:rFonts w:hint="eastAsia"/>
              </w:rPr>
              <w:t>3</w:t>
            </w:r>
          </w:p>
        </w:tc>
        <w:tc>
          <w:tcPr>
            <w:tcW w:w="561" w:type="pct"/>
            <w:vAlign w:val="center"/>
          </w:tcPr>
          <w:p w14:paraId="36873261">
            <w:pPr>
              <w:pStyle w:val="18"/>
              <w:bidi w:val="0"/>
              <w:rPr>
                <w:rFonts w:hint="eastAsia"/>
              </w:rPr>
            </w:pPr>
            <w:r>
              <w:rPr>
                <w:rFonts w:hint="eastAsia"/>
              </w:rPr>
              <w:t>2</w:t>
            </w:r>
          </w:p>
        </w:tc>
      </w:tr>
      <w:tr w14:paraId="41505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71F2D75D">
            <w:pPr>
              <w:pStyle w:val="18"/>
              <w:bidi w:val="0"/>
              <w:rPr>
                <w:rFonts w:hint="eastAsia"/>
              </w:rPr>
            </w:pPr>
          </w:p>
        </w:tc>
        <w:tc>
          <w:tcPr>
            <w:tcW w:w="560" w:type="pct"/>
            <w:vMerge w:val="continue"/>
            <w:vAlign w:val="center"/>
          </w:tcPr>
          <w:p w14:paraId="0C3D0273">
            <w:pPr>
              <w:pStyle w:val="18"/>
              <w:bidi w:val="0"/>
              <w:rPr>
                <w:rFonts w:hint="eastAsia"/>
              </w:rPr>
            </w:pPr>
          </w:p>
        </w:tc>
        <w:tc>
          <w:tcPr>
            <w:tcW w:w="665" w:type="pct"/>
            <w:vAlign w:val="center"/>
          </w:tcPr>
          <w:p w14:paraId="1B93AC67">
            <w:pPr>
              <w:pStyle w:val="18"/>
              <w:bidi w:val="0"/>
              <w:rPr>
                <w:rFonts w:hint="eastAsia"/>
                <w:lang w:eastAsia="zh-CN"/>
              </w:rPr>
            </w:pPr>
            <w:r>
              <w:rPr>
                <w:rFonts w:hint="eastAsia"/>
                <w:lang w:eastAsia="zh-CN"/>
              </w:rPr>
              <w:t>打击广告市场力度（3分）</w:t>
            </w:r>
          </w:p>
        </w:tc>
        <w:tc>
          <w:tcPr>
            <w:tcW w:w="900" w:type="pct"/>
            <w:vAlign w:val="center"/>
          </w:tcPr>
          <w:p w14:paraId="0B49AEDB">
            <w:pPr>
              <w:pStyle w:val="18"/>
              <w:bidi w:val="0"/>
              <w:rPr>
                <w:rFonts w:hint="eastAsia"/>
                <w:lang w:eastAsia="zh-CN"/>
              </w:rPr>
            </w:pPr>
            <w:r>
              <w:rPr>
                <w:rFonts w:hint="eastAsia"/>
                <w:lang w:eastAsia="zh-CN"/>
              </w:rPr>
              <w:t>主要评价部门（单位）对本年度广告市场中虚假广告的打击力度。</w:t>
            </w:r>
          </w:p>
        </w:tc>
        <w:tc>
          <w:tcPr>
            <w:tcW w:w="1189" w:type="pct"/>
            <w:vAlign w:val="center"/>
          </w:tcPr>
          <w:p w14:paraId="24C5CD52">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①打击虚假广告力度很大，得3分；</w:t>
            </w:r>
            <w:r>
              <w:rPr>
                <w:rFonts w:hint="eastAsia"/>
                <w:lang w:eastAsia="zh-CN"/>
              </w:rPr>
              <w:br w:type="textWrapping"/>
            </w:r>
            <w:r>
              <w:rPr>
                <w:rFonts w:hint="eastAsia"/>
                <w:lang w:eastAsia="zh-CN"/>
              </w:rPr>
              <w:t>②打击虚假广告力度较大，得2分；</w:t>
            </w:r>
            <w:r>
              <w:rPr>
                <w:rFonts w:hint="eastAsia"/>
                <w:lang w:eastAsia="zh-CN"/>
              </w:rPr>
              <w:br w:type="textWrapping"/>
            </w:r>
            <w:r>
              <w:rPr>
                <w:rFonts w:hint="eastAsia"/>
                <w:lang w:eastAsia="zh-CN"/>
              </w:rPr>
              <w:t>③打击虚假广告力度一般，需要加强，得1分；</w:t>
            </w:r>
            <w:r>
              <w:rPr>
                <w:rFonts w:hint="eastAsia"/>
                <w:lang w:eastAsia="zh-CN"/>
              </w:rPr>
              <w:br w:type="textWrapping"/>
            </w:r>
            <w:r>
              <w:rPr>
                <w:rFonts w:hint="eastAsia"/>
                <w:lang w:eastAsia="zh-CN"/>
              </w:rPr>
              <w:t>④打击力度较小，得0分。</w:t>
            </w:r>
          </w:p>
        </w:tc>
        <w:tc>
          <w:tcPr>
            <w:tcW w:w="561" w:type="pct"/>
            <w:vAlign w:val="center"/>
          </w:tcPr>
          <w:p w14:paraId="53627A63">
            <w:pPr>
              <w:pStyle w:val="18"/>
              <w:bidi w:val="0"/>
              <w:rPr>
                <w:rFonts w:hint="eastAsia"/>
              </w:rPr>
            </w:pPr>
            <w:r>
              <w:rPr>
                <w:rFonts w:hint="eastAsia"/>
              </w:rPr>
              <w:t>3</w:t>
            </w:r>
          </w:p>
        </w:tc>
        <w:tc>
          <w:tcPr>
            <w:tcW w:w="561" w:type="pct"/>
            <w:vAlign w:val="center"/>
          </w:tcPr>
          <w:p w14:paraId="03FDF944">
            <w:pPr>
              <w:pStyle w:val="18"/>
              <w:bidi w:val="0"/>
              <w:rPr>
                <w:rFonts w:hint="eastAsia"/>
              </w:rPr>
            </w:pPr>
            <w:r>
              <w:rPr>
                <w:rFonts w:hint="eastAsia"/>
              </w:rPr>
              <w:t>1</w:t>
            </w:r>
          </w:p>
        </w:tc>
      </w:tr>
      <w:tr w14:paraId="46B07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42EFE615">
            <w:pPr>
              <w:pStyle w:val="18"/>
              <w:bidi w:val="0"/>
              <w:rPr>
                <w:rFonts w:hint="eastAsia"/>
              </w:rPr>
            </w:pPr>
          </w:p>
        </w:tc>
        <w:tc>
          <w:tcPr>
            <w:tcW w:w="560" w:type="pct"/>
            <w:vMerge w:val="continue"/>
            <w:vAlign w:val="center"/>
          </w:tcPr>
          <w:p w14:paraId="085A7D83">
            <w:pPr>
              <w:pStyle w:val="18"/>
              <w:bidi w:val="0"/>
              <w:rPr>
                <w:rFonts w:hint="eastAsia"/>
              </w:rPr>
            </w:pPr>
          </w:p>
        </w:tc>
        <w:tc>
          <w:tcPr>
            <w:tcW w:w="665" w:type="pct"/>
            <w:vAlign w:val="center"/>
          </w:tcPr>
          <w:p w14:paraId="128DC1D1">
            <w:pPr>
              <w:pStyle w:val="18"/>
              <w:bidi w:val="0"/>
              <w:rPr>
                <w:rFonts w:hint="eastAsia"/>
                <w:lang w:eastAsia="zh-CN"/>
              </w:rPr>
            </w:pPr>
            <w:r>
              <w:rPr>
                <w:rFonts w:hint="eastAsia"/>
                <w:lang w:eastAsia="zh-CN"/>
              </w:rPr>
              <w:t>2024年度单位绩效考评结果（3分）</w:t>
            </w:r>
          </w:p>
        </w:tc>
        <w:tc>
          <w:tcPr>
            <w:tcW w:w="900" w:type="pct"/>
            <w:vAlign w:val="center"/>
          </w:tcPr>
          <w:p w14:paraId="63511D61">
            <w:pPr>
              <w:pStyle w:val="18"/>
              <w:bidi w:val="0"/>
              <w:rPr>
                <w:rFonts w:hint="eastAsia"/>
                <w:lang w:eastAsia="zh-CN"/>
              </w:rPr>
            </w:pPr>
            <w:r>
              <w:rPr>
                <w:rFonts w:hint="eastAsia"/>
                <w:lang w:eastAsia="zh-CN"/>
              </w:rPr>
              <w:t>主要评价部门（单位）在2024年度单位绩效考评结果情况。</w:t>
            </w:r>
          </w:p>
        </w:tc>
        <w:tc>
          <w:tcPr>
            <w:tcW w:w="1189" w:type="pct"/>
            <w:vAlign w:val="center"/>
          </w:tcPr>
          <w:p w14:paraId="39E103C1">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①获得优秀，得3分；</w:t>
            </w:r>
            <w:r>
              <w:rPr>
                <w:rFonts w:hint="eastAsia"/>
                <w:lang w:eastAsia="zh-CN"/>
              </w:rPr>
              <w:br w:type="textWrapping"/>
            </w:r>
            <w:r>
              <w:rPr>
                <w:rFonts w:hint="eastAsia"/>
                <w:lang w:eastAsia="zh-CN"/>
              </w:rPr>
              <w:t>②获得良好，得2分；</w:t>
            </w:r>
            <w:r>
              <w:rPr>
                <w:rFonts w:hint="eastAsia"/>
                <w:lang w:eastAsia="zh-CN"/>
              </w:rPr>
              <w:br w:type="textWrapping"/>
            </w:r>
            <w:r>
              <w:rPr>
                <w:rFonts w:hint="eastAsia"/>
                <w:lang w:eastAsia="zh-CN"/>
              </w:rPr>
              <w:t>③获得一般，得1分；</w:t>
            </w:r>
            <w:r>
              <w:rPr>
                <w:rFonts w:hint="eastAsia"/>
                <w:lang w:eastAsia="zh-CN"/>
              </w:rPr>
              <w:br w:type="textWrapping"/>
            </w:r>
            <w:r>
              <w:rPr>
                <w:rFonts w:hint="eastAsia"/>
                <w:lang w:eastAsia="zh-CN"/>
              </w:rPr>
              <w:t>④获得不合规，得0分。</w:t>
            </w:r>
          </w:p>
        </w:tc>
        <w:tc>
          <w:tcPr>
            <w:tcW w:w="561" w:type="pct"/>
            <w:vAlign w:val="center"/>
          </w:tcPr>
          <w:p w14:paraId="0859E413">
            <w:pPr>
              <w:pStyle w:val="18"/>
              <w:bidi w:val="0"/>
              <w:rPr>
                <w:rFonts w:hint="eastAsia"/>
              </w:rPr>
            </w:pPr>
            <w:r>
              <w:rPr>
                <w:rFonts w:hint="eastAsia"/>
              </w:rPr>
              <w:t>3</w:t>
            </w:r>
          </w:p>
        </w:tc>
        <w:tc>
          <w:tcPr>
            <w:tcW w:w="561" w:type="pct"/>
            <w:vAlign w:val="center"/>
          </w:tcPr>
          <w:p w14:paraId="7B8F6206">
            <w:pPr>
              <w:pStyle w:val="18"/>
              <w:bidi w:val="0"/>
              <w:rPr>
                <w:rFonts w:hint="eastAsia"/>
              </w:rPr>
            </w:pPr>
            <w:r>
              <w:rPr>
                <w:rFonts w:hint="eastAsia"/>
              </w:rPr>
              <w:t>1</w:t>
            </w:r>
          </w:p>
        </w:tc>
      </w:tr>
      <w:tr w14:paraId="4FF51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restart"/>
            <w:vAlign w:val="center"/>
          </w:tcPr>
          <w:p w14:paraId="7AFAEFA0">
            <w:pPr>
              <w:pStyle w:val="18"/>
              <w:bidi w:val="0"/>
              <w:rPr>
                <w:rFonts w:hint="eastAsia"/>
              </w:rPr>
            </w:pPr>
            <w:r>
              <w:rPr>
                <w:rFonts w:hint="eastAsia"/>
              </w:rPr>
              <w:t>效益（28%）</w:t>
            </w:r>
          </w:p>
        </w:tc>
        <w:tc>
          <w:tcPr>
            <w:tcW w:w="560" w:type="pct"/>
            <w:vMerge w:val="restart"/>
            <w:vAlign w:val="center"/>
          </w:tcPr>
          <w:p w14:paraId="07C7C9F6">
            <w:pPr>
              <w:pStyle w:val="18"/>
              <w:bidi w:val="0"/>
              <w:rPr>
                <w:rFonts w:hint="eastAsia"/>
              </w:rPr>
            </w:pPr>
            <w:r>
              <w:rPr>
                <w:rFonts w:hint="eastAsia"/>
              </w:rPr>
              <w:t>社会效益（18分）</w:t>
            </w:r>
          </w:p>
        </w:tc>
        <w:tc>
          <w:tcPr>
            <w:tcW w:w="665" w:type="pct"/>
            <w:vAlign w:val="center"/>
          </w:tcPr>
          <w:p w14:paraId="169B8729">
            <w:pPr>
              <w:pStyle w:val="18"/>
              <w:bidi w:val="0"/>
              <w:rPr>
                <w:rFonts w:hint="eastAsia"/>
                <w:lang w:eastAsia="zh-CN"/>
              </w:rPr>
            </w:pPr>
            <w:r>
              <w:rPr>
                <w:rFonts w:hint="eastAsia"/>
                <w:lang w:eastAsia="zh-CN"/>
              </w:rPr>
              <w:t>12315维权服务点数量（3分）</w:t>
            </w:r>
          </w:p>
        </w:tc>
        <w:tc>
          <w:tcPr>
            <w:tcW w:w="900" w:type="pct"/>
            <w:vAlign w:val="center"/>
          </w:tcPr>
          <w:p w14:paraId="679CEA7D">
            <w:pPr>
              <w:pStyle w:val="18"/>
              <w:bidi w:val="0"/>
              <w:rPr>
                <w:rFonts w:hint="eastAsia"/>
                <w:lang w:eastAsia="zh-CN"/>
              </w:rPr>
            </w:pPr>
            <w:r>
              <w:rPr>
                <w:rFonts w:hint="eastAsia"/>
                <w:lang w:eastAsia="zh-CN"/>
              </w:rPr>
              <w:t>主要评价部门（单位）在辖区内12315消费者维权服务点的数量。</w:t>
            </w:r>
          </w:p>
        </w:tc>
        <w:tc>
          <w:tcPr>
            <w:tcW w:w="1189" w:type="pct"/>
            <w:vAlign w:val="center"/>
          </w:tcPr>
          <w:p w14:paraId="09DC98E7">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①服务点数量≥100个，得3分；</w:t>
            </w:r>
            <w:r>
              <w:rPr>
                <w:rFonts w:hint="eastAsia"/>
                <w:lang w:eastAsia="zh-CN"/>
              </w:rPr>
              <w:br w:type="textWrapping"/>
            </w:r>
            <w:r>
              <w:rPr>
                <w:rFonts w:hint="eastAsia"/>
                <w:lang w:eastAsia="zh-CN"/>
              </w:rPr>
              <w:t>②100个&gt;服务点数量≥95个，得2分；</w:t>
            </w:r>
            <w:r>
              <w:rPr>
                <w:rFonts w:hint="eastAsia"/>
                <w:lang w:eastAsia="zh-CN"/>
              </w:rPr>
              <w:br w:type="textWrapping"/>
            </w:r>
            <w:r>
              <w:rPr>
                <w:rFonts w:hint="eastAsia"/>
                <w:lang w:eastAsia="zh-CN"/>
              </w:rPr>
              <w:t>③95个&gt;服务点数量≥90个，得1分；</w:t>
            </w:r>
            <w:r>
              <w:rPr>
                <w:rFonts w:hint="eastAsia"/>
                <w:lang w:eastAsia="zh-CN"/>
              </w:rPr>
              <w:br w:type="textWrapping"/>
            </w:r>
            <w:r>
              <w:rPr>
                <w:rFonts w:hint="eastAsia"/>
                <w:lang w:eastAsia="zh-CN"/>
              </w:rPr>
              <w:t>④90个&gt;服务点数量，得0分。</w:t>
            </w:r>
          </w:p>
        </w:tc>
        <w:tc>
          <w:tcPr>
            <w:tcW w:w="561" w:type="pct"/>
            <w:vAlign w:val="center"/>
          </w:tcPr>
          <w:p w14:paraId="6EE28113">
            <w:pPr>
              <w:pStyle w:val="18"/>
              <w:bidi w:val="0"/>
              <w:rPr>
                <w:rFonts w:hint="eastAsia"/>
              </w:rPr>
            </w:pPr>
            <w:r>
              <w:rPr>
                <w:rFonts w:hint="eastAsia"/>
              </w:rPr>
              <w:t>3</w:t>
            </w:r>
          </w:p>
        </w:tc>
        <w:tc>
          <w:tcPr>
            <w:tcW w:w="561" w:type="pct"/>
            <w:vAlign w:val="center"/>
          </w:tcPr>
          <w:p w14:paraId="027EA7B9">
            <w:pPr>
              <w:pStyle w:val="18"/>
              <w:bidi w:val="0"/>
              <w:rPr>
                <w:rFonts w:hint="eastAsia"/>
              </w:rPr>
            </w:pPr>
            <w:r>
              <w:rPr>
                <w:rFonts w:hint="eastAsia"/>
              </w:rPr>
              <w:t>3</w:t>
            </w:r>
          </w:p>
        </w:tc>
      </w:tr>
      <w:tr w14:paraId="59EC41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081BEBF1">
            <w:pPr>
              <w:pStyle w:val="18"/>
              <w:bidi w:val="0"/>
              <w:rPr>
                <w:rFonts w:hint="eastAsia"/>
              </w:rPr>
            </w:pPr>
          </w:p>
        </w:tc>
        <w:tc>
          <w:tcPr>
            <w:tcW w:w="560" w:type="pct"/>
            <w:vMerge w:val="continue"/>
            <w:vAlign w:val="center"/>
          </w:tcPr>
          <w:p w14:paraId="32373C17">
            <w:pPr>
              <w:pStyle w:val="18"/>
              <w:bidi w:val="0"/>
              <w:rPr>
                <w:rFonts w:hint="eastAsia"/>
              </w:rPr>
            </w:pPr>
          </w:p>
        </w:tc>
        <w:tc>
          <w:tcPr>
            <w:tcW w:w="665" w:type="pct"/>
            <w:vAlign w:val="center"/>
          </w:tcPr>
          <w:p w14:paraId="0C091966">
            <w:pPr>
              <w:pStyle w:val="18"/>
              <w:bidi w:val="0"/>
              <w:rPr>
                <w:rFonts w:hint="eastAsia"/>
                <w:lang w:eastAsia="zh-CN"/>
              </w:rPr>
            </w:pPr>
            <w:r>
              <w:rPr>
                <w:rFonts w:hint="eastAsia"/>
                <w:lang w:eastAsia="zh-CN"/>
              </w:rPr>
              <w:t>受理消费者投诉案件数量（3分）</w:t>
            </w:r>
          </w:p>
        </w:tc>
        <w:tc>
          <w:tcPr>
            <w:tcW w:w="900" w:type="pct"/>
            <w:vAlign w:val="center"/>
          </w:tcPr>
          <w:p w14:paraId="542005C4">
            <w:pPr>
              <w:pStyle w:val="18"/>
              <w:bidi w:val="0"/>
              <w:rPr>
                <w:rFonts w:hint="eastAsia"/>
                <w:lang w:eastAsia="zh-CN"/>
              </w:rPr>
            </w:pPr>
            <w:r>
              <w:rPr>
                <w:rFonts w:hint="eastAsia"/>
                <w:lang w:eastAsia="zh-CN"/>
              </w:rPr>
              <w:t>主要评价部门（单位）在本年度受理消费者维权申诉、投诉、举报等案件的数量。</w:t>
            </w:r>
          </w:p>
        </w:tc>
        <w:tc>
          <w:tcPr>
            <w:tcW w:w="1189" w:type="pct"/>
            <w:vAlign w:val="center"/>
          </w:tcPr>
          <w:p w14:paraId="6B8A1461">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①案件数量≥4500件，得3分；</w:t>
            </w:r>
            <w:r>
              <w:rPr>
                <w:rFonts w:hint="eastAsia"/>
                <w:lang w:eastAsia="zh-CN"/>
              </w:rPr>
              <w:br w:type="textWrapping"/>
            </w:r>
            <w:r>
              <w:rPr>
                <w:rFonts w:hint="eastAsia"/>
                <w:lang w:eastAsia="zh-CN"/>
              </w:rPr>
              <w:t>②4500件&gt;案件数量≥4400件，得2分；</w:t>
            </w:r>
            <w:r>
              <w:rPr>
                <w:rFonts w:hint="eastAsia"/>
                <w:lang w:eastAsia="zh-CN"/>
              </w:rPr>
              <w:br w:type="textWrapping"/>
            </w:r>
            <w:r>
              <w:rPr>
                <w:rFonts w:hint="eastAsia"/>
                <w:lang w:eastAsia="zh-CN"/>
              </w:rPr>
              <w:t>③4400件&gt;案件数量≥4300件，得1分；</w:t>
            </w:r>
            <w:r>
              <w:rPr>
                <w:rFonts w:hint="eastAsia"/>
                <w:lang w:eastAsia="zh-CN"/>
              </w:rPr>
              <w:br w:type="textWrapping"/>
            </w:r>
            <w:r>
              <w:rPr>
                <w:rFonts w:hint="eastAsia"/>
                <w:lang w:eastAsia="zh-CN"/>
              </w:rPr>
              <w:t>④4300件&gt;案件数量，得0分。</w:t>
            </w:r>
          </w:p>
        </w:tc>
        <w:tc>
          <w:tcPr>
            <w:tcW w:w="561" w:type="pct"/>
            <w:vAlign w:val="center"/>
          </w:tcPr>
          <w:p w14:paraId="2B3CC7D3">
            <w:pPr>
              <w:pStyle w:val="18"/>
              <w:bidi w:val="0"/>
              <w:rPr>
                <w:rFonts w:hint="eastAsia"/>
              </w:rPr>
            </w:pPr>
            <w:r>
              <w:rPr>
                <w:rFonts w:hint="eastAsia"/>
              </w:rPr>
              <w:t>3</w:t>
            </w:r>
          </w:p>
        </w:tc>
        <w:tc>
          <w:tcPr>
            <w:tcW w:w="561" w:type="pct"/>
            <w:vAlign w:val="center"/>
          </w:tcPr>
          <w:p w14:paraId="55CAA36C">
            <w:pPr>
              <w:pStyle w:val="18"/>
              <w:bidi w:val="0"/>
              <w:rPr>
                <w:rFonts w:hint="eastAsia"/>
              </w:rPr>
            </w:pPr>
            <w:r>
              <w:rPr>
                <w:rFonts w:hint="eastAsia"/>
              </w:rPr>
              <w:t>3</w:t>
            </w:r>
          </w:p>
        </w:tc>
      </w:tr>
      <w:tr w14:paraId="1C467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57A50799">
            <w:pPr>
              <w:pStyle w:val="18"/>
              <w:bidi w:val="0"/>
              <w:rPr>
                <w:rFonts w:hint="eastAsia"/>
              </w:rPr>
            </w:pPr>
          </w:p>
        </w:tc>
        <w:tc>
          <w:tcPr>
            <w:tcW w:w="560" w:type="pct"/>
            <w:vMerge w:val="continue"/>
            <w:vAlign w:val="center"/>
          </w:tcPr>
          <w:p w14:paraId="71216646">
            <w:pPr>
              <w:pStyle w:val="18"/>
              <w:bidi w:val="0"/>
              <w:rPr>
                <w:rFonts w:hint="eastAsia"/>
              </w:rPr>
            </w:pPr>
          </w:p>
        </w:tc>
        <w:tc>
          <w:tcPr>
            <w:tcW w:w="665" w:type="pct"/>
            <w:vAlign w:val="center"/>
          </w:tcPr>
          <w:p w14:paraId="295D88A3">
            <w:pPr>
              <w:pStyle w:val="18"/>
              <w:bidi w:val="0"/>
              <w:rPr>
                <w:rFonts w:hint="eastAsia"/>
                <w:lang w:eastAsia="zh-CN"/>
              </w:rPr>
            </w:pPr>
            <w:r>
              <w:rPr>
                <w:rFonts w:hint="eastAsia"/>
                <w:lang w:eastAsia="zh-CN"/>
              </w:rPr>
              <w:t>药品监督抽检批次（3分）</w:t>
            </w:r>
          </w:p>
        </w:tc>
        <w:tc>
          <w:tcPr>
            <w:tcW w:w="900" w:type="pct"/>
            <w:vAlign w:val="center"/>
          </w:tcPr>
          <w:p w14:paraId="044F9CC6">
            <w:pPr>
              <w:pStyle w:val="18"/>
              <w:bidi w:val="0"/>
              <w:rPr>
                <w:rFonts w:hint="eastAsia"/>
                <w:lang w:eastAsia="zh-CN"/>
              </w:rPr>
            </w:pPr>
            <w:r>
              <w:rPr>
                <w:rFonts w:hint="eastAsia"/>
                <w:lang w:eastAsia="zh-CN"/>
              </w:rPr>
              <w:t>主要评价部门（单位）在本年度对药品进行抽检的次数。</w:t>
            </w:r>
          </w:p>
        </w:tc>
        <w:tc>
          <w:tcPr>
            <w:tcW w:w="1189" w:type="pct"/>
            <w:vAlign w:val="center"/>
          </w:tcPr>
          <w:p w14:paraId="7D3E1D4F">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①抽检批次≥30次，得3分；</w:t>
            </w:r>
            <w:r>
              <w:rPr>
                <w:rFonts w:hint="eastAsia"/>
                <w:lang w:eastAsia="zh-CN"/>
              </w:rPr>
              <w:br w:type="textWrapping"/>
            </w:r>
            <w:r>
              <w:rPr>
                <w:rFonts w:hint="eastAsia"/>
                <w:lang w:eastAsia="zh-CN"/>
              </w:rPr>
              <w:t>②30次&gt;抽检批次≥25次，得2分；</w:t>
            </w:r>
            <w:r>
              <w:rPr>
                <w:rFonts w:hint="eastAsia"/>
                <w:lang w:eastAsia="zh-CN"/>
              </w:rPr>
              <w:br w:type="textWrapping"/>
            </w:r>
            <w:r>
              <w:rPr>
                <w:rFonts w:hint="eastAsia"/>
                <w:lang w:eastAsia="zh-CN"/>
              </w:rPr>
              <w:t>③25次&gt;抽检批次≥20次，得1分；</w:t>
            </w:r>
            <w:r>
              <w:rPr>
                <w:rFonts w:hint="eastAsia"/>
                <w:lang w:eastAsia="zh-CN"/>
              </w:rPr>
              <w:br w:type="textWrapping"/>
            </w:r>
            <w:r>
              <w:rPr>
                <w:rFonts w:hint="eastAsia"/>
                <w:lang w:eastAsia="zh-CN"/>
              </w:rPr>
              <w:t>④20次&gt;抽检批次，得0分。</w:t>
            </w:r>
          </w:p>
        </w:tc>
        <w:tc>
          <w:tcPr>
            <w:tcW w:w="561" w:type="pct"/>
            <w:vAlign w:val="center"/>
          </w:tcPr>
          <w:p w14:paraId="52F7678B">
            <w:pPr>
              <w:pStyle w:val="18"/>
              <w:bidi w:val="0"/>
              <w:rPr>
                <w:rFonts w:hint="eastAsia"/>
              </w:rPr>
            </w:pPr>
            <w:r>
              <w:rPr>
                <w:rFonts w:hint="eastAsia"/>
              </w:rPr>
              <w:t>3</w:t>
            </w:r>
          </w:p>
        </w:tc>
        <w:tc>
          <w:tcPr>
            <w:tcW w:w="561" w:type="pct"/>
            <w:vAlign w:val="center"/>
          </w:tcPr>
          <w:p w14:paraId="784C2578">
            <w:pPr>
              <w:pStyle w:val="18"/>
              <w:bidi w:val="0"/>
              <w:rPr>
                <w:rFonts w:hint="eastAsia"/>
              </w:rPr>
            </w:pPr>
            <w:r>
              <w:rPr>
                <w:rFonts w:hint="eastAsia"/>
              </w:rPr>
              <w:t>3</w:t>
            </w:r>
          </w:p>
        </w:tc>
      </w:tr>
      <w:tr w14:paraId="76E19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5601F1AF">
            <w:pPr>
              <w:pStyle w:val="18"/>
              <w:bidi w:val="0"/>
              <w:rPr>
                <w:rFonts w:hint="eastAsia"/>
              </w:rPr>
            </w:pPr>
          </w:p>
        </w:tc>
        <w:tc>
          <w:tcPr>
            <w:tcW w:w="560" w:type="pct"/>
            <w:vMerge w:val="continue"/>
            <w:vAlign w:val="center"/>
          </w:tcPr>
          <w:p w14:paraId="23A1AB21">
            <w:pPr>
              <w:pStyle w:val="18"/>
              <w:bidi w:val="0"/>
              <w:rPr>
                <w:rFonts w:hint="eastAsia"/>
              </w:rPr>
            </w:pPr>
          </w:p>
        </w:tc>
        <w:tc>
          <w:tcPr>
            <w:tcW w:w="665" w:type="pct"/>
            <w:vAlign w:val="center"/>
          </w:tcPr>
          <w:p w14:paraId="0C2EE1B1">
            <w:pPr>
              <w:pStyle w:val="18"/>
              <w:bidi w:val="0"/>
              <w:rPr>
                <w:rFonts w:hint="eastAsia"/>
                <w:lang w:eastAsia="zh-CN"/>
              </w:rPr>
            </w:pPr>
            <w:r>
              <w:rPr>
                <w:rFonts w:hint="eastAsia"/>
                <w:lang w:eastAsia="zh-CN"/>
              </w:rPr>
              <w:t>规范旅游市场检查力度（3分）</w:t>
            </w:r>
          </w:p>
        </w:tc>
        <w:tc>
          <w:tcPr>
            <w:tcW w:w="900" w:type="pct"/>
            <w:vAlign w:val="center"/>
          </w:tcPr>
          <w:p w14:paraId="7D94E876">
            <w:pPr>
              <w:pStyle w:val="18"/>
              <w:bidi w:val="0"/>
              <w:rPr>
                <w:rFonts w:hint="eastAsia"/>
                <w:lang w:eastAsia="zh-CN"/>
              </w:rPr>
            </w:pPr>
            <w:r>
              <w:rPr>
                <w:rFonts w:hint="eastAsia"/>
                <w:lang w:eastAsia="zh-CN"/>
              </w:rPr>
              <w:t>主要评价部门（单位）在本年度对在规范旅游市场中对酒店、旅馆开展检查，引导签订合规承诺书的酒店数量。</w:t>
            </w:r>
          </w:p>
        </w:tc>
        <w:tc>
          <w:tcPr>
            <w:tcW w:w="1189" w:type="pct"/>
            <w:vAlign w:val="center"/>
          </w:tcPr>
          <w:p w14:paraId="54A6FAAA">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①签订数量≥30家，得3分；</w:t>
            </w:r>
            <w:r>
              <w:rPr>
                <w:rFonts w:hint="eastAsia"/>
                <w:lang w:eastAsia="zh-CN"/>
              </w:rPr>
              <w:br w:type="textWrapping"/>
            </w:r>
            <w:r>
              <w:rPr>
                <w:rFonts w:hint="eastAsia"/>
                <w:lang w:eastAsia="zh-CN"/>
              </w:rPr>
              <w:t>②30家&gt;签订数量≥25家，得2分；</w:t>
            </w:r>
            <w:r>
              <w:rPr>
                <w:rFonts w:hint="eastAsia"/>
                <w:lang w:eastAsia="zh-CN"/>
              </w:rPr>
              <w:br w:type="textWrapping"/>
            </w:r>
            <w:r>
              <w:rPr>
                <w:rFonts w:hint="eastAsia"/>
                <w:lang w:eastAsia="zh-CN"/>
              </w:rPr>
              <w:t>③25家&gt;签订数量≥20家，得1分；</w:t>
            </w:r>
            <w:r>
              <w:rPr>
                <w:rFonts w:hint="eastAsia"/>
                <w:lang w:eastAsia="zh-CN"/>
              </w:rPr>
              <w:br w:type="textWrapping"/>
            </w:r>
            <w:r>
              <w:rPr>
                <w:rFonts w:hint="eastAsia"/>
                <w:lang w:eastAsia="zh-CN"/>
              </w:rPr>
              <w:t>④20家&gt;签订数量，得0分。</w:t>
            </w:r>
          </w:p>
        </w:tc>
        <w:tc>
          <w:tcPr>
            <w:tcW w:w="561" w:type="pct"/>
            <w:vAlign w:val="center"/>
          </w:tcPr>
          <w:p w14:paraId="24EB3915">
            <w:pPr>
              <w:pStyle w:val="18"/>
              <w:bidi w:val="0"/>
              <w:rPr>
                <w:rFonts w:hint="eastAsia"/>
              </w:rPr>
            </w:pPr>
            <w:r>
              <w:rPr>
                <w:rFonts w:hint="eastAsia"/>
              </w:rPr>
              <w:t>3</w:t>
            </w:r>
          </w:p>
        </w:tc>
        <w:tc>
          <w:tcPr>
            <w:tcW w:w="561" w:type="pct"/>
            <w:vAlign w:val="center"/>
          </w:tcPr>
          <w:p w14:paraId="6EF98EA0">
            <w:pPr>
              <w:pStyle w:val="18"/>
              <w:bidi w:val="0"/>
              <w:rPr>
                <w:rFonts w:hint="eastAsia"/>
              </w:rPr>
            </w:pPr>
            <w:r>
              <w:rPr>
                <w:rFonts w:hint="eastAsia"/>
              </w:rPr>
              <w:t>3</w:t>
            </w:r>
          </w:p>
        </w:tc>
      </w:tr>
      <w:tr w14:paraId="7DE8C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46C0F462">
            <w:pPr>
              <w:pStyle w:val="18"/>
              <w:bidi w:val="0"/>
              <w:rPr>
                <w:rFonts w:hint="eastAsia"/>
              </w:rPr>
            </w:pPr>
          </w:p>
        </w:tc>
        <w:tc>
          <w:tcPr>
            <w:tcW w:w="560" w:type="pct"/>
            <w:vMerge w:val="continue"/>
            <w:vAlign w:val="center"/>
          </w:tcPr>
          <w:p w14:paraId="736C2B7D">
            <w:pPr>
              <w:pStyle w:val="18"/>
              <w:bidi w:val="0"/>
              <w:rPr>
                <w:rFonts w:hint="eastAsia"/>
              </w:rPr>
            </w:pPr>
          </w:p>
        </w:tc>
        <w:tc>
          <w:tcPr>
            <w:tcW w:w="665" w:type="pct"/>
            <w:vAlign w:val="center"/>
          </w:tcPr>
          <w:p w14:paraId="17CD5D16">
            <w:pPr>
              <w:pStyle w:val="18"/>
              <w:bidi w:val="0"/>
              <w:rPr>
                <w:rFonts w:hint="eastAsia"/>
              </w:rPr>
            </w:pPr>
            <w:r>
              <w:rPr>
                <w:rFonts w:hint="eastAsia"/>
              </w:rPr>
              <w:t>政策知晓率（3分）</w:t>
            </w:r>
          </w:p>
        </w:tc>
        <w:tc>
          <w:tcPr>
            <w:tcW w:w="900" w:type="pct"/>
            <w:vAlign w:val="center"/>
          </w:tcPr>
          <w:p w14:paraId="3C78E671">
            <w:pPr>
              <w:pStyle w:val="18"/>
              <w:bidi w:val="0"/>
              <w:rPr>
                <w:rFonts w:hint="eastAsia"/>
                <w:lang w:eastAsia="zh-CN"/>
              </w:rPr>
            </w:pPr>
            <w:r>
              <w:rPr>
                <w:rFonts w:hint="eastAsia"/>
                <w:lang w:eastAsia="zh-CN"/>
              </w:rPr>
              <w:t>主要评价部门（单位）在本年度，群众、消费者、企业对市场监督管理局的监管政策知晓程度。</w:t>
            </w:r>
          </w:p>
        </w:tc>
        <w:tc>
          <w:tcPr>
            <w:tcW w:w="1189" w:type="pct"/>
            <w:vAlign w:val="center"/>
          </w:tcPr>
          <w:p w14:paraId="052D418A">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①政策知晓度高，得3分；</w:t>
            </w:r>
            <w:r>
              <w:rPr>
                <w:rFonts w:hint="eastAsia"/>
                <w:lang w:eastAsia="zh-CN"/>
              </w:rPr>
              <w:br w:type="textWrapping"/>
            </w:r>
            <w:r>
              <w:rPr>
                <w:rFonts w:hint="eastAsia"/>
                <w:lang w:eastAsia="zh-CN"/>
              </w:rPr>
              <w:t>②政策知晓度较高，得2分；</w:t>
            </w:r>
            <w:r>
              <w:rPr>
                <w:rFonts w:hint="eastAsia"/>
                <w:lang w:eastAsia="zh-CN"/>
              </w:rPr>
              <w:br w:type="textWrapping"/>
            </w:r>
            <w:r>
              <w:rPr>
                <w:rFonts w:hint="eastAsia"/>
                <w:lang w:eastAsia="zh-CN"/>
              </w:rPr>
              <w:t>③政策知晓度一般，得1分；</w:t>
            </w:r>
            <w:r>
              <w:rPr>
                <w:rFonts w:hint="eastAsia"/>
                <w:lang w:eastAsia="zh-CN"/>
              </w:rPr>
              <w:br w:type="textWrapping"/>
            </w:r>
            <w:r>
              <w:rPr>
                <w:rFonts w:hint="eastAsia"/>
                <w:lang w:eastAsia="zh-CN"/>
              </w:rPr>
              <w:t>④政策知晓度较低，得0分。</w:t>
            </w:r>
          </w:p>
        </w:tc>
        <w:tc>
          <w:tcPr>
            <w:tcW w:w="561" w:type="pct"/>
            <w:vAlign w:val="center"/>
          </w:tcPr>
          <w:p w14:paraId="3437FF5C">
            <w:pPr>
              <w:pStyle w:val="18"/>
              <w:bidi w:val="0"/>
              <w:rPr>
                <w:rFonts w:hint="eastAsia"/>
              </w:rPr>
            </w:pPr>
            <w:r>
              <w:rPr>
                <w:rFonts w:hint="eastAsia"/>
              </w:rPr>
              <w:t>3</w:t>
            </w:r>
          </w:p>
        </w:tc>
        <w:tc>
          <w:tcPr>
            <w:tcW w:w="561" w:type="pct"/>
            <w:vAlign w:val="center"/>
          </w:tcPr>
          <w:p w14:paraId="634C370C">
            <w:pPr>
              <w:pStyle w:val="18"/>
              <w:bidi w:val="0"/>
              <w:rPr>
                <w:rFonts w:hint="eastAsia"/>
              </w:rPr>
            </w:pPr>
            <w:r>
              <w:rPr>
                <w:rFonts w:hint="eastAsia"/>
              </w:rPr>
              <w:t>3</w:t>
            </w:r>
          </w:p>
        </w:tc>
      </w:tr>
      <w:tr w14:paraId="1D13C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65BE36AC">
            <w:pPr>
              <w:pStyle w:val="18"/>
              <w:bidi w:val="0"/>
              <w:rPr>
                <w:rFonts w:hint="eastAsia"/>
              </w:rPr>
            </w:pPr>
          </w:p>
        </w:tc>
        <w:tc>
          <w:tcPr>
            <w:tcW w:w="560" w:type="pct"/>
            <w:vMerge w:val="continue"/>
            <w:vAlign w:val="center"/>
          </w:tcPr>
          <w:p w14:paraId="4D4459E6">
            <w:pPr>
              <w:pStyle w:val="18"/>
              <w:bidi w:val="0"/>
              <w:rPr>
                <w:rFonts w:hint="eastAsia"/>
              </w:rPr>
            </w:pPr>
          </w:p>
        </w:tc>
        <w:tc>
          <w:tcPr>
            <w:tcW w:w="665" w:type="pct"/>
            <w:vAlign w:val="center"/>
          </w:tcPr>
          <w:p w14:paraId="5239983B">
            <w:pPr>
              <w:pStyle w:val="18"/>
              <w:bidi w:val="0"/>
              <w:rPr>
                <w:rFonts w:hint="eastAsia"/>
                <w:lang w:eastAsia="zh-CN"/>
              </w:rPr>
            </w:pPr>
            <w:r>
              <w:rPr>
                <w:rFonts w:hint="eastAsia"/>
                <w:lang w:eastAsia="zh-CN"/>
              </w:rPr>
              <w:t>查处电动车违法案件数量（3分）</w:t>
            </w:r>
          </w:p>
        </w:tc>
        <w:tc>
          <w:tcPr>
            <w:tcW w:w="900" w:type="pct"/>
            <w:vAlign w:val="center"/>
          </w:tcPr>
          <w:p w14:paraId="0691FACF">
            <w:pPr>
              <w:pStyle w:val="18"/>
              <w:bidi w:val="0"/>
              <w:rPr>
                <w:rFonts w:hint="eastAsia"/>
                <w:lang w:eastAsia="zh-CN"/>
              </w:rPr>
            </w:pPr>
            <w:r>
              <w:rPr>
                <w:rFonts w:hint="eastAsia"/>
                <w:lang w:eastAsia="zh-CN"/>
              </w:rPr>
              <w:t>主要评价部门（单位）在本年度查处关于电动车违法案件的数量。</w:t>
            </w:r>
          </w:p>
        </w:tc>
        <w:tc>
          <w:tcPr>
            <w:tcW w:w="1189" w:type="pct"/>
            <w:vAlign w:val="center"/>
          </w:tcPr>
          <w:p w14:paraId="294F95D7">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①案件数量≥18件，得3分；</w:t>
            </w:r>
            <w:r>
              <w:rPr>
                <w:rFonts w:hint="eastAsia"/>
                <w:lang w:eastAsia="zh-CN"/>
              </w:rPr>
              <w:br w:type="textWrapping"/>
            </w:r>
            <w:r>
              <w:rPr>
                <w:rFonts w:hint="eastAsia"/>
                <w:lang w:eastAsia="zh-CN"/>
              </w:rPr>
              <w:t>②18件&gt;案件数量≥15件，得2分；</w:t>
            </w:r>
            <w:r>
              <w:rPr>
                <w:rFonts w:hint="eastAsia"/>
                <w:lang w:eastAsia="zh-CN"/>
              </w:rPr>
              <w:br w:type="textWrapping"/>
            </w:r>
            <w:r>
              <w:rPr>
                <w:rFonts w:hint="eastAsia"/>
                <w:lang w:eastAsia="zh-CN"/>
              </w:rPr>
              <w:t>③15件&gt;案件数量≥13件，得1分；</w:t>
            </w:r>
            <w:r>
              <w:rPr>
                <w:rFonts w:hint="eastAsia"/>
                <w:lang w:eastAsia="zh-CN"/>
              </w:rPr>
              <w:br w:type="textWrapping"/>
            </w:r>
            <w:r>
              <w:rPr>
                <w:rFonts w:hint="eastAsia"/>
                <w:lang w:eastAsia="zh-CN"/>
              </w:rPr>
              <w:t>④13件&gt;案件数量，得0分。</w:t>
            </w:r>
          </w:p>
        </w:tc>
        <w:tc>
          <w:tcPr>
            <w:tcW w:w="561" w:type="pct"/>
            <w:vAlign w:val="center"/>
          </w:tcPr>
          <w:p w14:paraId="6D342D3F">
            <w:pPr>
              <w:pStyle w:val="18"/>
              <w:bidi w:val="0"/>
              <w:rPr>
                <w:rFonts w:hint="eastAsia"/>
              </w:rPr>
            </w:pPr>
            <w:r>
              <w:rPr>
                <w:rFonts w:hint="eastAsia"/>
              </w:rPr>
              <w:t>3</w:t>
            </w:r>
          </w:p>
        </w:tc>
        <w:tc>
          <w:tcPr>
            <w:tcW w:w="561" w:type="pct"/>
            <w:vAlign w:val="center"/>
          </w:tcPr>
          <w:p w14:paraId="05B8C96B">
            <w:pPr>
              <w:pStyle w:val="18"/>
              <w:bidi w:val="0"/>
              <w:rPr>
                <w:rFonts w:hint="eastAsia"/>
              </w:rPr>
            </w:pPr>
            <w:r>
              <w:rPr>
                <w:rFonts w:hint="eastAsia"/>
              </w:rPr>
              <w:t>3</w:t>
            </w:r>
          </w:p>
        </w:tc>
      </w:tr>
      <w:tr w14:paraId="7E962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1AD33AA9">
            <w:pPr>
              <w:pStyle w:val="18"/>
              <w:bidi w:val="0"/>
              <w:rPr>
                <w:rFonts w:hint="eastAsia"/>
              </w:rPr>
            </w:pPr>
          </w:p>
        </w:tc>
        <w:tc>
          <w:tcPr>
            <w:tcW w:w="560" w:type="pct"/>
            <w:vMerge w:val="restart"/>
            <w:vAlign w:val="center"/>
          </w:tcPr>
          <w:p w14:paraId="347E2802">
            <w:pPr>
              <w:pStyle w:val="18"/>
              <w:bidi w:val="0"/>
              <w:rPr>
                <w:rFonts w:hint="eastAsia"/>
              </w:rPr>
            </w:pPr>
            <w:r>
              <w:rPr>
                <w:rFonts w:hint="eastAsia"/>
              </w:rPr>
              <w:t>经济效益</w:t>
            </w:r>
            <w:r>
              <w:rPr>
                <w:rFonts w:hint="eastAsia"/>
                <w:lang w:eastAsia="zh-CN"/>
              </w:rPr>
              <w:t>（</w:t>
            </w:r>
            <w:r>
              <w:rPr>
                <w:rFonts w:hint="eastAsia"/>
              </w:rPr>
              <w:t>6分）</w:t>
            </w:r>
          </w:p>
        </w:tc>
        <w:tc>
          <w:tcPr>
            <w:tcW w:w="665" w:type="pct"/>
            <w:vAlign w:val="center"/>
          </w:tcPr>
          <w:p w14:paraId="66D19A8F">
            <w:pPr>
              <w:pStyle w:val="18"/>
              <w:bidi w:val="0"/>
              <w:rPr>
                <w:rFonts w:hint="eastAsia"/>
                <w:lang w:eastAsia="zh-CN"/>
              </w:rPr>
            </w:pPr>
            <w:r>
              <w:rPr>
                <w:rFonts w:hint="eastAsia"/>
                <w:lang w:eastAsia="zh-CN"/>
              </w:rPr>
              <w:t>查处知识产权案件涉案金额（3分）</w:t>
            </w:r>
          </w:p>
        </w:tc>
        <w:tc>
          <w:tcPr>
            <w:tcW w:w="900" w:type="pct"/>
            <w:vAlign w:val="center"/>
          </w:tcPr>
          <w:p w14:paraId="122344E1">
            <w:pPr>
              <w:pStyle w:val="18"/>
              <w:bidi w:val="0"/>
              <w:rPr>
                <w:rFonts w:hint="eastAsia"/>
                <w:lang w:eastAsia="zh-CN"/>
              </w:rPr>
            </w:pPr>
            <w:r>
              <w:rPr>
                <w:rFonts w:hint="eastAsia"/>
                <w:lang w:eastAsia="zh-CN"/>
              </w:rPr>
              <w:t>主要评价部门（单位）在本年度查处知识产权案件的涉案金额。</w:t>
            </w:r>
          </w:p>
        </w:tc>
        <w:tc>
          <w:tcPr>
            <w:tcW w:w="1189" w:type="pct"/>
            <w:vAlign w:val="center"/>
          </w:tcPr>
          <w:p w14:paraId="6E1638E9">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①涉案金额≥14万元，得3分；</w:t>
            </w:r>
            <w:r>
              <w:rPr>
                <w:rFonts w:hint="eastAsia"/>
                <w:lang w:eastAsia="zh-CN"/>
              </w:rPr>
              <w:br w:type="textWrapping"/>
            </w:r>
            <w:r>
              <w:rPr>
                <w:rFonts w:hint="eastAsia"/>
                <w:lang w:eastAsia="zh-CN"/>
              </w:rPr>
              <w:t>②14万元&gt;涉案金额≥13万元，得2分；</w:t>
            </w:r>
            <w:r>
              <w:rPr>
                <w:rFonts w:hint="eastAsia"/>
                <w:lang w:eastAsia="zh-CN"/>
              </w:rPr>
              <w:br w:type="textWrapping"/>
            </w:r>
            <w:r>
              <w:rPr>
                <w:rFonts w:hint="eastAsia"/>
                <w:lang w:eastAsia="zh-CN"/>
              </w:rPr>
              <w:t>③13万元&gt;涉案金额≥12万元，得1分；</w:t>
            </w:r>
            <w:r>
              <w:rPr>
                <w:rFonts w:hint="eastAsia"/>
                <w:lang w:eastAsia="zh-CN"/>
              </w:rPr>
              <w:br w:type="textWrapping"/>
            </w:r>
            <w:r>
              <w:rPr>
                <w:rFonts w:hint="eastAsia"/>
                <w:lang w:eastAsia="zh-CN"/>
              </w:rPr>
              <w:t>④12万元&gt;涉案金额，得0分。</w:t>
            </w:r>
          </w:p>
        </w:tc>
        <w:tc>
          <w:tcPr>
            <w:tcW w:w="561" w:type="pct"/>
            <w:vAlign w:val="center"/>
          </w:tcPr>
          <w:p w14:paraId="6592464B">
            <w:pPr>
              <w:pStyle w:val="18"/>
              <w:bidi w:val="0"/>
              <w:rPr>
                <w:rFonts w:hint="eastAsia"/>
              </w:rPr>
            </w:pPr>
            <w:r>
              <w:rPr>
                <w:rFonts w:hint="eastAsia"/>
              </w:rPr>
              <w:t>3</w:t>
            </w:r>
          </w:p>
        </w:tc>
        <w:tc>
          <w:tcPr>
            <w:tcW w:w="561" w:type="pct"/>
            <w:vAlign w:val="center"/>
          </w:tcPr>
          <w:p w14:paraId="379F8AA1">
            <w:pPr>
              <w:pStyle w:val="18"/>
              <w:bidi w:val="0"/>
              <w:rPr>
                <w:rFonts w:hint="eastAsia"/>
              </w:rPr>
            </w:pPr>
            <w:r>
              <w:rPr>
                <w:rFonts w:hint="eastAsia"/>
              </w:rPr>
              <w:t>3</w:t>
            </w:r>
          </w:p>
        </w:tc>
      </w:tr>
      <w:tr w14:paraId="551A1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6119E50E">
            <w:pPr>
              <w:pStyle w:val="18"/>
              <w:bidi w:val="0"/>
              <w:rPr>
                <w:rFonts w:hint="eastAsia"/>
              </w:rPr>
            </w:pPr>
          </w:p>
        </w:tc>
        <w:tc>
          <w:tcPr>
            <w:tcW w:w="560" w:type="pct"/>
            <w:vMerge w:val="continue"/>
            <w:vAlign w:val="center"/>
          </w:tcPr>
          <w:p w14:paraId="3975341C">
            <w:pPr>
              <w:pStyle w:val="18"/>
              <w:bidi w:val="0"/>
              <w:rPr>
                <w:rFonts w:hint="eastAsia"/>
              </w:rPr>
            </w:pPr>
          </w:p>
        </w:tc>
        <w:tc>
          <w:tcPr>
            <w:tcW w:w="665" w:type="pct"/>
            <w:vAlign w:val="center"/>
          </w:tcPr>
          <w:p w14:paraId="605CF0D5">
            <w:pPr>
              <w:pStyle w:val="18"/>
              <w:bidi w:val="0"/>
              <w:rPr>
                <w:rFonts w:hint="eastAsia"/>
                <w:lang w:eastAsia="zh-CN"/>
              </w:rPr>
            </w:pPr>
            <w:r>
              <w:rPr>
                <w:rFonts w:hint="eastAsia"/>
                <w:lang w:eastAsia="zh-CN"/>
              </w:rPr>
              <w:t>下达知识产权补贴金额（3分）</w:t>
            </w:r>
          </w:p>
        </w:tc>
        <w:tc>
          <w:tcPr>
            <w:tcW w:w="900" w:type="pct"/>
            <w:vAlign w:val="center"/>
          </w:tcPr>
          <w:p w14:paraId="68901356">
            <w:pPr>
              <w:pStyle w:val="18"/>
              <w:bidi w:val="0"/>
              <w:rPr>
                <w:rFonts w:hint="eastAsia"/>
                <w:lang w:eastAsia="zh-CN"/>
              </w:rPr>
            </w:pPr>
            <w:r>
              <w:rPr>
                <w:rFonts w:hint="eastAsia"/>
                <w:lang w:eastAsia="zh-CN"/>
              </w:rPr>
              <w:t>主要评价部门（单位）在本年度对申报知识产权的企业进行补贴的金额。</w:t>
            </w:r>
          </w:p>
        </w:tc>
        <w:tc>
          <w:tcPr>
            <w:tcW w:w="1189" w:type="pct"/>
            <w:vAlign w:val="center"/>
          </w:tcPr>
          <w:p w14:paraId="7A42C306">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①知识产权金≥40万元，得3分；</w:t>
            </w:r>
            <w:r>
              <w:rPr>
                <w:rFonts w:hint="eastAsia"/>
                <w:lang w:eastAsia="zh-CN"/>
              </w:rPr>
              <w:br w:type="textWrapping"/>
            </w:r>
            <w:r>
              <w:rPr>
                <w:rFonts w:hint="eastAsia"/>
                <w:lang w:eastAsia="zh-CN"/>
              </w:rPr>
              <w:t>②40万元&gt;知识产权金≥35万元，得2分；</w:t>
            </w:r>
            <w:r>
              <w:rPr>
                <w:rFonts w:hint="eastAsia"/>
                <w:lang w:eastAsia="zh-CN"/>
              </w:rPr>
              <w:br w:type="textWrapping"/>
            </w:r>
            <w:r>
              <w:rPr>
                <w:rFonts w:hint="eastAsia"/>
                <w:lang w:eastAsia="zh-CN"/>
              </w:rPr>
              <w:t>③35万元&gt;知识产权金≥30万元，得1分；</w:t>
            </w:r>
            <w:r>
              <w:rPr>
                <w:rFonts w:hint="eastAsia"/>
                <w:lang w:eastAsia="zh-CN"/>
              </w:rPr>
              <w:br w:type="textWrapping"/>
            </w:r>
            <w:r>
              <w:rPr>
                <w:rFonts w:hint="eastAsia"/>
                <w:lang w:eastAsia="zh-CN"/>
              </w:rPr>
              <w:t>④30万元&gt;知识产权金，得0分。</w:t>
            </w:r>
          </w:p>
        </w:tc>
        <w:tc>
          <w:tcPr>
            <w:tcW w:w="561" w:type="pct"/>
            <w:vAlign w:val="center"/>
          </w:tcPr>
          <w:p w14:paraId="6E40B5E3">
            <w:pPr>
              <w:pStyle w:val="18"/>
              <w:bidi w:val="0"/>
              <w:rPr>
                <w:rFonts w:hint="eastAsia"/>
              </w:rPr>
            </w:pPr>
            <w:r>
              <w:rPr>
                <w:rFonts w:hint="eastAsia"/>
              </w:rPr>
              <w:t>3</w:t>
            </w:r>
          </w:p>
        </w:tc>
        <w:tc>
          <w:tcPr>
            <w:tcW w:w="561" w:type="pct"/>
            <w:vAlign w:val="center"/>
          </w:tcPr>
          <w:p w14:paraId="438EB748">
            <w:pPr>
              <w:pStyle w:val="18"/>
              <w:bidi w:val="0"/>
              <w:rPr>
                <w:rFonts w:hint="eastAsia"/>
              </w:rPr>
            </w:pPr>
            <w:r>
              <w:rPr>
                <w:rFonts w:hint="eastAsia"/>
              </w:rPr>
              <w:t>3</w:t>
            </w:r>
          </w:p>
        </w:tc>
      </w:tr>
      <w:tr w14:paraId="754EE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560" w:type="pct"/>
            <w:vMerge w:val="continue"/>
            <w:vAlign w:val="center"/>
          </w:tcPr>
          <w:p w14:paraId="65A573FF">
            <w:pPr>
              <w:pStyle w:val="18"/>
              <w:bidi w:val="0"/>
              <w:rPr>
                <w:rFonts w:hint="eastAsia"/>
              </w:rPr>
            </w:pPr>
          </w:p>
        </w:tc>
        <w:tc>
          <w:tcPr>
            <w:tcW w:w="560" w:type="pct"/>
            <w:vAlign w:val="center"/>
          </w:tcPr>
          <w:p w14:paraId="175FF2E7">
            <w:pPr>
              <w:pStyle w:val="18"/>
              <w:bidi w:val="0"/>
              <w:rPr>
                <w:rFonts w:hint="eastAsia"/>
              </w:rPr>
            </w:pPr>
            <w:r>
              <w:rPr>
                <w:rFonts w:hint="eastAsia"/>
              </w:rPr>
              <w:t>满意度（4分）</w:t>
            </w:r>
          </w:p>
        </w:tc>
        <w:tc>
          <w:tcPr>
            <w:tcW w:w="665" w:type="pct"/>
            <w:vAlign w:val="center"/>
          </w:tcPr>
          <w:p w14:paraId="56F645A8">
            <w:pPr>
              <w:pStyle w:val="18"/>
              <w:bidi w:val="0"/>
              <w:rPr>
                <w:rFonts w:hint="eastAsia"/>
                <w:lang w:eastAsia="zh-CN"/>
              </w:rPr>
            </w:pPr>
            <w:r>
              <w:rPr>
                <w:rFonts w:hint="eastAsia"/>
                <w:lang w:eastAsia="zh-CN"/>
              </w:rPr>
              <w:t>群众的满意度情况（4分）</w:t>
            </w:r>
          </w:p>
        </w:tc>
        <w:tc>
          <w:tcPr>
            <w:tcW w:w="900" w:type="pct"/>
            <w:vAlign w:val="center"/>
          </w:tcPr>
          <w:p w14:paraId="40DB31A5">
            <w:pPr>
              <w:pStyle w:val="18"/>
              <w:bidi w:val="0"/>
              <w:rPr>
                <w:rFonts w:hint="eastAsia"/>
                <w:lang w:eastAsia="zh-CN"/>
              </w:rPr>
            </w:pPr>
            <w:r>
              <w:rPr>
                <w:lang w:eastAsia="zh-CN"/>
              </w:rPr>
              <w:t>主要评价群众</w:t>
            </w:r>
            <w:r>
              <w:rPr>
                <w:rFonts w:hint="eastAsia"/>
                <w:lang w:eastAsia="zh-CN"/>
              </w:rPr>
              <w:t>对泉州市洛江区市场监督管理局</w:t>
            </w:r>
            <w:r>
              <w:rPr>
                <w:lang w:eastAsia="zh-CN"/>
              </w:rPr>
              <w:t>的工作是否感到满意。</w:t>
            </w:r>
          </w:p>
        </w:tc>
        <w:tc>
          <w:tcPr>
            <w:tcW w:w="1189" w:type="pct"/>
            <w:vAlign w:val="center"/>
          </w:tcPr>
          <w:p w14:paraId="340C6B32">
            <w:pPr>
              <w:pStyle w:val="18"/>
              <w:bidi w:val="0"/>
              <w:rPr>
                <w:rFonts w:hint="eastAsia"/>
                <w:lang w:eastAsia="zh-CN"/>
              </w:rPr>
            </w:pPr>
            <w:r>
              <w:rPr>
                <w:rFonts w:hint="eastAsia"/>
                <w:lang w:eastAsia="zh-CN"/>
              </w:rPr>
              <w:t>评价要点：</w:t>
            </w:r>
            <w:r>
              <w:rPr>
                <w:rFonts w:hint="eastAsia"/>
                <w:lang w:eastAsia="zh-CN"/>
              </w:rPr>
              <w:br w:type="textWrapping"/>
            </w:r>
            <w:r>
              <w:rPr>
                <w:rFonts w:hint="eastAsia"/>
                <w:lang w:eastAsia="zh-CN"/>
              </w:rPr>
              <w:t>①非常满意；</w:t>
            </w:r>
            <w:r>
              <w:rPr>
                <w:rFonts w:hint="eastAsia"/>
                <w:lang w:eastAsia="zh-CN"/>
              </w:rPr>
              <w:br w:type="textWrapping"/>
            </w:r>
            <w:r>
              <w:rPr>
                <w:rFonts w:hint="eastAsia"/>
                <w:lang w:eastAsia="zh-CN"/>
              </w:rPr>
              <w:t>②基本满意；</w:t>
            </w:r>
            <w:r>
              <w:rPr>
                <w:rFonts w:hint="eastAsia"/>
                <w:lang w:eastAsia="zh-CN"/>
              </w:rPr>
              <w:br w:type="textWrapping"/>
            </w:r>
            <w:r>
              <w:rPr>
                <w:rFonts w:hint="eastAsia"/>
                <w:lang w:eastAsia="zh-CN"/>
              </w:rPr>
              <w:t>③一般满意；</w:t>
            </w:r>
            <w:r>
              <w:rPr>
                <w:rFonts w:hint="eastAsia"/>
                <w:lang w:eastAsia="zh-CN"/>
              </w:rPr>
              <w:br w:type="textWrapping"/>
            </w:r>
            <w:r>
              <w:rPr>
                <w:rFonts w:hint="eastAsia"/>
                <w:lang w:eastAsia="zh-CN"/>
              </w:rPr>
              <w:t>④不满意。</w:t>
            </w:r>
            <w:r>
              <w:rPr>
                <w:rFonts w:hint="eastAsia"/>
                <w:lang w:eastAsia="zh-CN"/>
              </w:rPr>
              <w:br w:type="textWrapping"/>
            </w:r>
            <w:r>
              <w:rPr>
                <w:rFonts w:hint="eastAsia"/>
                <w:lang w:eastAsia="zh-CN"/>
              </w:rPr>
              <w:t>非常满意4分，基本满意3分，一般满意2分，不满意1分。</w:t>
            </w:r>
          </w:p>
        </w:tc>
        <w:tc>
          <w:tcPr>
            <w:tcW w:w="561" w:type="pct"/>
            <w:vAlign w:val="center"/>
          </w:tcPr>
          <w:p w14:paraId="5B79385A">
            <w:pPr>
              <w:pStyle w:val="18"/>
              <w:bidi w:val="0"/>
              <w:rPr>
                <w:rFonts w:hint="eastAsia"/>
              </w:rPr>
            </w:pPr>
            <w:r>
              <w:rPr>
                <w:rFonts w:hint="eastAsia"/>
              </w:rPr>
              <w:t>4</w:t>
            </w:r>
          </w:p>
        </w:tc>
        <w:tc>
          <w:tcPr>
            <w:tcW w:w="561" w:type="pct"/>
            <w:vAlign w:val="center"/>
          </w:tcPr>
          <w:p w14:paraId="5473B0B5">
            <w:pPr>
              <w:pStyle w:val="18"/>
              <w:bidi w:val="0"/>
              <w:rPr>
                <w:rFonts w:hint="eastAsia"/>
              </w:rPr>
            </w:pPr>
            <w:r>
              <w:rPr>
                <w:rFonts w:hint="eastAsia"/>
              </w:rPr>
              <w:t>4</w:t>
            </w:r>
          </w:p>
        </w:tc>
      </w:tr>
      <w:tr w14:paraId="4BDD1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trPr>
        <w:tc>
          <w:tcPr>
            <w:tcW w:w="3877" w:type="pct"/>
            <w:gridSpan w:val="5"/>
            <w:vAlign w:val="center"/>
          </w:tcPr>
          <w:p w14:paraId="6FB4BA44">
            <w:pPr>
              <w:pStyle w:val="18"/>
              <w:bidi w:val="0"/>
              <w:rPr>
                <w:rFonts w:hint="eastAsia"/>
              </w:rPr>
            </w:pPr>
            <w:r>
              <w:rPr>
                <w:rFonts w:hint="eastAsia"/>
                <w:lang w:eastAsia="zh-CN"/>
              </w:rPr>
              <w:t>总得分</w:t>
            </w:r>
          </w:p>
        </w:tc>
        <w:tc>
          <w:tcPr>
            <w:tcW w:w="1122" w:type="pct"/>
            <w:gridSpan w:val="2"/>
            <w:vAlign w:val="center"/>
          </w:tcPr>
          <w:p w14:paraId="035AC24F">
            <w:pPr>
              <w:pStyle w:val="18"/>
              <w:bidi w:val="0"/>
              <w:rPr>
                <w:rFonts w:hint="eastAsia"/>
                <w:lang w:eastAsia="zh-CN"/>
              </w:rPr>
            </w:pPr>
            <w:r>
              <w:rPr>
                <w:lang w:eastAsia="zh-CN"/>
              </w:rPr>
              <w:t>85.28</w:t>
            </w:r>
          </w:p>
        </w:tc>
      </w:tr>
      <w:bookmarkEnd w:id="0"/>
    </w:tbl>
    <w:p w14:paraId="7AE46DC6">
      <w:pPr>
        <w:widowControl w:val="0"/>
        <w:overflowPunct w:val="0"/>
        <w:snapToGrid/>
        <w:spacing w:line="360" w:lineRule="auto"/>
        <w:rPr>
          <w:rFonts w:hint="eastAsia" w:ascii="仿宋" w:hAnsi="仿宋" w:eastAsia="仿宋" w:cs="仿宋"/>
          <w:b/>
          <w:bCs/>
          <w:color w:val="auto"/>
          <w:spacing w:val="-1"/>
          <w:lang w:eastAsia="zh-CN"/>
          <w14:textOutline w14:w="5105" w14:cap="sq" w14:cmpd="sng" w14:algn="ctr">
            <w14:solidFill>
              <w14:srgbClr w14:val="000000"/>
            </w14:solidFill>
            <w14:prstDash w14:val="solid"/>
            <w14:bevel/>
          </w14:textOutline>
        </w:rPr>
      </w:pPr>
    </w:p>
    <w:p w14:paraId="0489D1DC">
      <w:pPr>
        <w:bidi w:val="0"/>
      </w:pPr>
    </w:p>
    <w:sectPr>
      <w:headerReference r:id="rId9" w:type="default"/>
      <w:footerReference r:id="rId10" w:type="default"/>
      <w:pgSz w:w="11906" w:h="16839"/>
      <w:pgMar w:top="1440" w:right="1800" w:bottom="1440" w:left="1800" w:header="0" w:footer="987" w:gutter="0"/>
      <w:pgNumType w:fmt="decimal"/>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 w:name="楷体_GB2312">
    <w:panose1 w:val="02010609030101010101"/>
    <w:charset w:val="86"/>
    <w:family w:val="auto"/>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方正小标宋_GBK">
    <w:altName w:val="Arial Unicode MS"/>
    <w:panose1 w:val="03000509000000000000"/>
    <w:charset w:val="86"/>
    <w:family w:val="auto"/>
    <w:pitch w:val="default"/>
    <w:sig w:usb0="00000000" w:usb1="00000000" w:usb2="00000000" w:usb3="00000000" w:csb0="00040000"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959D56">
    <w:pPr>
      <w:tabs>
        <w:tab w:val="center" w:pos="4153"/>
        <w:tab w:val="right" w:pos="8306"/>
      </w:tabs>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F30486">
    <w:pPr>
      <w:tabs>
        <w:tab w:val="center" w:pos="4153"/>
        <w:tab w:val="right" w:pos="8306"/>
      </w:tabs>
    </w:pPr>
    <w:r>
      <w:rPr>
        <w:sz w:val="2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ED9909">
                          <w:pPr>
                            <w:pStyle w:val="8"/>
                            <w:ind w:left="0" w:leftChars="0" w:firstLine="0" w:firstLineChars="0"/>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3DED9909">
                    <w:pPr>
                      <w:pStyle w:val="8"/>
                      <w:ind w:left="0" w:leftChars="0" w:firstLine="0" w:firstLineChars="0"/>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04F760">
    <w:pPr>
      <w:tabs>
        <w:tab w:val="center" w:pos="4153"/>
        <w:tab w:val="right" w:pos="8306"/>
      </w:tabs>
      <w:ind w:left="0" w:leftChars="0" w:firstLine="0" w:firstLineChars="0"/>
    </w:pPr>
    <w:r>
      <w:rPr>
        <w:sz w:val="2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2FE287A">
                          <w:pPr>
                            <w:pStyle w:val="8"/>
                          </w:pPr>
                          <w:r>
                            <w:fldChar w:fldCharType="begin"/>
                          </w:r>
                          <w:r>
                            <w:instrText xml:space="preserve"> PAGE  \* MERGEFORMAT </w:instrText>
                          </w:r>
                          <w:r>
                            <w:fldChar w:fldCharType="separate"/>
                          </w:r>
                          <w:r>
                            <w:t>32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02FE287A">
                    <w:pPr>
                      <w:pStyle w:val="8"/>
                    </w:pPr>
                    <w:r>
                      <w:fldChar w:fldCharType="begin"/>
                    </w:r>
                    <w:r>
                      <w:instrText xml:space="preserve"> PAGE  \* MERGEFORMAT </w:instrText>
                    </w:r>
                    <w:r>
                      <w:fldChar w:fldCharType="separate"/>
                    </w:r>
                    <w:r>
                      <w:t>32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560"/>
      </w:pPr>
      <w:r>
        <w:separator/>
      </w:r>
    </w:p>
  </w:footnote>
  <w:footnote w:type="continuationSeparator" w:id="1">
    <w:p>
      <w:pPr>
        <w:spacing w:line="24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4DF160">
    <w:pPr>
      <w:pBdr>
        <w:bottom w:val="none" w:color="auto" w:sz="0" w:space="0"/>
      </w:pBdr>
      <w:tabs>
        <w:tab w:val="center" w:pos="4153"/>
        <w:tab w:val="right" w:pos="8306"/>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CD04DF">
    <w:pPr>
      <w:pBdr>
        <w:bottom w:val="none" w:color="auto" w:sz="0" w:space="0"/>
      </w:pBdr>
      <w:tabs>
        <w:tab w:val="center" w:pos="4153"/>
        <w:tab w:val="right" w:pos="8306"/>
      </w:tab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37609E">
    <w:pPr>
      <w:pBdr>
        <w:bottom w:val="none" w:color="auto" w:sz="0" w:space="0"/>
      </w:pBdr>
      <w:tabs>
        <w:tab w:val="center" w:pos="4153"/>
        <w:tab w:val="right" w:pos="8306"/>
      </w:tabs>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D773353"/>
    <w:rsid w:val="01E22630"/>
    <w:rsid w:val="08EF3312"/>
    <w:rsid w:val="170225BE"/>
    <w:rsid w:val="1A3336FA"/>
    <w:rsid w:val="1B8204FE"/>
    <w:rsid w:val="1D773353"/>
    <w:rsid w:val="1EE03AB4"/>
    <w:rsid w:val="23545884"/>
    <w:rsid w:val="2BCF16CC"/>
    <w:rsid w:val="2C0A7FE3"/>
    <w:rsid w:val="2F303580"/>
    <w:rsid w:val="303801E5"/>
    <w:rsid w:val="50F15BA9"/>
    <w:rsid w:val="599F183C"/>
    <w:rsid w:val="5A0E58C7"/>
    <w:rsid w:val="5F5A5DEC"/>
    <w:rsid w:val="5FD4310E"/>
    <w:rsid w:val="65AD56AD"/>
    <w:rsid w:val="7173136D"/>
    <w:rsid w:val="7DD035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qFormat="1"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kinsoku w:val="0"/>
      <w:wordWrap w:val="0"/>
      <w:autoSpaceDE/>
      <w:autoSpaceDN/>
      <w:adjustRightInd w:val="0"/>
      <w:snapToGrid w:val="0"/>
      <w:spacing w:line="560" w:lineRule="exact"/>
      <w:ind w:firstLine="896" w:firstLineChars="200"/>
      <w:jc w:val="both"/>
      <w:textAlignment w:val="baseline"/>
    </w:pPr>
    <w:rPr>
      <w:rFonts w:ascii="仿宋_GB2312" w:hAnsi="仿宋_GB2312" w:eastAsia="仿宋_GB2312" w:cs="Arial"/>
      <w:snapToGrid w:val="0"/>
      <w:color w:val="000000"/>
      <w:sz w:val="28"/>
      <w:szCs w:val="21"/>
      <w:lang w:val="en-US" w:eastAsia="en-US" w:bidi="ar-SA"/>
    </w:rPr>
  </w:style>
  <w:style w:type="paragraph" w:styleId="2">
    <w:name w:val="heading 1"/>
    <w:basedOn w:val="1"/>
    <w:next w:val="1"/>
    <w:qFormat/>
    <w:uiPriority w:val="0"/>
    <w:pPr>
      <w:keepNext/>
      <w:keepLines/>
      <w:spacing w:beforeLines="0" w:beforeAutospacing="0" w:afterLines="0" w:afterAutospacing="0" w:line="580" w:lineRule="exact"/>
      <w:ind w:firstLine="0" w:firstLineChars="0"/>
      <w:jc w:val="center"/>
      <w:outlineLvl w:val="0"/>
    </w:pPr>
    <w:rPr>
      <w:rFonts w:ascii="方正小标宋简体" w:hAnsi="方正小标宋简体" w:eastAsia="方正小标宋简体"/>
      <w:kern w:val="44"/>
      <w:sz w:val="44"/>
    </w:rPr>
  </w:style>
  <w:style w:type="paragraph" w:styleId="3">
    <w:name w:val="heading 2"/>
    <w:basedOn w:val="1"/>
    <w:next w:val="1"/>
    <w:unhideWhenUsed/>
    <w:qFormat/>
    <w:uiPriority w:val="0"/>
    <w:pPr>
      <w:outlineLvl w:val="1"/>
    </w:pPr>
    <w:rPr>
      <w:rFonts w:ascii="黑体" w:hAnsi="黑体" w:eastAsia="黑体" w:cs="黑体"/>
      <w:lang w:eastAsia="zh-CN"/>
    </w:rPr>
  </w:style>
  <w:style w:type="paragraph" w:styleId="4">
    <w:name w:val="heading 3"/>
    <w:basedOn w:val="1"/>
    <w:next w:val="1"/>
    <w:unhideWhenUsed/>
    <w:qFormat/>
    <w:uiPriority w:val="0"/>
    <w:pPr>
      <w:keepNext/>
      <w:keepLines/>
      <w:spacing w:beforeLines="0" w:beforeAutospacing="0" w:afterLines="0" w:afterAutospacing="0" w:line="580" w:lineRule="exact"/>
      <w:outlineLvl w:val="2"/>
    </w:pPr>
    <w:rPr>
      <w:rFonts w:eastAsia="楷体_GB2312"/>
      <w:b/>
    </w:rPr>
  </w:style>
  <w:style w:type="paragraph" w:styleId="5">
    <w:name w:val="heading 4"/>
    <w:basedOn w:val="1"/>
    <w:next w:val="1"/>
    <w:unhideWhenUsed/>
    <w:qFormat/>
    <w:uiPriority w:val="0"/>
    <w:pPr>
      <w:outlineLvl w:val="3"/>
    </w:pPr>
    <w:rPr>
      <w:b/>
      <w:lang w:eastAsia="zh-CN"/>
    </w:rPr>
  </w:style>
  <w:style w:type="character" w:default="1" w:styleId="15">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6">
    <w:name w:val="toc 3"/>
    <w:basedOn w:val="1"/>
    <w:next w:val="1"/>
    <w:qFormat/>
    <w:uiPriority w:val="39"/>
    <w:pPr>
      <w:ind w:left="560" w:leftChars="200"/>
    </w:pPr>
  </w:style>
  <w:style w:type="paragraph" w:styleId="7">
    <w:name w:val="Balloon Text"/>
    <w:basedOn w:val="1"/>
    <w:qFormat/>
    <w:uiPriority w:val="0"/>
    <w:rPr>
      <w:sz w:val="18"/>
      <w:szCs w:val="18"/>
    </w:rPr>
  </w:style>
  <w:style w:type="paragraph" w:styleId="8">
    <w:name w:val="footer"/>
    <w:basedOn w:val="1"/>
    <w:qFormat/>
    <w:uiPriority w:val="0"/>
    <w:pPr>
      <w:tabs>
        <w:tab w:val="center" w:pos="4153"/>
        <w:tab w:val="right" w:pos="8306"/>
      </w:tabs>
      <w:snapToGrid w:val="0"/>
      <w:jc w:val="left"/>
    </w:pPr>
    <w:rPr>
      <w:sz w:val="18"/>
    </w:rPr>
  </w:style>
  <w:style w:type="paragraph" w:styleId="9">
    <w:name w:val="toc 1"/>
    <w:basedOn w:val="1"/>
    <w:next w:val="1"/>
    <w:qFormat/>
    <w:uiPriority w:val="39"/>
    <w:pPr>
      <w:tabs>
        <w:tab w:val="right" w:leader="dot" w:pos="8306"/>
      </w:tabs>
      <w:ind w:firstLine="0" w:firstLineChars="0"/>
    </w:pPr>
  </w:style>
  <w:style w:type="paragraph" w:styleId="10">
    <w:name w:val="toc 4"/>
    <w:basedOn w:val="1"/>
    <w:next w:val="1"/>
    <w:qFormat/>
    <w:uiPriority w:val="0"/>
    <w:pPr>
      <w:ind w:left="1260" w:leftChars="600"/>
    </w:pPr>
  </w:style>
  <w:style w:type="paragraph" w:styleId="11">
    <w:name w:val="toc 2"/>
    <w:basedOn w:val="1"/>
    <w:next w:val="1"/>
    <w:qFormat/>
    <w:uiPriority w:val="39"/>
    <w:pPr>
      <w:ind w:left="420" w:leftChars="200" w:firstLine="0" w:firstLineChars="0"/>
    </w:pPr>
  </w:style>
  <w:style w:type="table" w:styleId="13">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14">
    <w:name w:val="Table Theme"/>
    <w:basedOn w:val="12"/>
    <w:unhideWhenUsed/>
    <w:qFormat/>
    <w:uiPriority w:val="99"/>
    <w:pPr>
      <w:kinsoku w:val="0"/>
      <w:autoSpaceDE w:val="0"/>
      <w:autoSpaceDN w:val="0"/>
      <w:adjustRightInd w:val="0"/>
      <w:snapToGrid w:val="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Hyperlink"/>
    <w:basedOn w:val="15"/>
    <w:qFormat/>
    <w:uiPriority w:val="99"/>
    <w:rPr>
      <w:color w:val="0026E5" w:themeColor="hyperlink"/>
      <w:u w:val="single"/>
      <w14:textFill>
        <w14:solidFill>
          <w14:schemeClr w14:val="hlink"/>
        </w14:solidFill>
      </w14:textFill>
    </w:rPr>
  </w:style>
  <w:style w:type="paragraph" w:customStyle="1" w:styleId="17">
    <w:name w:val="表1"/>
    <w:basedOn w:val="1"/>
    <w:link w:val="19"/>
    <w:qFormat/>
    <w:uiPriority w:val="0"/>
    <w:pPr>
      <w:snapToGrid/>
      <w:spacing w:line="560" w:lineRule="exact"/>
      <w:ind w:firstLine="0" w:firstLineChars="0"/>
      <w:jc w:val="center"/>
    </w:pPr>
    <w:rPr>
      <w:rFonts w:hint="eastAsia" w:cs="仿宋_GB2312"/>
      <w:bCs/>
      <w:spacing w:val="-2"/>
      <w:sz w:val="28"/>
      <w:szCs w:val="24"/>
      <w:lang w:eastAsia="zh-CN"/>
      <w14:textOutline w14:w="5105" w14:cap="sq" w14:cmpd="sng" w14:algn="ctr">
        <w14:solidFill>
          <w14:srgbClr w14:val="000000"/>
        </w14:solidFill>
        <w14:prstDash w14:val="solid"/>
        <w14:bevel/>
      </w14:textOutline>
    </w:rPr>
  </w:style>
  <w:style w:type="paragraph" w:customStyle="1" w:styleId="18">
    <w:name w:val="表格内容"/>
    <w:basedOn w:val="1"/>
    <w:qFormat/>
    <w:uiPriority w:val="0"/>
    <w:pPr>
      <w:overflowPunct w:val="0"/>
      <w:spacing w:line="240" w:lineRule="auto"/>
      <w:ind w:firstLine="0" w:firstLineChars="0"/>
      <w:jc w:val="both"/>
    </w:pPr>
    <w:rPr>
      <w:rFonts w:hint="eastAsia" w:ascii="仿宋" w:hAnsi="仿宋" w:cs="仿宋"/>
      <w:sz w:val="18"/>
      <w:lang w:eastAsia="zh-CN"/>
    </w:rPr>
  </w:style>
  <w:style w:type="character" w:customStyle="1" w:styleId="19">
    <w:name w:val="表1 Char"/>
    <w:link w:val="17"/>
    <w:qFormat/>
    <w:uiPriority w:val="0"/>
    <w:rPr>
      <w:rFonts w:hint="eastAsia" w:cs="仿宋_GB2312"/>
      <w:bCs/>
      <w:spacing w:val="-2"/>
      <w:sz w:val="28"/>
      <w:szCs w:val="24"/>
      <w:lang w:eastAsia="zh-CN"/>
      <w14:textOutline w14:w="5105" w14:cap="sq" w14:cmpd="sng" w14:algn="ctr">
        <w14:solidFill>
          <w14:srgbClr w14:val="000000"/>
        </w14:solidFill>
        <w14:prstDash w14:val="solid"/>
        <w14:bevel/>
      </w14:textOutline>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jpeg"/><Relationship Id="rId17" Type="http://schemas.openxmlformats.org/officeDocument/2006/relationships/image" Target="media/image6.jpe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53</Pages>
  <Words>5941</Words>
  <Characters>6296</Characters>
  <Lines>0</Lines>
  <Paragraphs>0</Paragraphs>
  <TotalTime>2</TotalTime>
  <ScaleCrop>false</ScaleCrop>
  <LinksUpToDate>false</LinksUpToDate>
  <CharactersWithSpaces>6557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2025-12-24T01:50:00Z</dcterms:created>
  <dc:creator>晓游-尤一钥</dc:creator>
  <cp:lastModifiedBy>WPS_1601648774</cp:lastModifiedBy>
  <dcterms:modified xsi:type="dcterms:W3CDTF">2026-03-05T02:14:46Z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7425C1A03886441FB8A380CC1EE2B158_13</vt:lpwstr>
  </property>
  <property fmtid="{D5CDD505-2E9C-101B-9397-08002B2CF9AE}" pid="4" name="KSOTemplateDocerSaveRecord">
    <vt:lpwstr>eyJoZGlkIjoiMTM1NjM1YzIxNWQ4ZGUwNjg4NTE3ZWQzZmQyNjA5ZDciLCJ1c2VySWQiOiIxMTI2ODM5MTcxIn0=</vt:lpwstr>
  </property>
</Properties>
</file>