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洛江妇幼保健院</w:t>
      </w:r>
      <w:r>
        <w:rPr>
          <w:rFonts w:hint="eastAsia" w:ascii="方正小标宋简体" w:hAnsi="方正小标宋简体" w:eastAsia="方正小标宋简体" w:cs="方正小标宋简体"/>
          <w:sz w:val="44"/>
          <w:szCs w:val="44"/>
        </w:rPr>
        <w:t>信息化建设</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儿童康复等设施设备</w:t>
      </w:r>
      <w:r>
        <w:rPr>
          <w:rFonts w:hint="eastAsia" w:ascii="方正小标宋简体" w:hAnsi="方正小标宋简体" w:eastAsia="方正小标宋简体" w:cs="方正小标宋简体"/>
          <w:sz w:val="44"/>
          <w:szCs w:val="44"/>
        </w:rPr>
        <w:t>采购项目的询价公告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为提升我院医疗服务能力，改善诊疗环境，保障与联合办医单位高效协作，现对以下项目进行公开询价，欢迎符合资质的供应商参与。相关事宜公告如下：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1" w:name="_GoBack"/>
      <w:r>
        <w:rPr>
          <w:rFonts w:hint="eastAsia" w:ascii="黑体" w:hAnsi="黑体" w:eastAsia="黑体" w:cs="黑体"/>
          <w:sz w:val="32"/>
          <w:szCs w:val="32"/>
        </w:rPr>
        <w:t>一、项目基本情况</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（一）项目一：中医馆排烟系统</w:t>
      </w:r>
      <w:r>
        <w:rPr>
          <w:rFonts w:hint="eastAsia" w:ascii="仿宋_GB2312" w:hAnsi="仿宋_GB2312" w:eastAsia="仿宋_GB2312" w:cs="仿宋_GB2312"/>
          <w:sz w:val="32"/>
          <w:szCs w:val="32"/>
          <w:lang w:val="en-US" w:eastAsia="zh-CN"/>
        </w:rPr>
        <w:t>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项目内容：为中医馆三伏灸诊疗区域增设排烟系统，需快速有效排除艾灸烟雾，确保空气质量达标；设备适配现有场地布局（</w:t>
      </w:r>
      <w:r>
        <w:rPr>
          <w:rFonts w:hint="eastAsia" w:ascii="仿宋_GB2312" w:hAnsi="仿宋_GB2312" w:eastAsia="仿宋_GB2312" w:cs="仿宋_GB2312"/>
          <w:sz w:val="32"/>
          <w:szCs w:val="32"/>
          <w:lang w:val="en-US" w:eastAsia="zh-CN"/>
        </w:rPr>
        <w:t>5张</w:t>
      </w:r>
      <w:r>
        <w:rPr>
          <w:rFonts w:hint="eastAsia" w:ascii="仿宋_GB2312" w:hAnsi="仿宋_GB2312" w:eastAsia="仿宋_GB2312" w:cs="仿宋_GB2312"/>
          <w:sz w:val="32"/>
          <w:szCs w:val="32"/>
        </w:rPr>
        <w:t>诊</w:t>
      </w:r>
      <w:r>
        <w:rPr>
          <w:rFonts w:hint="eastAsia" w:ascii="仿宋_GB2312" w:hAnsi="仿宋_GB2312" w:eastAsia="仿宋_GB2312" w:cs="仿宋_GB2312"/>
          <w:sz w:val="32"/>
          <w:szCs w:val="32"/>
          <w:lang w:val="en-US" w:eastAsia="zh-CN"/>
        </w:rPr>
        <w:t>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隔帘轨道、</w:t>
      </w:r>
      <w:r>
        <w:rPr>
          <w:rFonts w:hint="eastAsia" w:ascii="仿宋_GB2312" w:hAnsi="仿宋_GB2312" w:eastAsia="仿宋_GB2312" w:cs="仿宋_GB2312"/>
          <w:sz w:val="32"/>
          <w:szCs w:val="32"/>
        </w:rPr>
        <w:t>吊顶结构等），安装后不影响正常诊疗及消防规范；运行噪音低，具备防火、防漏电等安全保护功能，提供明确质保期及维护方案（具体以现场踏勘为准）。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踏勘：采购人不组织现场踏勘，供应商在报价前自行前往我院中医馆现场进行详细勘察，熟悉项目场地情况，包括空间布局、电源位置、排烟出口位置、尺寸、现有设施等，以获取报价所需的资料。踏勘现场所发生的费用由供应商自己承担，因未到现场踏勘造成报价明显不合理被拒绝的情况由供应商自己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项目地点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5楼中医馆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项目二：五楼病房隔断帘采购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1.项目内容：为保障患者隐私，营造舒适医疗环境。五楼病房拟采购一批病床隔帘（病房已安装隔帘轨道，无需提供轨道）。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2.现场踏勘：</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报价前需</w:t>
      </w:r>
      <w:r>
        <w:rPr>
          <w:rFonts w:hint="eastAsia" w:ascii="仿宋_GB2312" w:hAnsi="仿宋_GB2312" w:eastAsia="仿宋_GB2312" w:cs="仿宋_GB2312"/>
          <w:sz w:val="32"/>
          <w:szCs w:val="32"/>
        </w:rPr>
        <w:t>自行前往</w:t>
      </w:r>
      <w:r>
        <w:rPr>
          <w:rFonts w:hint="eastAsia" w:ascii="仿宋_GB2312" w:hAnsi="仿宋_GB2312" w:eastAsia="仿宋_GB2312" w:cs="仿宋_GB2312"/>
          <w:sz w:val="32"/>
          <w:szCs w:val="32"/>
          <w:lang w:val="en-US" w:eastAsia="zh-CN"/>
        </w:rPr>
        <w:t>现场踏勘，以明确实际需求。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3.项目地点：5楼病房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项目三：医疗设备采购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1.项目明细：</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2"/>
        <w:gridCol w:w="2767"/>
        <w:gridCol w:w="1605"/>
        <w:gridCol w:w="2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设备名称</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数量</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除颤仪（多功能心肺复苏仪）</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种植修复万能工具盒</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1套</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根管预备机</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手机养护机</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手机数量：3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超声</w:t>
            </w:r>
            <w:r>
              <w:rPr>
                <w:rFonts w:hint="eastAsia" w:ascii="仿宋_GB2312" w:hAnsi="仿宋_GB2312" w:eastAsia="仿宋_GB2312" w:cs="仿宋_GB2312"/>
                <w:sz w:val="32"/>
                <w:szCs w:val="32"/>
                <w:lang w:val="en-US" w:eastAsia="zh-CN"/>
              </w:rPr>
              <w:t>波清</w:t>
            </w:r>
            <w:r>
              <w:rPr>
                <w:rFonts w:hint="eastAsia" w:ascii="仿宋_GB2312" w:hAnsi="仿宋_GB2312" w:eastAsia="仿宋_GB2312" w:cs="仿宋_GB2312"/>
                <w:sz w:val="32"/>
                <w:szCs w:val="32"/>
              </w:rPr>
              <w:t>洗机</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清洗槽容积：3L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医</w:t>
            </w:r>
            <w:r>
              <w:rPr>
                <w:rFonts w:hint="eastAsia" w:ascii="仿宋_GB2312" w:hAnsi="仿宋_GB2312" w:eastAsia="仿宋_GB2312" w:cs="仿宋_GB2312"/>
                <w:sz w:val="32"/>
                <w:szCs w:val="32"/>
                <w:lang w:val="en-US" w:eastAsia="zh-CN"/>
              </w:rPr>
              <w:t>用冷藏</w:t>
            </w:r>
            <w:r>
              <w:rPr>
                <w:rFonts w:hint="eastAsia" w:ascii="仿宋_GB2312" w:hAnsi="仿宋_GB2312" w:eastAsia="仿宋_GB2312" w:cs="仿宋_GB2312"/>
                <w:sz w:val="32"/>
                <w:szCs w:val="32"/>
              </w:rPr>
              <w:t>箱</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有效容积&gt;300L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水平旋转摇床</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可精确设定旋转速度(20-230rpm连续可调)与时间(0-999min，精度:1S/min)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276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紫外线空气消毒器</w:t>
            </w:r>
          </w:p>
        </w:tc>
        <w:tc>
          <w:tcPr>
            <w:tcW w:w="160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1台</w:t>
            </w:r>
          </w:p>
        </w:tc>
        <w:tc>
          <w:tcPr>
            <w:tcW w:w="2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壁挂式，适配约58立方空间</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：信息化建设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本项目聚焦两院联合办医的信息化协同需求，具体建设内容</w:t>
      </w:r>
      <w:r>
        <w:rPr>
          <w:rFonts w:hint="eastAsia" w:ascii="仿宋_GB2312" w:hAnsi="仿宋_GB2312" w:eastAsia="仿宋_GB2312" w:cs="仿宋_GB2312"/>
          <w:sz w:val="32"/>
          <w:szCs w:val="32"/>
          <w:lang w:val="en-US" w:eastAsia="zh-CN"/>
        </w:rPr>
        <w:t>如下：（包括但不限于以下内容，具体建设将根据两院实际对接及需求变化等情况进行动态调整）</w:t>
      </w:r>
    </w:p>
    <w:tbl>
      <w:tblPr>
        <w:tblStyle w:val="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49"/>
        <w:gridCol w:w="4118"/>
        <w:gridCol w:w="976"/>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27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bCs/>
                <w:color w:val="000000"/>
                <w:kern w:val="0"/>
                <w:sz w:val="32"/>
                <w:szCs w:val="32"/>
                <w:vertAlign w:val="baseline"/>
              </w:rPr>
            </w:pPr>
            <w:r>
              <w:rPr>
                <w:rFonts w:hint="eastAsia" w:ascii="仿宋_GB2312" w:hAnsi="仿宋_GB2312" w:eastAsia="仿宋_GB2312" w:cs="仿宋_GB2312"/>
                <w:b/>
                <w:bCs/>
                <w:color w:val="000000"/>
                <w:kern w:val="0"/>
                <w:sz w:val="32"/>
                <w:szCs w:val="32"/>
                <w:vertAlign w:val="baseline"/>
                <w:lang w:val="en-US" w:eastAsia="zh-CN" w:bidi="ar"/>
              </w:rPr>
              <w:t>项目名称</w:t>
            </w: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bCs/>
                <w:color w:val="000000"/>
                <w:kern w:val="0"/>
                <w:sz w:val="32"/>
                <w:szCs w:val="32"/>
                <w:vertAlign w:val="baseline"/>
              </w:rPr>
            </w:pPr>
            <w:r>
              <w:rPr>
                <w:rFonts w:hint="eastAsia" w:ascii="仿宋_GB2312" w:hAnsi="仿宋_GB2312" w:eastAsia="仿宋_GB2312" w:cs="仿宋_GB2312"/>
                <w:b/>
                <w:bCs/>
                <w:color w:val="000000"/>
                <w:kern w:val="0"/>
                <w:sz w:val="32"/>
                <w:szCs w:val="32"/>
                <w:vertAlign w:val="baseline"/>
                <w:lang w:val="en-US" w:eastAsia="zh-CN" w:bidi="ar"/>
              </w:rPr>
              <w:t>建设内容</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bCs/>
                <w:color w:val="000000"/>
                <w:kern w:val="0"/>
                <w:sz w:val="32"/>
                <w:szCs w:val="32"/>
                <w:vertAlign w:val="baseline"/>
              </w:rPr>
            </w:pPr>
            <w:r>
              <w:rPr>
                <w:rFonts w:hint="eastAsia" w:ascii="仿宋_GB2312" w:hAnsi="仿宋_GB2312" w:eastAsia="仿宋_GB2312" w:cs="仿宋_GB2312"/>
                <w:b/>
                <w:bCs/>
                <w:color w:val="000000"/>
                <w:kern w:val="0"/>
                <w:sz w:val="32"/>
                <w:szCs w:val="32"/>
                <w:vertAlign w:val="baseline"/>
                <w:lang w:val="en-US" w:eastAsia="zh-CN" w:bidi="ar"/>
              </w:rPr>
              <w:t>数量</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bCs/>
                <w:color w:val="000000"/>
                <w:kern w:val="0"/>
                <w:sz w:val="32"/>
                <w:szCs w:val="32"/>
                <w:vertAlign w:val="baseline"/>
                <w:lang w:val="en-US" w:eastAsia="zh-CN" w:bidi="ar"/>
              </w:rPr>
            </w:pPr>
            <w:r>
              <w:rPr>
                <w:rFonts w:hint="eastAsia" w:ascii="仿宋_GB2312" w:hAnsi="仿宋_GB2312" w:eastAsia="仿宋_GB2312" w:cs="仿宋_GB2312"/>
                <w:b/>
                <w:bCs/>
                <w:color w:val="000000"/>
                <w:kern w:val="0"/>
                <w:sz w:val="32"/>
                <w:szCs w:val="32"/>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2" w:hRule="atLeast"/>
          <w:jc w:val="center"/>
        </w:trPr>
        <w:tc>
          <w:tcPr>
            <w:tcW w:w="2749"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kern w:val="2"/>
                <w:sz w:val="32"/>
                <w:szCs w:val="32"/>
                <w:vertAlign w:val="baseline"/>
              </w:rPr>
            </w:pPr>
            <w:r>
              <w:rPr>
                <w:rFonts w:hint="eastAsia" w:ascii="仿宋_GB2312" w:hAnsi="仿宋_GB2312" w:eastAsia="仿宋_GB2312" w:cs="仿宋_GB2312"/>
                <w:kern w:val="2"/>
                <w:sz w:val="32"/>
                <w:szCs w:val="32"/>
                <w:vertAlign w:val="baseline"/>
                <w:lang w:val="en-US" w:eastAsia="zh-CN" w:bidi="ar"/>
              </w:rPr>
              <w:t>洛江区妇幼保健院与泉州市妇幼保健院（儿童医院）联合办医系统改造</w:t>
            </w: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bCs/>
                <w:kern w:val="2"/>
                <w:sz w:val="32"/>
                <w:szCs w:val="32"/>
                <w:vertAlign w:val="baseline"/>
                <w:lang w:val="en-US"/>
              </w:rPr>
            </w:pPr>
            <w:bookmarkStart w:id="0" w:name="_Toc205988545"/>
            <w:r>
              <w:rPr>
                <w:rFonts w:hint="eastAsia" w:ascii="仿宋_GB2312" w:hAnsi="仿宋_GB2312" w:eastAsia="仿宋_GB2312" w:cs="仿宋_GB2312"/>
                <w:b w:val="0"/>
                <w:bCs w:val="0"/>
                <w:kern w:val="44"/>
                <w:sz w:val="32"/>
                <w:szCs w:val="32"/>
                <w:vertAlign w:val="baseline"/>
                <w:lang w:val="en-US" w:eastAsia="zh-CN" w:bidi="ar"/>
              </w:rPr>
              <w:t>与泉州市妇幼保健院</w:t>
            </w:r>
            <w:bookmarkEnd w:id="0"/>
            <w:r>
              <w:rPr>
                <w:rFonts w:hint="eastAsia" w:ascii="仿宋_GB2312" w:hAnsi="仿宋_GB2312" w:eastAsia="仿宋_GB2312" w:cs="仿宋_GB2312"/>
                <w:b w:val="0"/>
                <w:bCs w:val="0"/>
                <w:kern w:val="44"/>
                <w:sz w:val="32"/>
                <w:szCs w:val="32"/>
                <w:vertAlign w:val="baseline"/>
                <w:lang w:val="en-US" w:eastAsia="zh-CN" w:bidi="ar"/>
              </w:rPr>
              <w:t>诊疗信息互通，实现双方系统诊疗信息互通查看，支持预约系统消息提醒等，方便患者就诊等功能。</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rPr>
            </w:pPr>
            <w:r>
              <w:rPr>
                <w:rFonts w:hint="eastAsia" w:ascii="仿宋_GB2312" w:hAnsi="仿宋_GB2312" w:eastAsia="仿宋_GB2312" w:cs="仿宋_GB2312"/>
                <w:color w:val="000000"/>
                <w:kern w:val="2"/>
                <w:sz w:val="32"/>
                <w:szCs w:val="32"/>
                <w:vertAlign w:val="baseline"/>
                <w:lang w:val="en-US" w:eastAsia="zh-CN" w:bidi="ar"/>
              </w:rPr>
              <w:t>1套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jc w:val="center"/>
        </w:trPr>
        <w:tc>
          <w:tcPr>
            <w:tcW w:w="274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rPr>
                <w:rFonts w:hint="eastAsia" w:ascii="仿宋_GB2312" w:hAnsi="仿宋_GB2312" w:eastAsia="仿宋_GB2312" w:cs="仿宋_GB2312"/>
                <w:sz w:val="32"/>
                <w:szCs w:val="32"/>
              </w:rPr>
            </w:pP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bCs/>
                <w:kern w:val="2"/>
                <w:sz w:val="32"/>
                <w:szCs w:val="32"/>
                <w:vertAlign w:val="baseline"/>
              </w:rPr>
            </w:pPr>
            <w:r>
              <w:rPr>
                <w:rFonts w:hint="eastAsia" w:ascii="仿宋_GB2312" w:hAnsi="仿宋_GB2312" w:eastAsia="仿宋_GB2312" w:cs="仿宋_GB2312"/>
                <w:b w:val="0"/>
                <w:bCs/>
                <w:kern w:val="44"/>
                <w:sz w:val="32"/>
                <w:szCs w:val="32"/>
                <w:vertAlign w:val="baseline"/>
                <w:lang w:val="en-US" w:eastAsia="zh-CN" w:bidi="ar"/>
              </w:rPr>
              <w:t>支持与区域检查检验结果互认平台对接</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rPr>
            </w:pPr>
            <w:r>
              <w:rPr>
                <w:rFonts w:hint="eastAsia" w:ascii="仿宋_GB2312" w:hAnsi="仿宋_GB2312" w:eastAsia="仿宋_GB2312" w:cs="仿宋_GB2312"/>
                <w:color w:val="000000"/>
                <w:kern w:val="2"/>
                <w:sz w:val="32"/>
                <w:szCs w:val="32"/>
                <w:vertAlign w:val="baseline"/>
                <w:lang w:val="en-US" w:eastAsia="zh-CN" w:bidi="ar"/>
              </w:rPr>
              <w:t>1套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6" w:hRule="atLeast"/>
          <w:jc w:val="center"/>
        </w:trPr>
        <w:tc>
          <w:tcPr>
            <w:tcW w:w="274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rPr>
                <w:rFonts w:hint="eastAsia" w:ascii="仿宋_GB2312" w:hAnsi="仿宋_GB2312" w:eastAsia="仿宋_GB2312" w:cs="仿宋_GB2312"/>
                <w:sz w:val="32"/>
                <w:szCs w:val="32"/>
              </w:rPr>
            </w:pP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val="0"/>
                <w:bCs/>
                <w:kern w:val="44"/>
                <w:sz w:val="32"/>
                <w:szCs w:val="32"/>
                <w:vertAlign w:val="baseline"/>
                <w:lang w:val="en-US" w:eastAsia="zh-CN" w:bidi="ar"/>
              </w:rPr>
            </w:pPr>
            <w:r>
              <w:rPr>
                <w:rFonts w:hint="eastAsia" w:ascii="仿宋_GB2312" w:hAnsi="仿宋_GB2312" w:eastAsia="仿宋_GB2312" w:cs="仿宋_GB2312"/>
                <w:b w:val="0"/>
                <w:bCs/>
                <w:kern w:val="44"/>
                <w:sz w:val="32"/>
                <w:szCs w:val="32"/>
                <w:vertAlign w:val="baseline"/>
                <w:lang w:val="en-US" w:eastAsia="zh-CN" w:bidi="ar"/>
              </w:rPr>
              <w:t>根据政策要求进行药品追溯码功能进行改造：药品追溯码管理及扫码设备功能需求，并配备2台药品追溯码扫描器及无线扫描枪，具体如下：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val="0"/>
                <w:bCs/>
                <w:kern w:val="44"/>
                <w:sz w:val="32"/>
                <w:szCs w:val="32"/>
                <w:vertAlign w:val="baseline"/>
                <w:lang w:val="en-US" w:eastAsia="zh-CN" w:bidi="ar"/>
              </w:rPr>
            </w:pPr>
            <w:r>
              <w:rPr>
                <w:rFonts w:hint="eastAsia" w:ascii="仿宋_GB2312" w:hAnsi="仿宋_GB2312" w:eastAsia="仿宋_GB2312" w:cs="仿宋_GB2312"/>
                <w:b w:val="0"/>
                <w:bCs/>
                <w:kern w:val="44"/>
                <w:sz w:val="32"/>
                <w:szCs w:val="32"/>
                <w:vertAlign w:val="baseline"/>
                <w:lang w:val="en-US" w:eastAsia="zh-CN" w:bidi="ar"/>
              </w:rPr>
              <w:t>（1） 药品出入库追溯管理：药房、药库在进行药品出入库操作时，通过扫码设备扫描药品追溯码，系统自动采集并记录追溯信息，确保药品流转可追溯。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val="0"/>
                <w:bCs/>
                <w:kern w:val="44"/>
                <w:sz w:val="32"/>
                <w:szCs w:val="32"/>
                <w:vertAlign w:val="baseline"/>
              </w:rPr>
            </w:pPr>
            <w:r>
              <w:rPr>
                <w:rFonts w:hint="eastAsia" w:ascii="仿宋_GB2312" w:hAnsi="仿宋_GB2312" w:eastAsia="仿宋_GB2312" w:cs="仿宋_GB2312"/>
                <w:b w:val="0"/>
                <w:bCs/>
                <w:kern w:val="44"/>
                <w:sz w:val="32"/>
                <w:szCs w:val="32"/>
                <w:vertAlign w:val="baseline"/>
                <w:lang w:val="en-US" w:eastAsia="zh-CN" w:bidi="ar"/>
              </w:rPr>
              <w:t>（2） 医保平台数据交互：系统支持将扫描获取的药品追溯码信息上传至医保两定平台；若存在信息错误或操作调整需求，可对已上传至医保两定平台的药品追溯码信息执行撤销操作，保障与医保平台数据的实时性和准确性。</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rPr>
            </w:pPr>
            <w:r>
              <w:rPr>
                <w:rFonts w:hint="eastAsia" w:ascii="仿宋_GB2312" w:hAnsi="仿宋_GB2312" w:eastAsia="仿宋_GB2312" w:cs="仿宋_GB2312"/>
                <w:color w:val="000000"/>
                <w:kern w:val="2"/>
                <w:sz w:val="32"/>
                <w:szCs w:val="32"/>
                <w:vertAlign w:val="baseline"/>
                <w:lang w:val="en-US" w:eastAsia="zh-CN" w:bidi="ar"/>
              </w:rPr>
              <w:t>1套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lang w:val="en-US" w:eastAsia="zh-CN" w:bidi="ar"/>
              </w:rPr>
            </w:pPr>
            <w:r>
              <w:rPr>
                <w:rFonts w:hint="eastAsia" w:ascii="仿宋_GB2312" w:hAnsi="仿宋_GB2312" w:eastAsia="仿宋_GB2312" w:cs="仿宋_GB2312"/>
                <w:color w:val="000000"/>
                <w:kern w:val="2"/>
                <w:sz w:val="32"/>
                <w:szCs w:val="32"/>
                <w:vertAlign w:val="baseline"/>
                <w:lang w:val="en-US" w:eastAsia="zh-CN" w:bidi="ar"/>
              </w:rPr>
              <w:t>需配备药品追溯码扫描器：2台；无线扫描枪：2台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jc w:val="center"/>
        </w:trPr>
        <w:tc>
          <w:tcPr>
            <w:tcW w:w="274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rPr>
                <w:rFonts w:hint="eastAsia" w:ascii="仿宋_GB2312" w:hAnsi="仿宋_GB2312" w:eastAsia="仿宋_GB2312" w:cs="仿宋_GB2312"/>
                <w:sz w:val="32"/>
                <w:szCs w:val="32"/>
              </w:rPr>
            </w:pP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val="0"/>
                <w:bCs/>
                <w:kern w:val="44"/>
                <w:sz w:val="32"/>
                <w:szCs w:val="32"/>
                <w:vertAlign w:val="baseline"/>
                <w:lang w:val="en-US"/>
              </w:rPr>
            </w:pPr>
            <w:r>
              <w:rPr>
                <w:rFonts w:hint="eastAsia" w:ascii="仿宋_GB2312" w:hAnsi="仿宋_GB2312" w:eastAsia="仿宋_GB2312" w:cs="仿宋_GB2312"/>
                <w:b w:val="0"/>
                <w:bCs/>
                <w:kern w:val="44"/>
                <w:sz w:val="32"/>
                <w:szCs w:val="32"/>
                <w:vertAlign w:val="baseline"/>
                <w:lang w:val="en-US" w:eastAsia="zh-CN" w:bidi="ar"/>
              </w:rPr>
              <w:t>医生工作站优化：（1）模版维护功能：医生在维护药品和项目模版时将该收费内容设置成“是否医保范围”字段信息；当医生引用模版时，直接获取到该字段信息。（2）诊间结算优化：优化院内诊间结算系统运行速度，提升结算效率。（3）结果查询功能：在医生工作站内集成患者相关的检查、检验结果查询。</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rPr>
            </w:pPr>
            <w:r>
              <w:rPr>
                <w:rFonts w:hint="eastAsia" w:ascii="仿宋_GB2312" w:hAnsi="仿宋_GB2312" w:eastAsia="仿宋_GB2312" w:cs="仿宋_GB2312"/>
                <w:color w:val="000000"/>
                <w:kern w:val="2"/>
                <w:sz w:val="32"/>
                <w:szCs w:val="32"/>
                <w:vertAlign w:val="baseline"/>
                <w:lang w:val="en-US" w:eastAsia="zh-CN" w:bidi="ar"/>
              </w:rPr>
              <w:t>1套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74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rPr>
                <w:rFonts w:hint="eastAsia" w:ascii="仿宋_GB2312" w:hAnsi="仿宋_GB2312" w:eastAsia="仿宋_GB2312" w:cs="仿宋_GB2312"/>
                <w:sz w:val="32"/>
                <w:szCs w:val="32"/>
              </w:rPr>
            </w:pP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val="0"/>
                <w:bCs/>
                <w:kern w:val="44"/>
                <w:sz w:val="32"/>
                <w:szCs w:val="32"/>
                <w:vertAlign w:val="baseline"/>
              </w:rPr>
            </w:pPr>
            <w:r>
              <w:rPr>
                <w:rFonts w:hint="eastAsia" w:ascii="仿宋_GB2312" w:hAnsi="仿宋_GB2312" w:eastAsia="仿宋_GB2312" w:cs="仿宋_GB2312"/>
                <w:b w:val="0"/>
                <w:bCs/>
                <w:kern w:val="44"/>
                <w:sz w:val="32"/>
                <w:szCs w:val="32"/>
                <w:vertAlign w:val="baseline"/>
                <w:lang w:val="en-US" w:eastAsia="zh-CN" w:bidi="ar"/>
              </w:rPr>
              <w:t>微信公众号优化，支持患者在微信公众号查询检查、检验结果。</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rPr>
            </w:pPr>
            <w:r>
              <w:rPr>
                <w:rFonts w:hint="eastAsia" w:ascii="仿宋_GB2312" w:hAnsi="仿宋_GB2312" w:eastAsia="仿宋_GB2312" w:cs="仿宋_GB2312"/>
                <w:color w:val="000000"/>
                <w:kern w:val="2"/>
                <w:sz w:val="32"/>
                <w:szCs w:val="32"/>
                <w:vertAlign w:val="baseline"/>
                <w:lang w:val="en-US" w:eastAsia="zh-CN" w:bidi="ar"/>
              </w:rPr>
              <w:t>1套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74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rPr>
                <w:rFonts w:hint="eastAsia" w:ascii="仿宋_GB2312" w:hAnsi="仿宋_GB2312" w:eastAsia="仿宋_GB2312" w:cs="仿宋_GB2312"/>
                <w:sz w:val="32"/>
                <w:szCs w:val="32"/>
              </w:rPr>
            </w:pPr>
          </w:p>
        </w:tc>
        <w:tc>
          <w:tcPr>
            <w:tcW w:w="4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b w:val="0"/>
                <w:bCs/>
                <w:kern w:val="44"/>
                <w:sz w:val="32"/>
                <w:szCs w:val="32"/>
                <w:vertAlign w:val="baseline"/>
              </w:rPr>
            </w:pPr>
            <w:r>
              <w:rPr>
                <w:rFonts w:hint="eastAsia" w:ascii="仿宋_GB2312" w:hAnsi="仿宋_GB2312" w:eastAsia="仿宋_GB2312" w:cs="仿宋_GB2312"/>
                <w:b w:val="0"/>
                <w:bCs/>
                <w:kern w:val="44"/>
                <w:sz w:val="32"/>
                <w:szCs w:val="32"/>
                <w:vertAlign w:val="baseline"/>
                <w:lang w:val="en-US" w:eastAsia="zh-CN" w:bidi="ar"/>
              </w:rPr>
              <w:t>检验设备接口</w:t>
            </w:r>
          </w:p>
        </w:tc>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rPr>
            </w:pPr>
            <w:r>
              <w:rPr>
                <w:rFonts w:hint="eastAsia" w:ascii="仿宋_GB2312" w:hAnsi="仿宋_GB2312" w:eastAsia="仿宋_GB2312" w:cs="仿宋_GB2312"/>
                <w:color w:val="000000"/>
                <w:kern w:val="2"/>
                <w:sz w:val="32"/>
                <w:szCs w:val="32"/>
                <w:vertAlign w:val="baseline"/>
                <w:lang w:val="en-US" w:eastAsia="zh-CN" w:bidi="ar"/>
              </w:rPr>
              <w:t>1套</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baseline"/>
              <w:rPr>
                <w:rFonts w:hint="eastAsia" w:ascii="仿宋_GB2312" w:hAnsi="仿宋_GB2312" w:eastAsia="仿宋_GB2312" w:cs="仿宋_GB2312"/>
                <w:color w:val="000000"/>
                <w:kern w:val="2"/>
                <w:sz w:val="32"/>
                <w:szCs w:val="32"/>
                <w:vertAlign w:val="baseli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搭建与市妇幼联合办医的信息化对接系统，实现患者信息共享、诊疗数据互通、预约挂号联动等功能；系统需符合医疗数据安全规范，兼容双方现有信息系统，保障数据传输稳定、保密；提供系统部署、调试及人员培训服务，确保顺利对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儿童康复相关设备采购</w:t>
      </w:r>
    </w:p>
    <w:tbl>
      <w:tblPr>
        <w:tblStyle w:val="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190"/>
        <w:gridCol w:w="874"/>
        <w:gridCol w:w="4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6"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3190"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设备名称</w:t>
            </w:r>
          </w:p>
        </w:tc>
        <w:tc>
          <w:tcPr>
            <w:tcW w:w="874"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数量</w:t>
            </w:r>
          </w:p>
        </w:tc>
        <w:tc>
          <w:tcPr>
            <w:tcW w:w="420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46"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190"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视听整合连续性训练系统</w:t>
            </w:r>
          </w:p>
        </w:tc>
        <w:tc>
          <w:tcPr>
            <w:tcW w:w="874"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1套</w:t>
            </w:r>
          </w:p>
        </w:tc>
        <w:tc>
          <w:tcPr>
            <w:tcW w:w="420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实现患者听觉训练、视觉训练2大部分.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46"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190"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孤独症智能康复系统</w:t>
            </w:r>
          </w:p>
        </w:tc>
        <w:tc>
          <w:tcPr>
            <w:tcW w:w="874"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1套</w:t>
            </w:r>
          </w:p>
        </w:tc>
        <w:tc>
          <w:tcPr>
            <w:tcW w:w="420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实现康复治疗师-家长-康复医师对患者的训练指导家庭干预做到闭环管理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46"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190"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儿童音韵感统评估与训练系统</w:t>
            </w:r>
          </w:p>
        </w:tc>
        <w:tc>
          <w:tcPr>
            <w:tcW w:w="874"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1套</w:t>
            </w:r>
          </w:p>
        </w:tc>
        <w:tc>
          <w:tcPr>
            <w:tcW w:w="420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对儿童音韵感统方面进行科学评估和针对性训练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746"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3190"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生物反馈仪</w:t>
            </w:r>
          </w:p>
        </w:tc>
        <w:tc>
          <w:tcPr>
            <w:tcW w:w="874"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1套</w:t>
            </w:r>
          </w:p>
        </w:tc>
        <w:tc>
          <w:tcPr>
            <w:tcW w:w="4208" w:type="dxa"/>
            <w:vAlign w:val="center"/>
          </w:tcPr>
          <w:p>
            <w:pPr>
              <w:keepNext w:val="0"/>
              <w:keepLines w:val="0"/>
              <w:numPr>
                <w:ilvl w:val="0"/>
                <w:numId w:val="0"/>
              </w:numPr>
              <w:suppressLineNumbers w:val="0"/>
              <w:spacing w:before="0" w:beforeAutospacing="0" w:after="0" w:afterAutospacing="0"/>
              <w:ind w:left="0" w:right="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适用于儿童多动症、抽动障碍、情绪障碍等心理行为疾病的辅助治疗，实现评估、治疗、管理高效一体化服务体系。</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二、供应商资质要求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具有独立法人资格，持有有效的营业执照，经营范围包含对应项目相关服务；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具备履行合同所必需的设备、技术和服务能力；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信誉良好，无重大违法违规记录或失信行为。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询价文件要求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 报价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需明确各项目总报价、单价构成，包含安装、运输、税费、服务等所有费用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公司资质证明（营业执照复印件、相关资质证书等）；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 项目实施方案（含设备/系统型号、技术参数、安装/部署方案、施工/服务周期、售后服务承诺等）；</w:t>
      </w:r>
      <w:r>
        <w:rPr>
          <w:rFonts w:hint="eastAsia" w:ascii="仿宋_GB2312" w:hAnsi="仿宋_GB2312" w:eastAsia="仿宋_GB2312" w:cs="仿宋_GB2312"/>
          <w:sz w:val="32"/>
          <w:szCs w:val="32"/>
          <w:lang w:val="en-US" w:eastAsia="zh-CN"/>
        </w:rPr>
        <w:t>若有与本次采购项目相关的业绩（包括但不限于过往同类项目中标价、中标单位等），可附上相关证明材料。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、提交时间及地点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提交截止时间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2025年9 月 9日18:00</w:t>
      </w:r>
      <w:r>
        <w:rPr>
          <w:rFonts w:hint="eastAsia" w:ascii="仿宋_GB2312" w:hAnsi="仿宋_GB2312" w:eastAsia="仿宋_GB2312" w:cs="仿宋_GB2312"/>
          <w:sz w:val="32"/>
          <w:szCs w:val="32"/>
        </w:rPr>
        <w:t>（逾期送达视为无效）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提交地点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妇幼疾控大楼四楼总务科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提交方式：纸质文件（加盖公章）及电子版，于</w:t>
      </w:r>
      <w:r>
        <w:rPr>
          <w:rFonts w:hint="eastAsia" w:ascii="仿宋_GB2312" w:hAnsi="仿宋_GB2312" w:eastAsia="仿宋_GB2312" w:cs="仿宋_GB2312"/>
          <w:sz w:val="32"/>
          <w:szCs w:val="32"/>
          <w:lang w:val="en-US" w:eastAsia="zh-CN"/>
        </w:rPr>
        <w:t xml:space="preserve">2025年9月9日18:00 </w:t>
      </w:r>
      <w:r>
        <w:rPr>
          <w:rFonts w:hint="eastAsia" w:ascii="仿宋_GB2312" w:hAnsi="仿宋_GB2312" w:eastAsia="仿宋_GB2312" w:cs="仿宋_GB2312"/>
          <w:sz w:val="32"/>
          <w:szCs w:val="32"/>
        </w:rPr>
        <w:t>前送达我院。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联系人：</w:t>
      </w:r>
      <w:r>
        <w:rPr>
          <w:rFonts w:hint="eastAsia" w:ascii="仿宋_GB2312" w:hAnsi="仿宋_GB2312" w:eastAsia="仿宋_GB2312" w:cs="仿宋_GB2312"/>
          <w:sz w:val="32"/>
          <w:szCs w:val="32"/>
          <w:lang w:val="en-US" w:eastAsia="zh-CN"/>
        </w:rPr>
        <w:t>小范</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0595-22678706</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泉州市洛江区妇幼保健院</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2025年9月3日</w:t>
      </w:r>
    </w:p>
    <w:sectPr>
      <w:pgSz w:w="11906" w:h="16838"/>
      <w:pgMar w:top="1667"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885C5"/>
    <w:multiLevelType w:val="singleLevel"/>
    <w:tmpl w:val="C6D885C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mMDg0YWEyMTAxZTJkODIyZDlkMTYyOWQxNzUyY2YifQ=="/>
  </w:docVars>
  <w:rsids>
    <w:rsidRoot w:val="00172A27"/>
    <w:rsid w:val="00550A91"/>
    <w:rsid w:val="007C6CE5"/>
    <w:rsid w:val="00E97CD7"/>
    <w:rsid w:val="02C0734B"/>
    <w:rsid w:val="038D3451"/>
    <w:rsid w:val="046E3282"/>
    <w:rsid w:val="04AC5B58"/>
    <w:rsid w:val="06E15FE9"/>
    <w:rsid w:val="07EE5F6C"/>
    <w:rsid w:val="0846739F"/>
    <w:rsid w:val="09C120A6"/>
    <w:rsid w:val="0A0C04D1"/>
    <w:rsid w:val="0BD206A0"/>
    <w:rsid w:val="10DF7B4B"/>
    <w:rsid w:val="15210B5F"/>
    <w:rsid w:val="152F4368"/>
    <w:rsid w:val="15991BF3"/>
    <w:rsid w:val="1703660F"/>
    <w:rsid w:val="17F75693"/>
    <w:rsid w:val="19334981"/>
    <w:rsid w:val="1C224C26"/>
    <w:rsid w:val="1D774AFE"/>
    <w:rsid w:val="1DB661A2"/>
    <w:rsid w:val="1E607108"/>
    <w:rsid w:val="1EAB0F03"/>
    <w:rsid w:val="1FF57C36"/>
    <w:rsid w:val="205541D8"/>
    <w:rsid w:val="23F30A19"/>
    <w:rsid w:val="24A35A2D"/>
    <w:rsid w:val="24DE5462"/>
    <w:rsid w:val="2B394B51"/>
    <w:rsid w:val="2B72185C"/>
    <w:rsid w:val="2B8177A0"/>
    <w:rsid w:val="2CF94F11"/>
    <w:rsid w:val="2CFB7349"/>
    <w:rsid w:val="2E684001"/>
    <w:rsid w:val="2F6D4A75"/>
    <w:rsid w:val="2FC07A03"/>
    <w:rsid w:val="30166A73"/>
    <w:rsid w:val="30BE6ADF"/>
    <w:rsid w:val="31C67640"/>
    <w:rsid w:val="31D25E0E"/>
    <w:rsid w:val="3372517B"/>
    <w:rsid w:val="35492DCC"/>
    <w:rsid w:val="36201D7F"/>
    <w:rsid w:val="383E734F"/>
    <w:rsid w:val="391060DB"/>
    <w:rsid w:val="39224E04"/>
    <w:rsid w:val="3A15327D"/>
    <w:rsid w:val="3B5A363D"/>
    <w:rsid w:val="3D2A5291"/>
    <w:rsid w:val="3DBF1E7D"/>
    <w:rsid w:val="3ED9341F"/>
    <w:rsid w:val="3ED951C1"/>
    <w:rsid w:val="400E0E9A"/>
    <w:rsid w:val="40692574"/>
    <w:rsid w:val="41087697"/>
    <w:rsid w:val="417D62D7"/>
    <w:rsid w:val="41EA51D1"/>
    <w:rsid w:val="45C30031"/>
    <w:rsid w:val="48007B14"/>
    <w:rsid w:val="48BF5427"/>
    <w:rsid w:val="48D10CB7"/>
    <w:rsid w:val="49720597"/>
    <w:rsid w:val="4B6C4CC7"/>
    <w:rsid w:val="4B7A3887"/>
    <w:rsid w:val="4C76404F"/>
    <w:rsid w:val="4CA22BEB"/>
    <w:rsid w:val="4DC40DEA"/>
    <w:rsid w:val="509B4D1B"/>
    <w:rsid w:val="51281690"/>
    <w:rsid w:val="525A3ACB"/>
    <w:rsid w:val="54B43966"/>
    <w:rsid w:val="5560764A"/>
    <w:rsid w:val="55C54977"/>
    <w:rsid w:val="56E147BB"/>
    <w:rsid w:val="57C02622"/>
    <w:rsid w:val="59E20A6C"/>
    <w:rsid w:val="5BC16969"/>
    <w:rsid w:val="5C78725C"/>
    <w:rsid w:val="5D0115F8"/>
    <w:rsid w:val="5DD21301"/>
    <w:rsid w:val="5E293509"/>
    <w:rsid w:val="5E8412B9"/>
    <w:rsid w:val="60163727"/>
    <w:rsid w:val="63051831"/>
    <w:rsid w:val="63B23767"/>
    <w:rsid w:val="6535464F"/>
    <w:rsid w:val="697D65C5"/>
    <w:rsid w:val="69E403F2"/>
    <w:rsid w:val="6A6C07F5"/>
    <w:rsid w:val="6C812B4E"/>
    <w:rsid w:val="6DC35991"/>
    <w:rsid w:val="700456A1"/>
    <w:rsid w:val="70651B61"/>
    <w:rsid w:val="70D7566B"/>
    <w:rsid w:val="70F80C27"/>
    <w:rsid w:val="715C2F64"/>
    <w:rsid w:val="720708AD"/>
    <w:rsid w:val="7253365E"/>
    <w:rsid w:val="73D4215E"/>
    <w:rsid w:val="74E527CE"/>
    <w:rsid w:val="75210DC6"/>
    <w:rsid w:val="76A71125"/>
    <w:rsid w:val="7A4B626B"/>
    <w:rsid w:val="7B2965AD"/>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1999</Words>
  <Characters>2077</Characters>
  <Lines>10</Lines>
  <Paragraphs>2</Paragraphs>
  <TotalTime>166</TotalTime>
  <ScaleCrop>false</ScaleCrop>
  <LinksUpToDate>false</LinksUpToDate>
  <CharactersWithSpaces>2096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2025-08-12T07:12:00Z</dcterms:created>
  <dc:creator>admin</dc:creator>
  <cp:lastModifiedBy>Administrator</cp:lastModifiedBy>
  <cp:lastPrinted>2025-08-27T02:52:00Z</cp:lastPrinted>
  <dcterms:modified xsi:type="dcterms:W3CDTF">2025-09-03T03:16:53Z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eyJoZGlkIjoiMWIwNmMxYTA2YTU0ZmY5YzI2N2Q0MGJjNzU0ZjQ4MDcifQ==</vt:lpwstr>
  </property>
  <property fmtid="{D5CDD505-2E9C-101B-9397-08002B2CF9AE}" pid="3" name="KSOProductBuildVer">
    <vt:lpwstr>2052-11.1.0.14309</vt:lpwstr>
  </property>
  <property fmtid="{D5CDD505-2E9C-101B-9397-08002B2CF9AE}" pid="4" name="ICV">
    <vt:lpwstr>67D4C9D405B54C518BBA015BB83EB6DD_12</vt:lpwstr>
  </property>
</Properties>
</file>