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snapToGrid w:val="0"/>
        <w:spacing w:before="0" w:beforeAutospacing="0" w:after="0" w:afterAutospacing="0" w:line="590" w:lineRule="exact"/>
        <w:ind w:left="0" w:right="0" w:firstLine="0" w:firstLineChars="0"/>
        <w:jc w:val="left"/>
        <w:outlineLvl w:val="0"/>
        <w:rPr>
          <w:rFonts w:hint="eastAsia" w:ascii="方正仿宋_GBK" w:hAnsi="方正仿宋_GBK" w:eastAsia="方正仿宋_GBK" w:cs="方正仿宋_GBK"/>
          <w:b w:val="0"/>
          <w:bCs w:val="0"/>
          <w:spacing w:val="0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snapToGrid w:val="0"/>
        <w:spacing w:before="0" w:beforeAutospacing="0" w:after="0" w:afterAutospacing="0" w:line="590" w:lineRule="exact"/>
        <w:ind w:left="0" w:right="0" w:firstLine="0" w:firstLineChars="0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kern w:val="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kern w:val="2"/>
          <w:sz w:val="44"/>
          <w:szCs w:val="44"/>
          <w:lang w:val="en-US" w:eastAsia="zh-CN" w:bidi="ar"/>
        </w:rPr>
        <w:t>洛江区2026年第四季度分布式电源接入承载力提升措施报告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left="600" w:leftChars="0" w:right="0" w:rightChars="0"/>
        <w:jc w:val="both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left="600" w:leftChars="0" w:right="0" w:rightChars="0"/>
        <w:jc w:val="both"/>
        <w:rPr>
          <w:rFonts w:hint="eastAsia" w:ascii="方正黑体_GBK" w:hAnsi="方正黑体_GBK" w:eastAsia="方正黑体_GBK" w:cs="方正黑体_GBK"/>
          <w:b w:val="0"/>
          <w:bCs w:val="0"/>
          <w:spacing w:val="0"/>
          <w:kern w:val="2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一、分布式电源接入电网承载力情况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right="0" w:rightChars="0" w:firstLine="642" w:firstLineChars="200"/>
        <w:jc w:val="both"/>
        <w:rPr>
          <w:rFonts w:hint="eastAsia" w:ascii="方正仿宋_GBK" w:hAnsi="方正仿宋_GBK" w:eastAsia="方正仿宋_GBK" w:cs="方正仿宋_GBK"/>
          <w:b/>
          <w:bCs/>
          <w:spacing w:val="0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1.区域整体情况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right="0" w:firstLine="640" w:firstLineChars="200"/>
        <w:jc w:val="both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全区已接入分布式电源203.50万千瓦，在途及轮候分布式电源28.64万千瓦，可开放容量区间229.68 -282.37 万千瓦，可开放容量评估等级为绿色。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left="0" w:right="0" w:firstLine="0"/>
        <w:jc w:val="center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表1 洛江区承载力与可开放容量情况表</w:t>
      </w:r>
    </w:p>
    <w:tbl>
      <w:tblPr>
        <w:tblStyle w:val="6"/>
        <w:tblW w:w="83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3"/>
        <w:gridCol w:w="542"/>
        <w:gridCol w:w="555"/>
        <w:gridCol w:w="531"/>
        <w:gridCol w:w="670"/>
        <w:gridCol w:w="634"/>
        <w:gridCol w:w="537"/>
        <w:gridCol w:w="548"/>
        <w:gridCol w:w="557"/>
        <w:gridCol w:w="529"/>
        <w:gridCol w:w="542"/>
        <w:gridCol w:w="524"/>
        <w:gridCol w:w="525"/>
        <w:gridCol w:w="525"/>
        <w:gridCol w:w="5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</w:trPr>
        <w:tc>
          <w:tcPr>
            <w:tcW w:w="543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县（区）名称</w:t>
            </w:r>
          </w:p>
        </w:tc>
        <w:tc>
          <w:tcPr>
            <w:tcW w:w="542" w:type="dxa"/>
            <w:tcBorders>
              <w:top w:val="single" w:color="000000" w:sz="8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是否整体受限</w:t>
            </w:r>
          </w:p>
        </w:tc>
        <w:tc>
          <w:tcPr>
            <w:tcW w:w="108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分布式电源承载力（MW）</w:t>
            </w:r>
          </w:p>
        </w:tc>
        <w:tc>
          <w:tcPr>
            <w:tcW w:w="670" w:type="dxa"/>
            <w:tcBorders>
              <w:top w:val="single" w:color="000000" w:sz="8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已接容量</w:t>
            </w:r>
            <w:bookmarkStart w:id="0" w:name="_GoBack"/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</w:t>
            </w:r>
            <w:bookmarkEnd w:id="0"/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分布式光伏及小水电等</w:t>
            </w: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（MW）)</w:t>
            </w:r>
          </w:p>
        </w:tc>
        <w:tc>
          <w:tcPr>
            <w:tcW w:w="634" w:type="dxa"/>
            <w:tcBorders>
              <w:top w:val="single" w:color="000000" w:sz="8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已备案未并网容量（MW）</w:t>
            </w:r>
          </w:p>
        </w:tc>
        <w:tc>
          <w:tcPr>
            <w:tcW w:w="1085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分布式电源可开放并网容量（MW）</w:t>
            </w:r>
          </w:p>
        </w:tc>
        <w:tc>
          <w:tcPr>
            <w:tcW w:w="108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分布式电源可开放备案容量（MW）</w:t>
            </w:r>
          </w:p>
        </w:tc>
        <w:tc>
          <w:tcPr>
            <w:tcW w:w="542" w:type="dxa"/>
            <w:tcBorders>
              <w:top w:val="single" w:color="000000" w:sz="8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县（区）可开放容量评估等级</w:t>
            </w:r>
          </w:p>
        </w:tc>
        <w:tc>
          <w:tcPr>
            <w:tcW w:w="2148" w:type="dxa"/>
            <w:gridSpan w:val="4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220千伏及以下可开放设备评估统计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</w:trPr>
        <w:tc>
          <w:tcPr>
            <w:tcW w:w="54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洛江区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433.18 </w:t>
            </w: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485.87 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203.50 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28.64 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229.68 </w:t>
            </w: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282.37 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201.04 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253.73 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绿色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绿色：4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黄色：0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红色：0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绿色：10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黄色：0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红色：0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绿色：6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黄色：0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红色：0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绿色：1151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黄色：48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红色：38</w:t>
            </w:r>
          </w:p>
        </w:tc>
      </w:tr>
    </w:tbl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right="0" w:rightChars="0" w:firstLine="642" w:firstLineChars="200"/>
        <w:jc w:val="both"/>
        <w:rPr>
          <w:rFonts w:hint="eastAsia" w:ascii="方正仿宋_GBK" w:hAnsi="方正仿宋_GBK" w:eastAsia="方正仿宋_GBK" w:cs="方正仿宋_GBK"/>
          <w:b/>
          <w:bCs/>
          <w:spacing w:val="0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2.设备情况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right="0" w:firstLine="640" w:firstLineChars="200"/>
        <w:jc w:val="both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220千伏主变可开放容量评估等级绿色。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right="0" w:firstLine="640" w:firstLineChars="200"/>
        <w:jc w:val="both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110千伏主变可开放容量评估等级绿色。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right="0" w:firstLine="640" w:firstLineChars="200"/>
        <w:jc w:val="both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35千伏主变可开放容量评估等级为绿色。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right="0" w:firstLine="640" w:firstLineChars="200"/>
        <w:jc w:val="both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10千伏配变可开放容量评估等级为红色有38台，黄色有48台，可开放容量不足的主要原因：86台配变因本级设备自身承载能力不足导致受限。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left="0" w:right="0" w:firstLine="0"/>
        <w:jc w:val="center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表2 分电压等级设备可开放容量评估等级分布表</w:t>
      </w:r>
    </w:p>
    <w:tbl>
      <w:tblPr>
        <w:tblStyle w:val="6"/>
        <w:tblW w:w="750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"/>
        <w:gridCol w:w="831"/>
        <w:gridCol w:w="837"/>
        <w:gridCol w:w="831"/>
        <w:gridCol w:w="837"/>
        <w:gridCol w:w="831"/>
        <w:gridCol w:w="837"/>
        <w:gridCol w:w="831"/>
        <w:gridCol w:w="8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  <w:jc w:val="center"/>
        </w:trPr>
        <w:tc>
          <w:tcPr>
            <w:tcW w:w="8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000000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县（市、区）名称</w:t>
            </w:r>
          </w:p>
        </w:tc>
        <w:tc>
          <w:tcPr>
            <w:tcW w:w="1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000000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220千伏主变可开放容量评估等级</w:t>
            </w:r>
          </w:p>
        </w:tc>
        <w:tc>
          <w:tcPr>
            <w:tcW w:w="1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000000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110千伏主变可开放容量评估等级</w:t>
            </w:r>
          </w:p>
        </w:tc>
        <w:tc>
          <w:tcPr>
            <w:tcW w:w="1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000000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35千伏主变可开放容量评估等级</w:t>
            </w:r>
          </w:p>
        </w:tc>
        <w:tc>
          <w:tcPr>
            <w:tcW w:w="1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000000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10千伏配变可开放容量评估等级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8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N/>
              <w:bidi w:val="0"/>
              <w:snapToGrid w:val="0"/>
              <w:spacing w:before="0" w:beforeAutospacing="0" w:after="0" w:afterAutospacing="0" w:line="590" w:lineRule="exact"/>
              <w:ind w:left="0" w:right="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590" w:lineRule="exact"/>
              <w:ind w:left="0" w:right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000000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红色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590" w:lineRule="exact"/>
              <w:ind w:left="0" w:right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000000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黄色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590" w:lineRule="exact"/>
              <w:ind w:left="0" w:right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000000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红色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590" w:lineRule="exact"/>
              <w:ind w:left="0" w:right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000000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黄色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590" w:lineRule="exact"/>
              <w:ind w:left="0" w:right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000000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红色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590" w:lineRule="exact"/>
              <w:ind w:left="0" w:right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000000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黄色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590" w:lineRule="exact"/>
              <w:ind w:left="0" w:right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000000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红色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590" w:lineRule="exact"/>
              <w:ind w:left="0" w:right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000000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黄色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洛江区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</w:tr>
    </w:tbl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right="0" w:firstLine="640" w:firstLineChars="200"/>
        <w:jc w:val="both"/>
        <w:rPr>
          <w:rFonts w:hint="eastAsia" w:ascii="方正黑体_GBK" w:hAnsi="方正黑体_GBK" w:eastAsia="方正黑体_GBK" w:cs="方正黑体_GBK"/>
          <w:b w:val="0"/>
          <w:bCs w:val="0"/>
          <w:spacing w:val="0"/>
          <w:kern w:val="2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二、分布式电源接入电网承载力提升措施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right="0" w:firstLine="640" w:firstLineChars="200"/>
        <w:jc w:val="both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220、110、35千伏层面洛江区无自身承载力不足受限设备。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right="0" w:firstLine="640" w:firstLineChars="200"/>
        <w:jc w:val="both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10千伏公用配变层面，洛江区共有86台配变受限，目前均已完成治理措施梳理，受限配变拟通过电源包或业扩包解决，力争2026年12月底前解决受限配变，其余受限配变根据增量项目答复意见，按照设备受限问题不过季原则进行整改。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E71E64"/>
    <w:rsid w:val="08687483"/>
    <w:rsid w:val="159942D4"/>
    <w:rsid w:val="1BE17138"/>
    <w:rsid w:val="22975239"/>
    <w:rsid w:val="355222A5"/>
    <w:rsid w:val="359F0FBD"/>
    <w:rsid w:val="3BF05D4F"/>
    <w:rsid w:val="3F5506FF"/>
    <w:rsid w:val="4C224EF4"/>
    <w:rsid w:val="52487A15"/>
    <w:rsid w:val="549C0B44"/>
    <w:rsid w:val="64625908"/>
    <w:rsid w:val="684974B8"/>
    <w:rsid w:val="6D120BD4"/>
    <w:rsid w:val="6DD83F25"/>
    <w:rsid w:val="6EEE2F61"/>
    <w:rsid w:val="7CE71E64"/>
    <w:rsid w:val="7E6E218D"/>
    <w:rsid w:val="FEB5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240" w:lineRule="atLeast"/>
      <w:ind w:left="0" w:right="0" w:firstLine="420" w:firstLineChars="200"/>
      <w:jc w:val="both"/>
    </w:pPr>
    <w:rPr>
      <w:rFonts w:hint="eastAsia" w:ascii="仿宋_GB2312" w:hAnsi="宋体" w:eastAsia="宋体" w:cs="Times New Roman"/>
      <w:spacing w:val="0"/>
      <w:kern w:val="2"/>
      <w:sz w:val="36"/>
      <w:szCs w:val="36"/>
      <w:lang w:val="en-US" w:eastAsia="zh-CN" w:bidi="ar"/>
    </w:rPr>
  </w:style>
  <w:style w:type="paragraph" w:styleId="3">
    <w:name w:val="Body Tex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240" w:lineRule="atLeast"/>
      <w:ind w:left="0" w:right="0"/>
      <w:jc w:val="both"/>
    </w:pPr>
    <w:rPr>
      <w:rFonts w:hint="default" w:ascii="Calibri" w:hAnsi="Calibri" w:eastAsia="宋体" w:cs="Times New Roman"/>
      <w:spacing w:val="0"/>
      <w:kern w:val="2"/>
      <w:sz w:val="21"/>
      <w:szCs w:val="21"/>
      <w:lang w:val="en-US" w:eastAsia="zh-CN" w:bidi="ar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0" w:beforeAutospacing="1" w:after="0" w:afterAutospacing="1" w:line="240" w:lineRule="auto"/>
      <w:ind w:left="0" w:right="0"/>
      <w:jc w:val="left"/>
    </w:pPr>
    <w:rPr>
      <w:rFonts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2026-06-11T15:42:00Z</dcterms:created>
  <dc:creator>林佳</dc:creator>
  <cp:lastModifiedBy>user</cp:lastModifiedBy>
  <cp:lastPrinted>2026-06-16T09:12:00Z</cp:lastPrinted>
  <dcterms:modified xsi:type="dcterms:W3CDTF">2026-10-10T16:47:49Z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FFD5954B1A4F49B0A88038616281ECA4</vt:lpwstr>
  </property>
</Properties>
</file>