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00" w:firstLineChars="250"/>
        <w:rPr>
          <w:rFonts w:eastAsia="新宋体"/>
          <w:sz w:val="36"/>
          <w:szCs w:val="36"/>
        </w:rPr>
      </w:pPr>
    </w:p>
    <w:p>
      <w:pPr>
        <w:ind w:firstLine="900" w:firstLineChars="250"/>
        <w:rPr>
          <w:rFonts w:eastAsia="新宋体"/>
          <w:sz w:val="36"/>
          <w:szCs w:val="36"/>
        </w:rPr>
      </w:pPr>
    </w:p>
    <w:p>
      <w:pPr>
        <w:ind w:firstLine="900" w:firstLineChars="250"/>
        <w:rPr>
          <w:rFonts w:eastAsia="新宋体"/>
          <w:sz w:val="36"/>
          <w:szCs w:val="36"/>
        </w:rPr>
      </w:pPr>
    </w:p>
    <w:p>
      <w:pPr>
        <w:ind w:firstLine="900" w:firstLineChars="250"/>
        <w:rPr>
          <w:rFonts w:eastAsia="新宋体"/>
          <w:sz w:val="36"/>
          <w:szCs w:val="36"/>
        </w:rPr>
      </w:pPr>
    </w:p>
    <w:p>
      <w:pPr>
        <w:ind w:firstLine="900" w:firstLineChars="250"/>
        <w:rPr>
          <w:rFonts w:eastAsia="新宋体"/>
          <w:sz w:val="36"/>
          <w:szCs w:val="36"/>
        </w:rPr>
      </w:pPr>
    </w:p>
    <w:p>
      <w:pPr>
        <w:ind w:firstLine="900" w:firstLineChars="250"/>
        <w:rPr>
          <w:rFonts w:eastAsia="新宋体"/>
          <w:sz w:val="36"/>
          <w:szCs w:val="36"/>
        </w:rPr>
      </w:pPr>
    </w:p>
    <w:p>
      <w:pPr>
        <w:ind w:firstLine="450" w:firstLineChars="250"/>
        <w:rPr>
          <w:rFonts w:hint="eastAsia" w:eastAsia="新宋体"/>
          <w:sz w:val="18"/>
          <w:szCs w:val="18"/>
        </w:rPr>
      </w:pPr>
    </w:p>
    <w:p>
      <w:pPr>
        <w:ind w:firstLine="450" w:firstLineChars="250"/>
        <w:rPr>
          <w:rFonts w:eastAsia="新宋体"/>
          <w:sz w:val="18"/>
          <w:szCs w:val="18"/>
        </w:rPr>
      </w:pPr>
    </w:p>
    <w:p>
      <w:pPr>
        <w:jc w:val="center"/>
        <w:rPr>
          <w:rFonts w:hint="eastAsia" w:eastAsia="仿宋_GB2312"/>
          <w:sz w:val="32"/>
          <w:szCs w:val="32"/>
        </w:rPr>
      </w:pPr>
      <w:r>
        <w:rPr>
          <w:rFonts w:hint="eastAsia" w:eastAsia="仿宋_GB2312"/>
          <w:sz w:val="32"/>
          <w:szCs w:val="32"/>
        </w:rPr>
        <w:t>泉洛政文体旅〔202</w:t>
      </w:r>
      <w:r>
        <w:rPr>
          <w:rFonts w:hint="eastAsia"/>
          <w:sz w:val="32"/>
          <w:szCs w:val="32"/>
          <w:lang w:val="en-US" w:eastAsia="zh-CN"/>
        </w:rPr>
        <w:t>6</w:t>
      </w:r>
      <w:r>
        <w:rPr>
          <w:rFonts w:hint="eastAsia" w:eastAsia="仿宋_GB2312"/>
          <w:sz w:val="32"/>
          <w:szCs w:val="32"/>
        </w:rPr>
        <w:t>〕</w:t>
      </w:r>
      <w:r>
        <w:rPr>
          <w:rFonts w:hint="eastAsia"/>
          <w:sz w:val="32"/>
          <w:szCs w:val="32"/>
          <w:lang w:val="en-US" w:eastAsia="zh-CN"/>
        </w:rPr>
        <w:t>2</w:t>
      </w:r>
      <w:r>
        <w:rPr>
          <w:rFonts w:hint="eastAsia" w:eastAsia="仿宋_GB2312"/>
          <w:sz w:val="32"/>
          <w:szCs w:val="32"/>
        </w:rPr>
        <w:t>号</w:t>
      </w:r>
    </w:p>
    <w:p>
      <w:pPr>
        <w:spacing w:line="560" w:lineRule="exact"/>
        <w:rPr>
          <w:rFonts w:hint="eastAsia" w:eastAsia="仿宋_GB2312"/>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泉州市洛江区文化体育和旅游局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简体" w:hAnsi="方正小标宋简体" w:eastAsia="方正小标宋简体" w:cs="方正小标宋简体"/>
          <w:sz w:val="44"/>
          <w:szCs w:val="44"/>
          <w:lang w:val="en-US" w:eastAsia="zh-CN"/>
        </w:rPr>
        <w:t>2025年</w:t>
      </w:r>
      <w:r>
        <w:rPr>
          <w:rFonts w:hint="eastAsia" w:ascii="方正小标宋简体" w:hAnsi="方正小标宋简体" w:eastAsia="方正小标宋简体" w:cs="方正小标宋简体"/>
          <w:sz w:val="44"/>
          <w:szCs w:val="44"/>
        </w:rPr>
        <w:t>政府信息公开工作年度报告</w:t>
      </w:r>
    </w:p>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color w:val="auto"/>
        </w:rPr>
      </w:pPr>
      <w:r>
        <w:rPr>
          <w:rFonts w:hint="eastAsia"/>
          <w:color w:val="auto"/>
        </w:rPr>
        <w:t>根据《中华人民共和国政府信息公开条例》（以下简称《条例》）的规定，现公布</w:t>
      </w:r>
      <w:r>
        <w:rPr>
          <w:rFonts w:hint="eastAsia"/>
          <w:color w:val="auto"/>
          <w:lang w:val="en-US" w:eastAsia="zh-CN"/>
        </w:rPr>
        <w:t>泉州市洛江区文化体育和旅游局2025</w:t>
      </w:r>
      <w:r>
        <w:rPr>
          <w:rFonts w:hint="eastAsia"/>
          <w:color w:val="auto"/>
        </w:rPr>
        <w:t>年政府信息公开工作年度报告。本报告由总体情况、主动公开政府信息情况、收到和处理政府信息公开申请的情况、政府信息公开行政复议和行政诉讼情况、存在的主要问题及改进措施、其他需要报告的事项等六个部分组成</w:t>
      </w:r>
      <w:r>
        <w:rPr>
          <w:rFonts w:hint="eastAsia"/>
          <w:color w:val="auto"/>
          <w:lang w:eastAsia="zh-CN"/>
        </w:rPr>
        <w:t>。</w:t>
      </w:r>
      <w:r>
        <w:rPr>
          <w:rFonts w:hint="eastAsia"/>
          <w:color w:val="auto"/>
        </w:rPr>
        <w:t>报告中的数据统计时限为202</w:t>
      </w:r>
      <w:r>
        <w:rPr>
          <w:rFonts w:hint="eastAsia"/>
          <w:color w:val="auto"/>
          <w:lang w:val="en-US" w:eastAsia="zh-CN"/>
        </w:rPr>
        <w:t>5</w:t>
      </w:r>
      <w:r>
        <w:rPr>
          <w:rFonts w:hint="eastAsia"/>
          <w:color w:val="auto"/>
        </w:rPr>
        <w:t>年1月1日至202</w:t>
      </w:r>
      <w:r>
        <w:rPr>
          <w:rFonts w:hint="eastAsia"/>
          <w:color w:val="auto"/>
          <w:lang w:val="en-US" w:eastAsia="zh-CN"/>
        </w:rPr>
        <w:t>5</w:t>
      </w:r>
      <w:r>
        <w:rPr>
          <w:rFonts w:hint="eastAsia"/>
          <w:color w:val="auto"/>
        </w:rPr>
        <w:t>年12月31日。</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rPr>
      </w:pPr>
      <w:r>
        <w:rPr>
          <w:rFonts w:hint="eastAsia" w:ascii="黑体" w:hAnsi="黑体" w:eastAsia="黑体" w:cs="黑体"/>
          <w:color w:val="auto"/>
        </w:rPr>
        <w:t>一、总体情况</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cs="Times New Roman"/>
          <w:color w:val="auto"/>
          <w:lang w:eastAsia="zh-CN"/>
        </w:rPr>
      </w:pPr>
      <w:r>
        <w:rPr>
          <w:rFonts w:hint="eastAsia" w:ascii="Times New Roman" w:hAnsi="Times New Roman" w:cs="Times New Roman"/>
          <w:color w:val="auto"/>
          <w:lang w:val="en-US" w:eastAsia="zh-CN"/>
        </w:rPr>
        <w:t>202</w:t>
      </w:r>
      <w:r>
        <w:rPr>
          <w:rFonts w:hint="eastAsia" w:cs="Times New Roman"/>
          <w:color w:val="auto"/>
          <w:lang w:val="en-US" w:eastAsia="zh-CN"/>
        </w:rPr>
        <w:t>5</w:t>
      </w:r>
      <w:r>
        <w:rPr>
          <w:rFonts w:hint="eastAsia" w:ascii="Times New Roman" w:hAnsi="Times New Roman" w:cs="Times New Roman"/>
          <w:color w:val="auto"/>
          <w:lang w:val="en-US" w:eastAsia="zh-CN"/>
        </w:rPr>
        <w:t>年，泉州市洛江区文化体育和旅游局坚持以习近平新时代中国特色社会主义思想为指导，全面贯彻落实党的二十</w:t>
      </w:r>
      <w:r>
        <w:rPr>
          <w:rFonts w:hint="eastAsia" w:cs="Times New Roman"/>
          <w:color w:val="auto"/>
          <w:lang w:val="en-US" w:eastAsia="zh-CN"/>
        </w:rPr>
        <w:t>大、二十届二中、</w:t>
      </w:r>
      <w:r>
        <w:rPr>
          <w:rFonts w:hint="eastAsia" w:ascii="Times New Roman" w:hAnsi="Times New Roman" w:cs="Times New Roman"/>
          <w:color w:val="auto"/>
          <w:lang w:val="en-US" w:eastAsia="zh-CN"/>
        </w:rPr>
        <w:t>三中</w:t>
      </w:r>
      <w:r>
        <w:rPr>
          <w:rFonts w:hint="eastAsia" w:cs="Times New Roman"/>
          <w:color w:val="auto"/>
          <w:lang w:val="en-US" w:eastAsia="zh-CN"/>
        </w:rPr>
        <w:t>、四中</w:t>
      </w:r>
      <w:r>
        <w:rPr>
          <w:rFonts w:hint="eastAsia" w:ascii="Times New Roman" w:hAnsi="Times New Roman" w:cs="Times New Roman"/>
          <w:color w:val="auto"/>
          <w:lang w:val="en-US" w:eastAsia="zh-CN"/>
        </w:rPr>
        <w:t>全会精神，认真</w:t>
      </w:r>
      <w:r>
        <w:rPr>
          <w:rFonts w:hint="eastAsia" w:cs="Times New Roman"/>
          <w:color w:val="auto"/>
          <w:lang w:val="en-US" w:eastAsia="zh-CN"/>
        </w:rPr>
        <w:t>贯彻执行</w:t>
      </w:r>
      <w:r>
        <w:rPr>
          <w:rFonts w:hint="eastAsia" w:ascii="Times New Roman" w:hAnsi="Times New Roman" w:cs="Times New Roman"/>
          <w:color w:val="auto"/>
        </w:rPr>
        <w:t>《中华人民共和国政府信息公开条例》</w:t>
      </w:r>
      <w:r>
        <w:rPr>
          <w:rFonts w:hint="eastAsia" w:ascii="Times New Roman" w:hAnsi="Times New Roman" w:cs="Times New Roman"/>
          <w:color w:val="auto"/>
          <w:lang w:eastAsia="zh-CN"/>
        </w:rPr>
        <w:t>，</w:t>
      </w:r>
      <w:r>
        <w:rPr>
          <w:rFonts w:hint="eastAsia" w:cs="Times New Roman"/>
          <w:color w:val="auto"/>
          <w:lang w:eastAsia="zh-CN"/>
        </w:rPr>
        <w:t>紧紧围绕</w:t>
      </w:r>
      <w:r>
        <w:rPr>
          <w:rFonts w:hint="eastAsia" w:ascii="Times New Roman" w:hAnsi="Times New Roman" w:cs="Times New Roman"/>
          <w:color w:val="auto"/>
          <w:lang w:val="en-US" w:eastAsia="zh-CN"/>
        </w:rPr>
        <w:t>文体旅游工作实际</w:t>
      </w:r>
      <w:r>
        <w:rPr>
          <w:rFonts w:hint="eastAsia" w:cs="Times New Roman"/>
          <w:color w:val="auto"/>
          <w:lang w:val="en-US" w:eastAsia="zh-CN"/>
        </w:rPr>
        <w:t>，坚持“以公开为常态、不公开为例外”的原则，及时更新公开相关信息，</w:t>
      </w:r>
      <w:r>
        <w:rPr>
          <w:rFonts w:hint="eastAsia" w:cs="Times New Roman"/>
          <w:color w:val="auto"/>
          <w:lang w:eastAsia="zh-CN"/>
        </w:rPr>
        <w:t>不断优化和提升</w:t>
      </w:r>
      <w:r>
        <w:rPr>
          <w:rFonts w:hint="eastAsia" w:cs="Times New Roman"/>
          <w:color w:val="auto"/>
          <w:lang w:val="en-US" w:eastAsia="zh-CN"/>
        </w:rPr>
        <w:t>政府信息公开</w:t>
      </w:r>
      <w:r>
        <w:rPr>
          <w:rFonts w:hint="eastAsia" w:cs="Times New Roman"/>
          <w:color w:val="auto"/>
          <w:lang w:eastAsia="zh-CN"/>
        </w:rPr>
        <w:t>实效</w:t>
      </w:r>
      <w:r>
        <w:rPr>
          <w:rFonts w:hint="eastAsia" w:ascii="Times New Roman" w:hAnsi="Times New Roman" w:cs="Times New Roman"/>
          <w:color w:val="auto"/>
          <w:lang w:eastAsia="zh-CN"/>
        </w:rPr>
        <w:t>。</w:t>
      </w:r>
    </w:p>
    <w:p>
      <w:pPr>
        <w:keepNext w:val="0"/>
        <w:keepLines w:val="0"/>
        <w:pageBreakBefore w:val="0"/>
        <w:kinsoku/>
        <w:wordWrap/>
        <w:overflowPunct/>
        <w:topLinePunct w:val="0"/>
        <w:autoSpaceDE/>
        <w:autoSpaceDN/>
        <w:bidi w:val="0"/>
        <w:adjustRightInd/>
        <w:snapToGrid/>
        <w:spacing w:line="600" w:lineRule="exact"/>
        <w:ind w:firstLine="642" w:firstLineChars="200"/>
        <w:jc w:val="left"/>
        <w:textAlignment w:val="auto"/>
        <w:rPr>
          <w:rFonts w:hint="eastAsia" w:ascii="楷体_GB2312" w:hAnsi="楷体_GB2312" w:eastAsia="楷体_GB2312" w:cs="楷体_GB2312"/>
          <w:b/>
          <w:bCs/>
          <w:color w:val="auto"/>
          <w:lang w:eastAsia="zh-CN"/>
        </w:rPr>
      </w:pPr>
      <w:r>
        <w:rPr>
          <w:rFonts w:hint="eastAsia" w:ascii="楷体_GB2312" w:hAnsi="楷体_GB2312" w:eastAsia="楷体_GB2312" w:cs="楷体_GB2312"/>
          <w:b/>
          <w:bCs/>
          <w:color w:val="auto"/>
          <w:lang w:eastAsia="zh-CN"/>
        </w:rPr>
        <w:t>（一）主动公开</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cs="Times New Roman"/>
          <w:color w:val="auto"/>
          <w:lang w:eastAsia="zh-CN"/>
        </w:rPr>
      </w:pPr>
      <w:r>
        <w:rPr>
          <w:rFonts w:hint="eastAsia" w:ascii="Times New Roman" w:hAnsi="Times New Roman" w:cs="Times New Roman"/>
          <w:color w:val="auto"/>
          <w:lang w:eastAsia="zh-CN"/>
        </w:rPr>
        <w:t>202</w:t>
      </w:r>
      <w:r>
        <w:rPr>
          <w:rFonts w:hint="eastAsia" w:cs="Times New Roman"/>
          <w:color w:val="auto"/>
          <w:lang w:val="en-US" w:eastAsia="zh-CN"/>
        </w:rPr>
        <w:t>5</w:t>
      </w:r>
      <w:r>
        <w:rPr>
          <w:rFonts w:hint="eastAsia" w:ascii="Times New Roman" w:hAnsi="Times New Roman" w:cs="Times New Roman"/>
          <w:color w:val="auto"/>
          <w:lang w:eastAsia="zh-CN"/>
        </w:rPr>
        <w:t>年，我局通过区政府门户网站、采购公开系统等渠道按规定公布文件、政务动态、财政预决算、工作报告等信息总数</w:t>
      </w:r>
      <w:r>
        <w:rPr>
          <w:rFonts w:hint="eastAsia" w:cs="Times New Roman"/>
          <w:color w:val="auto"/>
          <w:lang w:val="en-US" w:eastAsia="zh-CN"/>
        </w:rPr>
        <w:t>59</w:t>
      </w:r>
      <w:r>
        <w:rPr>
          <w:rFonts w:hint="eastAsia" w:ascii="Times New Roman" w:hAnsi="Times New Roman" w:cs="Times New Roman"/>
          <w:color w:val="auto"/>
          <w:lang w:eastAsia="zh-CN"/>
        </w:rPr>
        <w:t>条，其中，主动公开信息总数</w:t>
      </w:r>
      <w:r>
        <w:rPr>
          <w:rFonts w:hint="eastAsia" w:cs="Times New Roman"/>
          <w:color w:val="auto"/>
          <w:lang w:val="en-US" w:eastAsia="zh-CN"/>
        </w:rPr>
        <w:t>59</w:t>
      </w:r>
      <w:r>
        <w:rPr>
          <w:rFonts w:hint="eastAsia" w:ascii="Times New Roman" w:hAnsi="Times New Roman" w:cs="Times New Roman"/>
          <w:color w:val="auto"/>
          <w:lang w:eastAsia="zh-CN"/>
        </w:rPr>
        <w:t>条；行政</w:t>
      </w:r>
      <w:r>
        <w:rPr>
          <w:rFonts w:hint="eastAsia" w:cs="Times New Roman"/>
          <w:color w:val="auto"/>
          <w:lang w:eastAsia="zh-CN"/>
        </w:rPr>
        <w:t>审批</w:t>
      </w:r>
      <w:r>
        <w:rPr>
          <w:rFonts w:hint="eastAsia" w:ascii="Times New Roman" w:hAnsi="Times New Roman" w:cs="Times New Roman"/>
          <w:color w:val="auto"/>
          <w:lang w:eastAsia="zh-CN"/>
        </w:rPr>
        <w:t>类</w:t>
      </w:r>
      <w:r>
        <w:rPr>
          <w:rFonts w:hint="eastAsia" w:cs="Times New Roman"/>
          <w:color w:val="auto"/>
          <w:lang w:val="en-US" w:eastAsia="zh-CN"/>
        </w:rPr>
        <w:t>17</w:t>
      </w:r>
      <w:r>
        <w:rPr>
          <w:rFonts w:hint="eastAsia" w:ascii="Times New Roman" w:hAnsi="Times New Roman" w:cs="Times New Roman"/>
          <w:color w:val="auto"/>
          <w:lang w:eastAsia="zh-CN"/>
        </w:rPr>
        <w:t>条，其他类</w:t>
      </w:r>
      <w:r>
        <w:rPr>
          <w:rFonts w:hint="eastAsia" w:cs="Times New Roman"/>
          <w:color w:val="auto"/>
          <w:lang w:val="en-US" w:eastAsia="zh-CN"/>
        </w:rPr>
        <w:t>42</w:t>
      </w:r>
      <w:r>
        <w:rPr>
          <w:rFonts w:hint="eastAsia" w:ascii="Times New Roman" w:hAnsi="Times New Roman" w:cs="Times New Roman"/>
          <w:color w:val="auto"/>
          <w:lang w:eastAsia="zh-CN"/>
        </w:rPr>
        <w:t>条。</w:t>
      </w:r>
    </w:p>
    <w:p>
      <w:pPr>
        <w:keepNext w:val="0"/>
        <w:keepLines w:val="0"/>
        <w:pageBreakBefore w:val="0"/>
        <w:kinsoku/>
        <w:wordWrap/>
        <w:overflowPunct/>
        <w:topLinePunct w:val="0"/>
        <w:autoSpaceDE/>
        <w:autoSpaceDN/>
        <w:bidi w:val="0"/>
        <w:adjustRightInd/>
        <w:snapToGrid/>
        <w:spacing w:line="600" w:lineRule="exact"/>
        <w:ind w:firstLine="642" w:firstLineChars="200"/>
        <w:jc w:val="left"/>
        <w:textAlignment w:val="auto"/>
        <w:rPr>
          <w:rFonts w:hint="eastAsia" w:ascii="楷体_GB2312" w:hAnsi="楷体_GB2312" w:eastAsia="楷体_GB2312" w:cs="楷体_GB2312"/>
          <w:b/>
          <w:bCs/>
          <w:color w:val="auto"/>
          <w:lang w:eastAsia="zh-CN"/>
        </w:rPr>
      </w:pPr>
      <w:r>
        <w:rPr>
          <w:rFonts w:hint="eastAsia" w:ascii="楷体_GB2312" w:hAnsi="楷体_GB2312" w:eastAsia="楷体_GB2312" w:cs="楷体_GB2312"/>
          <w:b/>
          <w:bCs/>
          <w:color w:val="auto"/>
          <w:lang w:eastAsia="zh-CN"/>
        </w:rPr>
        <w:t>（二）依申请公开</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cs="Times New Roman"/>
          <w:color w:val="auto"/>
          <w:lang w:eastAsia="zh-CN"/>
        </w:rPr>
      </w:pPr>
      <w:r>
        <w:rPr>
          <w:rFonts w:hint="eastAsia" w:ascii="Times New Roman" w:hAnsi="Times New Roman" w:cs="Times New Roman"/>
          <w:color w:val="auto"/>
          <w:lang w:eastAsia="zh-CN"/>
        </w:rPr>
        <w:t>202</w:t>
      </w:r>
      <w:r>
        <w:rPr>
          <w:rFonts w:hint="eastAsia" w:cs="Times New Roman"/>
          <w:color w:val="auto"/>
          <w:lang w:val="en-US" w:eastAsia="zh-CN"/>
        </w:rPr>
        <w:t>5</w:t>
      </w:r>
      <w:r>
        <w:rPr>
          <w:rFonts w:hint="eastAsia" w:ascii="Times New Roman" w:hAnsi="Times New Roman" w:cs="Times New Roman"/>
          <w:color w:val="auto"/>
          <w:lang w:eastAsia="zh-CN"/>
        </w:rPr>
        <w:t>年，我局</w:t>
      </w:r>
      <w:r>
        <w:rPr>
          <w:rFonts w:hint="eastAsia" w:cs="Times New Roman"/>
          <w:color w:val="auto"/>
          <w:lang w:eastAsia="zh-CN"/>
        </w:rPr>
        <w:t>未</w:t>
      </w:r>
      <w:r>
        <w:rPr>
          <w:rFonts w:hint="eastAsia" w:ascii="Times New Roman" w:hAnsi="Times New Roman" w:cs="Times New Roman"/>
          <w:color w:val="auto"/>
          <w:lang w:eastAsia="zh-CN"/>
        </w:rPr>
        <w:t>收到要求公开政府信息的申请。</w:t>
      </w:r>
    </w:p>
    <w:p>
      <w:pPr>
        <w:keepNext w:val="0"/>
        <w:keepLines w:val="0"/>
        <w:pageBreakBefore w:val="0"/>
        <w:kinsoku/>
        <w:wordWrap/>
        <w:overflowPunct/>
        <w:topLinePunct w:val="0"/>
        <w:autoSpaceDE/>
        <w:autoSpaceDN/>
        <w:bidi w:val="0"/>
        <w:adjustRightInd/>
        <w:snapToGrid/>
        <w:spacing w:line="600" w:lineRule="exact"/>
        <w:ind w:firstLine="642" w:firstLineChars="200"/>
        <w:jc w:val="left"/>
        <w:textAlignment w:val="auto"/>
        <w:rPr>
          <w:rFonts w:hint="eastAsia" w:ascii="楷体_GB2312" w:hAnsi="楷体_GB2312" w:eastAsia="楷体_GB2312" w:cs="楷体_GB2312"/>
          <w:b/>
          <w:bCs/>
          <w:color w:val="auto"/>
          <w:lang w:eastAsia="zh-CN"/>
        </w:rPr>
      </w:pPr>
      <w:r>
        <w:rPr>
          <w:rFonts w:hint="eastAsia" w:ascii="楷体_GB2312" w:hAnsi="楷体_GB2312" w:eastAsia="楷体_GB2312" w:cs="楷体_GB2312"/>
          <w:b/>
          <w:bCs/>
          <w:color w:val="auto"/>
          <w:lang w:eastAsia="zh-CN"/>
        </w:rPr>
        <w:t>（三）政府信息管理和平台建设</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cs="Times New Roman"/>
          <w:color w:val="auto"/>
          <w:lang w:val="en-US" w:eastAsia="zh-CN"/>
        </w:rPr>
      </w:pPr>
      <w:r>
        <w:rPr>
          <w:rFonts w:hint="eastAsia" w:cs="Times New Roman"/>
          <w:color w:val="auto"/>
          <w:lang w:eastAsia="zh-CN"/>
        </w:rPr>
        <w:t>洛江区人民政府网站是我局信息公开的主要渠道</w:t>
      </w:r>
      <w:r>
        <w:rPr>
          <w:rFonts w:hint="eastAsia" w:ascii="Times New Roman" w:hAnsi="Times New Roman" w:cs="Times New Roman"/>
          <w:color w:val="auto"/>
          <w:lang w:eastAsia="zh-CN"/>
        </w:rPr>
        <w:t>，</w:t>
      </w:r>
      <w:r>
        <w:rPr>
          <w:rFonts w:hint="eastAsia" w:cs="Times New Roman"/>
          <w:color w:val="auto"/>
          <w:lang w:eastAsia="zh-CN"/>
        </w:rPr>
        <w:t>通过该网站“政务公开</w:t>
      </w:r>
      <w:r>
        <w:rPr>
          <w:rFonts w:hint="eastAsia"/>
          <w:color w:val="auto"/>
          <w:lang w:val="en-US" w:eastAsia="zh-CN"/>
        </w:rPr>
        <w:t>”</w:t>
      </w:r>
      <w:r>
        <w:rPr>
          <w:rFonts w:hint="eastAsia" w:cs="Times New Roman"/>
          <w:color w:val="auto"/>
          <w:lang w:eastAsia="zh-CN"/>
        </w:rPr>
        <w:t>栏目可以查阅我局的信息公开资料</w:t>
      </w:r>
      <w:r>
        <w:rPr>
          <w:rFonts w:hint="eastAsia" w:ascii="Times New Roman" w:hAnsi="Times New Roman" w:cs="Times New Roman"/>
          <w:color w:val="auto"/>
          <w:lang w:eastAsia="zh-CN"/>
        </w:rPr>
        <w:t>。一是</w:t>
      </w:r>
      <w:r>
        <w:rPr>
          <w:rFonts w:hint="eastAsia" w:cs="Times New Roman"/>
          <w:color w:val="auto"/>
          <w:lang w:eastAsia="zh-CN"/>
        </w:rPr>
        <w:t>更新《泉州市洛江区文化体育和旅游局信息公开指南（试行）》，保障群众获取政府信息的效率与便利性；‌二是建立健全信息审查发布机制，严格落实《洛江区文化体育和旅游局信息公开“三审三校”工作制度》，确保公开信息的政治性、准确性、权威性、时效性和安全性，防范信息发布风险。</w:t>
      </w:r>
    </w:p>
    <w:p>
      <w:pPr>
        <w:keepNext w:val="0"/>
        <w:keepLines w:val="0"/>
        <w:pageBreakBefore w:val="0"/>
        <w:kinsoku/>
        <w:wordWrap/>
        <w:overflowPunct/>
        <w:topLinePunct w:val="0"/>
        <w:autoSpaceDE/>
        <w:autoSpaceDN/>
        <w:bidi w:val="0"/>
        <w:adjustRightInd/>
        <w:snapToGrid/>
        <w:spacing w:line="600" w:lineRule="exact"/>
        <w:ind w:firstLine="642" w:firstLineChars="200"/>
        <w:jc w:val="left"/>
        <w:textAlignment w:val="auto"/>
        <w:rPr>
          <w:rFonts w:hint="eastAsia" w:ascii="楷体_GB2312" w:hAnsi="楷体_GB2312" w:eastAsia="楷体_GB2312" w:cs="楷体_GB2312"/>
          <w:b/>
          <w:bCs/>
          <w:color w:val="auto"/>
          <w:lang w:eastAsia="zh-CN"/>
        </w:rPr>
      </w:pPr>
      <w:r>
        <w:rPr>
          <w:rFonts w:hint="eastAsia" w:ascii="楷体_GB2312" w:hAnsi="楷体_GB2312" w:eastAsia="楷体_GB2312" w:cs="楷体_GB2312"/>
          <w:b/>
          <w:bCs/>
          <w:color w:val="auto"/>
          <w:lang w:eastAsia="zh-CN"/>
        </w:rPr>
        <w:t>（四）监督保障</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cs="Times New Roman"/>
          <w:color w:val="0000FF"/>
          <w:lang w:eastAsia="zh-CN"/>
        </w:rPr>
      </w:pPr>
      <w:r>
        <w:rPr>
          <w:rFonts w:hint="eastAsia" w:ascii="Times New Roman" w:hAnsi="Times New Roman" w:cs="Times New Roman"/>
          <w:color w:val="auto"/>
          <w:lang w:eastAsia="zh-CN"/>
        </w:rPr>
        <w:t>我局成立区文化体育和旅游局信息公开工作领导小组，负责推进、指导、协调、监督本局政府信息公开工作</w:t>
      </w:r>
      <w:r>
        <w:rPr>
          <w:rFonts w:hint="eastAsia" w:cs="Times New Roman"/>
          <w:color w:val="auto"/>
          <w:lang w:eastAsia="zh-CN"/>
        </w:rPr>
        <w:t>，确保信息公开内容严谨合规。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333333"/>
          <w:spacing w:val="0"/>
          <w:sz w:val="24"/>
          <w:szCs w:val="24"/>
        </w:rPr>
      </w:pPr>
      <w:r>
        <w:rPr>
          <w:rFonts w:hint="eastAsia" w:ascii="黑体" w:hAnsi="黑体" w:eastAsia="黑体" w:cs="黑体"/>
        </w:rPr>
        <w:t>二、主动公开政府信息情况</w:t>
      </w:r>
    </w:p>
    <w:tbl>
      <w:tblPr>
        <w:tblStyle w:val="2"/>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color w:val="auto"/>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color w:val="auto"/>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仿宋_GB2312"/>
                <w:lang w:val="en-US" w:eastAsia="zh-CN"/>
              </w:rPr>
            </w:pPr>
            <w:r>
              <w:rPr>
                <w:rFonts w:hint="eastAsia" w:ascii="宋体" w:hAnsi="宋体" w:eastAsia="宋体" w:cs="宋体"/>
                <w:color w:val="auto"/>
                <w:kern w:val="0"/>
                <w:sz w:val="20"/>
                <w:szCs w:val="20"/>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仿宋_GB2312"/>
                <w:lang w:val="en-US" w:eastAsia="zh-CN"/>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eastAsia="仿宋_GB2312"/>
                <w:sz w:val="24"/>
                <w:szCs w:val="24"/>
                <w:lang w:val="en-US" w:eastAsia="zh-CN"/>
              </w:rPr>
            </w:pPr>
            <w:r>
              <w:rPr>
                <w:rFonts w:hint="eastAsia" w:ascii="宋体"/>
                <w:sz w:val="24"/>
                <w:szCs w:val="24"/>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333333"/>
          <w:spacing w:val="0"/>
          <w:sz w:val="24"/>
          <w:szCs w:val="24"/>
        </w:rPr>
      </w:pPr>
      <w:r>
        <w:rPr>
          <w:rFonts w:hint="eastAsia" w:ascii="黑体" w:hAnsi="黑体" w:eastAsia="黑体" w:cs="黑体"/>
        </w:rPr>
        <w:t>三、收到和处理政府信息公开申请情况</w:t>
      </w:r>
    </w:p>
    <w:tbl>
      <w:tblPr>
        <w:tblStyle w:val="2"/>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ascii="楷体" w:hAnsi="楷体" w:eastAsia="楷体" w:cs="楷体"/>
                <w:color w:val="auto"/>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auto"/>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auto"/>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auto"/>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88" w:type="dxa"/>
            <w:vMerge w:val="continue"/>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auto"/>
                <w:kern w:val="0"/>
                <w:sz w:val="20"/>
                <w:szCs w:val="20"/>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auto"/>
                <w:kern w:val="0"/>
                <w:sz w:val="20"/>
                <w:szCs w:val="20"/>
                <w:lang w:val="en-US" w:eastAsia="zh-CN" w:bidi="ar"/>
              </w:rPr>
              <w:t>企业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auto"/>
                <w:kern w:val="0"/>
                <w:sz w:val="20"/>
                <w:szCs w:val="20"/>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auto"/>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auto"/>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auto"/>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auto"/>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eastAsia="仿宋_GB2312" w:cs="Calibri"/>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eastAsia="仿宋_GB2312" w:cs="Calibri"/>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default" w:ascii="Calibri" w:hAnsi="Calibri" w:eastAsia="仿宋_GB2312" w:cs="Calibri"/>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default" w:ascii="Calibri" w:hAnsi="Calibri" w:eastAsia="仿宋_GB2312" w:cs="Calibri"/>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default" w:ascii="Calibri" w:hAnsi="Calibri" w:eastAsia="仿宋_GB2312" w:cs="Calibri"/>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default" w:ascii="Calibri" w:hAnsi="Calibri" w:eastAsia="仿宋_GB2312" w:cs="Calibri"/>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（二）部分公开</w:t>
            </w:r>
            <w:r>
              <w:rPr>
                <w:rFonts w:hint="eastAsia" w:ascii="楷体" w:hAnsi="楷体" w:eastAsia="楷体" w:cs="楷体"/>
                <w:color w:val="auto"/>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（四）无法提供</w:t>
            </w: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宋体" w:hAnsi="宋体" w:eastAsia="宋体" w:cs="宋体"/>
                <w:color w:val="auto"/>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宋体" w:hAnsi="宋体" w:eastAsia="宋体" w:cs="宋体"/>
                <w:color w:val="auto"/>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宋体" w:hAnsi="宋体" w:eastAsia="宋体" w:cs="宋体"/>
                <w:color w:val="auto"/>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sz w:val="24"/>
                <w:szCs w:val="24"/>
              </w:rPr>
            </w:pPr>
            <w:r>
              <w:rPr>
                <w:rFonts w:hint="eastAsia" w:ascii="Calibri" w:hAnsi="Calibri" w:cs="Calibri"/>
                <w:color w:val="auto"/>
                <w:kern w:val="0"/>
                <w:sz w:val="20"/>
                <w:szCs w:val="20"/>
                <w:lang w:val="en-US" w:eastAsia="zh-CN" w:bidi="ar"/>
              </w:rPr>
              <w:t>0</w:t>
            </w: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rPr>
        <w:t>四、政府信息公开行政复议、行政诉讼情况</w:t>
      </w:r>
    </w:p>
    <w:tbl>
      <w:tblPr>
        <w:tblStyle w:val="2"/>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eastAsia="仿宋_GB2312"/>
                <w:sz w:val="24"/>
                <w:szCs w:val="24"/>
                <w:lang w:val="en-US" w:eastAsia="zh-CN"/>
              </w:rPr>
            </w:pPr>
            <w:r>
              <w:rPr>
                <w:rFonts w:hint="eastAsia" w:ascii="宋体"/>
                <w:sz w:val="24"/>
                <w:szCs w:val="24"/>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rPr>
      </w:pPr>
      <w:r>
        <w:rPr>
          <w:rFonts w:hint="eastAsia" w:ascii="黑体" w:hAnsi="黑体" w:eastAsia="黑体" w:cs="黑体"/>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楷体_GB2312" w:hAnsi="楷体_GB2312" w:eastAsia="楷体_GB2312" w:cs="楷体_GB2312"/>
          <w:b/>
          <w:bCs/>
          <w:color w:val="auto"/>
          <w:lang w:eastAsia="zh-CN"/>
        </w:rPr>
      </w:pPr>
      <w:r>
        <w:rPr>
          <w:rFonts w:hint="eastAsia" w:ascii="楷体_GB2312" w:hAnsi="楷体_GB2312" w:eastAsia="楷体_GB2312" w:cs="楷体_GB2312"/>
          <w:b/>
          <w:bCs/>
          <w:color w:val="auto"/>
          <w:lang w:eastAsia="zh-CN"/>
        </w:rPr>
        <w:t>（一）工作中存在的主要问题</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Times New Roman" w:hAnsi="Times New Roman" w:cs="Times New Roman"/>
          <w:color w:val="0000FF"/>
        </w:rPr>
      </w:pPr>
      <w:r>
        <w:rPr>
          <w:rFonts w:hint="eastAsia"/>
          <w:b/>
          <w:bCs/>
          <w:color w:val="auto"/>
        </w:rPr>
        <w:t>一是</w:t>
      </w:r>
      <w:r>
        <w:rPr>
          <w:rFonts w:hint="eastAsia"/>
          <w:color w:val="auto"/>
          <w:lang w:eastAsia="zh-CN"/>
        </w:rPr>
        <w:t>部分信息发布及时性有待提升</w:t>
      </w:r>
      <w:r>
        <w:rPr>
          <w:rFonts w:hint="eastAsia"/>
          <w:color w:val="auto"/>
        </w:rPr>
        <w:t>。</w:t>
      </w:r>
      <w:r>
        <w:rPr>
          <w:rFonts w:hint="eastAsia"/>
          <w:b/>
          <w:bCs/>
          <w:color w:val="auto"/>
          <w:lang w:eastAsia="zh-CN"/>
        </w:rPr>
        <w:t>二是</w:t>
      </w:r>
      <w:r>
        <w:rPr>
          <w:rFonts w:hint="eastAsia"/>
          <w:color w:val="auto"/>
          <w:lang w:eastAsia="zh-CN"/>
        </w:rPr>
        <w:t>信息公开传播影响力不足</w:t>
      </w:r>
      <w:r>
        <w:rPr>
          <w:rFonts w:hint="eastAsia"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楷体_GB2312" w:hAnsi="楷体_GB2312" w:eastAsia="楷体_GB2312" w:cs="楷体_GB2312"/>
          <w:b/>
          <w:bCs/>
          <w:color w:val="auto"/>
          <w:lang w:eastAsia="zh-CN"/>
        </w:rPr>
      </w:pPr>
      <w:r>
        <w:rPr>
          <w:rFonts w:hint="eastAsia" w:ascii="楷体_GB2312" w:hAnsi="楷体_GB2312" w:eastAsia="楷体_GB2312" w:cs="楷体_GB2312"/>
          <w:b/>
          <w:bCs/>
          <w:color w:val="auto"/>
          <w:lang w:eastAsia="zh-CN"/>
        </w:rPr>
        <w:t>（二）具体解决办法和改进措施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color w:val="auto"/>
        </w:rPr>
      </w:pPr>
      <w:r>
        <w:rPr>
          <w:rFonts w:hint="eastAsia"/>
          <w:b/>
          <w:bCs/>
          <w:color w:val="auto"/>
          <w:lang w:eastAsia="zh-CN"/>
        </w:rPr>
        <w:t>一是</w:t>
      </w:r>
      <w:r>
        <w:rPr>
          <w:rFonts w:hint="eastAsia"/>
          <w:color w:val="auto"/>
          <w:lang w:eastAsia="zh-CN"/>
        </w:rPr>
        <w:t>不断规范公开时限。及时更新和维护文体旅游各栏目信息，确保信息公开的及时性和规范性。</w:t>
      </w:r>
      <w:r>
        <w:rPr>
          <w:rFonts w:hint="eastAsia"/>
          <w:b/>
          <w:bCs/>
          <w:color w:val="auto"/>
          <w:lang w:eastAsia="zh-CN"/>
        </w:rPr>
        <w:t>二是</w:t>
      </w:r>
      <w:r>
        <w:rPr>
          <w:rFonts w:hint="eastAsia"/>
          <w:color w:val="auto"/>
          <w:lang w:eastAsia="zh-CN"/>
        </w:rPr>
        <w:t>不断优化信息供给。整合各类文体旅游信息资源，主动探索形式更加丰富的信息公开方式和传播渠道，着力提升信息的传播力和覆盖率</w:t>
      </w:r>
      <w:r>
        <w:rPr>
          <w:rFonts w:hint="eastAsia"/>
          <w:color w:val="auto"/>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rPr>
      </w:pPr>
      <w:r>
        <w:rPr>
          <w:rFonts w:hint="eastAsia" w:ascii="黑体" w:hAnsi="黑体" w:eastAsia="黑体" w:cs="黑体"/>
        </w:rPr>
        <w:t>六、其他需要报告的事项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color w:val="auto"/>
          <w:lang w:eastAsia="zh-CN"/>
        </w:rPr>
        <w:t>按照《国务院办公厅关于印发</w:t>
      </w:r>
      <w:r>
        <w:rPr>
          <w:rFonts w:hint="default" w:ascii="仿宋_GB2312" w:hAnsi="仿宋_GB2312" w:eastAsia="仿宋_GB2312" w:cs="仿宋_GB2312"/>
          <w:color w:val="auto"/>
          <w:lang w:val="en-US" w:eastAsia="zh-CN"/>
        </w:rPr>
        <w:t>&lt;</w:t>
      </w:r>
      <w:r>
        <w:rPr>
          <w:rFonts w:hint="eastAsia"/>
          <w:color w:val="auto"/>
          <w:lang w:eastAsia="zh-CN"/>
        </w:rPr>
        <w:t>政府信息公开信息处理费管理办法</w:t>
      </w:r>
      <w:r>
        <w:rPr>
          <w:rFonts w:hint="eastAsia" w:ascii="仿宋_GB2312" w:hAnsi="仿宋_GB2312" w:eastAsia="仿宋_GB2312" w:cs="仿宋_GB2312"/>
          <w:color w:val="auto"/>
          <w:lang w:val="en-US" w:eastAsia="zh-CN"/>
        </w:rPr>
        <w:t>&gt;</w:t>
      </w:r>
      <w:r>
        <w:rPr>
          <w:rFonts w:hint="eastAsia"/>
          <w:color w:val="auto"/>
          <w:lang w:eastAsia="zh-CN"/>
        </w:rPr>
        <w:t>的通知》国办函〔</w:t>
      </w:r>
      <w:r>
        <w:rPr>
          <w:rFonts w:hint="eastAsia" w:ascii="仿宋_GB2312" w:hAnsi="仿宋_GB2312" w:eastAsia="仿宋_GB2312" w:cs="仿宋_GB2312"/>
          <w:color w:val="auto"/>
          <w:lang w:val="en-US" w:eastAsia="zh-CN"/>
        </w:rPr>
        <w:t>2020</w:t>
      </w:r>
      <w:r>
        <w:rPr>
          <w:rFonts w:hint="eastAsia"/>
          <w:color w:val="auto"/>
          <w:lang w:eastAsia="zh-CN"/>
        </w:rPr>
        <w:t>〕</w:t>
      </w:r>
      <w:r>
        <w:rPr>
          <w:rFonts w:hint="eastAsia" w:ascii="仿宋_GB2312" w:hAnsi="仿宋_GB2312" w:eastAsia="仿宋_GB2312" w:cs="仿宋_GB2312"/>
          <w:color w:val="auto"/>
          <w:lang w:eastAsia="zh-CN"/>
        </w:rPr>
        <w:t>109</w:t>
      </w:r>
      <w:r>
        <w:rPr>
          <w:rFonts w:hint="eastAsia"/>
          <w:color w:val="auto"/>
          <w:lang w:eastAsia="zh-CN"/>
        </w:rPr>
        <w:t>号对规定的按件、按量收费标准，本年度没有产生信息公开处理费。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cs="仿宋_GB2312"/>
          <w:bCs/>
          <w:color w:val="auto"/>
          <w:sz w:val="32"/>
          <w:szCs w:val="32"/>
          <w:lang w:eastAsia="zh-CN"/>
        </w:rPr>
      </w:pPr>
    </w:p>
    <w:p/>
    <w:p>
      <w:pPr>
        <w:keepNext w:val="0"/>
        <w:keepLines w:val="0"/>
        <w:pageBreakBefore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cs="仿宋_GB2312"/>
          <w:bCs/>
          <w:color w:val="auto"/>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cs="仿宋_GB2312"/>
          <w:bCs/>
          <w:color w:val="auto"/>
          <w:kern w:val="2"/>
          <w:sz w:val="32"/>
          <w:szCs w:val="32"/>
          <w:lang w:val="en-US" w:eastAsia="zh-CN"/>
        </w:rPr>
      </w:pPr>
      <w:r>
        <w:rPr>
          <w:rFonts w:hint="eastAsia" w:ascii="仿宋_GB2312" w:hAnsi="仿宋_GB2312" w:cs="仿宋_GB2312"/>
          <w:bCs/>
          <w:color w:val="auto"/>
          <w:kern w:val="2"/>
          <w:sz w:val="32"/>
          <w:szCs w:val="32"/>
          <w:lang w:val="en-US" w:eastAsia="zh-CN"/>
        </w:rPr>
        <w:t>泉州市洛江区文化体育和旅游局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auto"/>
          <w:kern w:val="2"/>
          <w:sz w:val="32"/>
          <w:szCs w:val="32"/>
          <w:lang w:val="en-US" w:eastAsia="zh-CN"/>
        </w:rPr>
      </w:pPr>
      <w:r>
        <w:rPr>
          <w:rFonts w:hint="eastAsia" w:ascii="仿宋_GB2312" w:hAnsi="仿宋_GB2312" w:cs="仿宋_GB2312"/>
          <w:bCs/>
          <w:color w:val="auto"/>
          <w:kern w:val="2"/>
          <w:sz w:val="32"/>
          <w:szCs w:val="32"/>
          <w:lang w:val="en-US" w:eastAsia="zh-CN"/>
        </w:rPr>
        <w:t xml:space="preserve">                                 2026年1月5日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auto"/>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auto"/>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auto"/>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auto"/>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auto"/>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auto"/>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auto"/>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auto"/>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auto"/>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auto"/>
          <w:kern w:val="2"/>
          <w:sz w:val="32"/>
          <w:szCs w:val="32"/>
          <w:lang w:val="en-US" w:eastAsia="zh-CN"/>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auto"/>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auto"/>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cs="仿宋_GB2312"/>
          <w:bCs/>
          <w:color w:val="auto"/>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auto"/>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auto"/>
          <w:kern w:val="2"/>
          <w:sz w:val="32"/>
          <w:szCs w:val="32"/>
          <w:lang w:val="en-US" w:eastAsia="zh-CN"/>
        </w:rPr>
      </w:pPr>
    </w:p>
    <w:p>
      <w:pPr>
        <w:widowControl w:val="0"/>
        <w:pBdr>
          <w:top w:val="single" w:color="auto" w:sz="12" w:space="1"/>
          <w:left w:val="none" w:color="auto" w:sz="0" w:space="4"/>
          <w:bottom w:val="single" w:color="auto" w:sz="12" w:space="1"/>
          <w:right w:val="none" w:color="auto" w:sz="0" w:space="4"/>
          <w:between w:val="none" w:color="auto" w:sz="0" w:space="0"/>
        </w:pBdr>
        <w:jc w:val="both"/>
        <w:rPr>
          <w:rFonts w:hint="eastAsia" w:ascii="仿宋_GB2312" w:hAnsi="仿宋_GB2312" w:cs="仿宋_GB2312"/>
          <w:bCs/>
          <w:color w:val="auto"/>
          <w:kern w:val="2"/>
          <w:sz w:val="32"/>
          <w:szCs w:val="32"/>
          <w:lang w:val="en-US" w:eastAsia="zh-CN"/>
        </w:rPr>
      </w:pPr>
      <w:r>
        <w:rPr>
          <w:rFonts w:hint="eastAsia" w:ascii="仿宋" w:hAnsi="仿宋" w:eastAsia="仿宋"/>
          <w:sz w:val="28"/>
          <w:szCs w:val="28"/>
        </w:rPr>
        <w:t xml:space="preserve"> 泉州市洛江区文化体育和旅游局办公室       </w:t>
      </w:r>
      <w:r>
        <w:rPr>
          <w:rFonts w:hint="eastAsia" w:ascii="仿宋" w:hAnsi="仿宋" w:eastAsia="仿宋"/>
          <w:sz w:val="28"/>
          <w:szCs w:val="28"/>
          <w:lang w:val="en-US" w:eastAsia="zh-CN"/>
        </w:rPr>
        <w:t xml:space="preserve">    </w:t>
      </w:r>
      <w:r>
        <w:rPr>
          <w:rFonts w:hint="eastAsia" w:ascii="仿宋" w:hAnsi="仿宋" w:eastAsia="仿宋"/>
          <w:sz w:val="28"/>
          <w:szCs w:val="28"/>
        </w:rPr>
        <w:t>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1</w:t>
      </w:r>
      <w:r>
        <w:rPr>
          <w:rFonts w:hint="eastAsia" w:ascii="仿宋" w:hAnsi="仿宋" w:eastAsia="仿宋"/>
          <w:sz w:val="28"/>
          <w:szCs w:val="28"/>
        </w:rPr>
        <w:t>月</w:t>
      </w:r>
      <w:r>
        <w:rPr>
          <w:rFonts w:hint="eastAsia" w:ascii="仿宋" w:hAnsi="仿宋" w:eastAsia="仿宋"/>
          <w:sz w:val="28"/>
          <w:szCs w:val="28"/>
          <w:lang w:val="en-US" w:eastAsia="zh-CN"/>
        </w:rPr>
        <w:t>5</w:t>
      </w:r>
      <w:r>
        <w:rPr>
          <w:rFonts w:hint="eastAsia" w:ascii="仿宋" w:hAnsi="仿宋" w:eastAsia="仿宋"/>
          <w:sz w:val="28"/>
          <w:szCs w:val="28"/>
        </w:rPr>
        <w:t>日印发</w:t>
      </w:r>
    </w:p>
    <w:sectPr>
      <w:pgSz w:w="11906" w:h="16838"/>
      <w:pgMar w:top="1871" w:right="1304" w:bottom="1531" w:left="130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jODYxNjM2MzA1MzE5MmQzZWQ4OTRkODI2Njg2ZjIifQ=="/>
  </w:docVars>
  <w:rsids>
    <w:rsidRoot w:val="1D814201"/>
    <w:rsid w:val="0E1651AA"/>
    <w:rsid w:val="13150BB7"/>
    <w:rsid w:val="1D814201"/>
    <w:rsid w:val="309C5E84"/>
    <w:rsid w:val="363CF6DF"/>
    <w:rsid w:val="579FC19B"/>
    <w:rsid w:val="5CBAE910"/>
    <w:rsid w:val="5EFBAFB7"/>
    <w:rsid w:val="5FF2D33B"/>
    <w:rsid w:val="65FDEE5B"/>
    <w:rsid w:val="6E8B1860"/>
    <w:rsid w:val="6FC7ED69"/>
    <w:rsid w:val="6FFF922A"/>
    <w:rsid w:val="769FB0F7"/>
    <w:rsid w:val="797F05C6"/>
    <w:rsid w:val="7EFF2F08"/>
    <w:rsid w:val="7FDFFDFF"/>
    <w:rsid w:val="B7BB09DD"/>
    <w:rsid w:val="BBDDCAC9"/>
    <w:rsid w:val="BBEF215F"/>
    <w:rsid w:val="BDF763C0"/>
    <w:rsid w:val="BDFFC031"/>
    <w:rsid w:val="BFFFFF66"/>
    <w:rsid w:val="DDFE72EF"/>
    <w:rsid w:val="E86EBA70"/>
    <w:rsid w:val="EB075198"/>
    <w:rsid w:val="F73E1AB0"/>
    <w:rsid w:val="F9FF0BAC"/>
    <w:rsid w:val="FBD76555"/>
    <w:rsid w:val="FDF79C8E"/>
    <w:rsid w:val="FF721C47"/>
    <w:rsid w:val="FFB5D7DA"/>
    <w:rsid w:val="FFC59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color w:val="auto"/>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2024-01-13T09:41:00Z</dcterms:created>
  <dc:creator>哆唻哆唻哆咪咪</dc:creator>
  <cp:lastModifiedBy>user</cp:lastModifiedBy>
  <cp:lastPrinted>2024-01-13T09:48:00Z</cp:lastPrinted>
  <dcterms:modified xsi:type="dcterms:W3CDTF">2026-03-31T14:16:37Z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2ED71AD838ECF9F70D1F5E69519D2D90</vt:lpwstr>
  </property>
</Properties>
</file>